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5" w:type="dxa"/>
        <w:tblInd w:w="-1310" w:type="dxa"/>
        <w:tblBorders>
          <w:bottom w:val="thickThinLargeGap" w:sz="24" w:space="0" w:color="auto"/>
        </w:tblBorders>
        <w:tblLook w:val="04A0" w:firstRow="1" w:lastRow="0" w:firstColumn="1" w:lastColumn="0" w:noHBand="0" w:noVBand="1"/>
      </w:tblPr>
      <w:tblGrid>
        <w:gridCol w:w="5346"/>
        <w:gridCol w:w="1073"/>
        <w:gridCol w:w="5046"/>
      </w:tblGrid>
      <w:tr w:rsidR="00BA319E" w:rsidRPr="009D5B83" w14:paraId="6D132E6D" w14:textId="77777777" w:rsidTr="00006A49">
        <w:trPr>
          <w:trHeight w:val="2263"/>
        </w:trPr>
        <w:tc>
          <w:tcPr>
            <w:tcW w:w="4566" w:type="dxa"/>
            <w:vAlign w:val="center"/>
          </w:tcPr>
          <w:p w14:paraId="4F686BA8" w14:textId="60C02B3F" w:rsidR="000F1A97" w:rsidRPr="009D5B83" w:rsidRDefault="00C416BD" w:rsidP="002E7591">
            <w:pPr>
              <w:rPr>
                <w:b/>
                <w:sz w:val="28"/>
                <w:szCs w:val="28"/>
              </w:rPr>
            </w:pPr>
            <w:bookmarkStart w:id="0" w:name="_Hlk84542818"/>
            <w:bookmarkEnd w:id="0"/>
            <w:r w:rsidRPr="009D5B83">
              <w:rPr>
                <w:b/>
                <w:sz w:val="28"/>
                <w:szCs w:val="28"/>
              </w:rPr>
              <w:t xml:space="preserve"> </w:t>
            </w:r>
            <w:r w:rsidR="000F1A97" w:rsidRPr="009D5B83">
              <w:rPr>
                <w:noProof/>
              </w:rPr>
              <w:drawing>
                <wp:inline distT="0" distB="0" distL="0" distR="0" wp14:anchorId="0657520C" wp14:editId="5EF33E85">
                  <wp:extent cx="3255645" cy="1199990"/>
                  <wp:effectExtent l="0" t="0" r="190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57257" cy="1237443"/>
                          </a:xfrm>
                          <a:prstGeom prst="rect">
                            <a:avLst/>
                          </a:prstGeom>
                        </pic:spPr>
                      </pic:pic>
                    </a:graphicData>
                  </a:graphic>
                </wp:inline>
              </w:drawing>
            </w:r>
          </w:p>
        </w:tc>
        <w:tc>
          <w:tcPr>
            <w:tcW w:w="4223" w:type="dxa"/>
            <w:vAlign w:val="center"/>
          </w:tcPr>
          <w:p w14:paraId="73F6E9C4" w14:textId="77777777" w:rsidR="000F1A97" w:rsidRPr="009D5B83" w:rsidRDefault="000F1A97" w:rsidP="002E7591">
            <w:pPr>
              <w:jc w:val="center"/>
              <w:rPr>
                <w:b/>
                <w:sz w:val="28"/>
                <w:szCs w:val="28"/>
              </w:rPr>
            </w:pPr>
          </w:p>
        </w:tc>
        <w:tc>
          <w:tcPr>
            <w:tcW w:w="2676" w:type="dxa"/>
            <w:vAlign w:val="center"/>
          </w:tcPr>
          <w:p w14:paraId="6272E6F5" w14:textId="77777777" w:rsidR="000F1A97" w:rsidRPr="009D5B83" w:rsidRDefault="00BA319E" w:rsidP="002E7591">
            <w:pPr>
              <w:jc w:val="center"/>
              <w:rPr>
                <w:b/>
                <w:sz w:val="28"/>
                <w:szCs w:val="28"/>
              </w:rPr>
            </w:pPr>
            <w:r w:rsidRPr="009D5B83">
              <w:rPr>
                <w:b/>
                <w:noProof/>
                <w:sz w:val="28"/>
                <w:szCs w:val="28"/>
              </w:rPr>
              <w:drawing>
                <wp:inline distT="0" distB="0" distL="0" distR="0" wp14:anchorId="34B25BF1" wp14:editId="397E0E68">
                  <wp:extent cx="3057525" cy="1019175"/>
                  <wp:effectExtent l="0" t="0" r="9525" b="9525"/>
                  <wp:docPr id="6" name="Рисунок 6" descr="T:\IEP_Logo\IEP_logo-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EP_Logo\IEP_logo-t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019175"/>
                          </a:xfrm>
                          <a:prstGeom prst="rect">
                            <a:avLst/>
                          </a:prstGeom>
                          <a:noFill/>
                          <a:ln>
                            <a:noFill/>
                          </a:ln>
                        </pic:spPr>
                      </pic:pic>
                    </a:graphicData>
                  </a:graphic>
                </wp:inline>
              </w:drawing>
            </w:r>
          </w:p>
        </w:tc>
      </w:tr>
    </w:tbl>
    <w:p w14:paraId="13E8FB3E" w14:textId="77777777" w:rsidR="009A2911" w:rsidRPr="009D5B83" w:rsidRDefault="009A2911" w:rsidP="002E7591">
      <w:pPr>
        <w:jc w:val="center"/>
        <w:rPr>
          <w:b/>
          <w:sz w:val="36"/>
        </w:rPr>
      </w:pPr>
    </w:p>
    <w:p w14:paraId="6BFB45DF" w14:textId="77777777" w:rsidR="009A2911" w:rsidRPr="009D5B83" w:rsidRDefault="009A2911" w:rsidP="002E7591">
      <w:pPr>
        <w:jc w:val="center"/>
        <w:rPr>
          <w:b/>
          <w:sz w:val="36"/>
        </w:rPr>
      </w:pPr>
    </w:p>
    <w:p w14:paraId="21B47FBD" w14:textId="77777777" w:rsidR="009A2911" w:rsidRPr="009D5B83" w:rsidRDefault="009A2911" w:rsidP="002E7591">
      <w:pPr>
        <w:jc w:val="center"/>
        <w:rPr>
          <w:b/>
          <w:sz w:val="36"/>
        </w:rPr>
      </w:pPr>
    </w:p>
    <w:p w14:paraId="249535BA" w14:textId="77777777" w:rsidR="002E7591" w:rsidRPr="009D5B83" w:rsidRDefault="002E7591" w:rsidP="002E7591">
      <w:pPr>
        <w:jc w:val="center"/>
        <w:rPr>
          <w:b/>
          <w:sz w:val="36"/>
        </w:rPr>
      </w:pPr>
    </w:p>
    <w:p w14:paraId="0B3ADFAA" w14:textId="77777777" w:rsidR="009A2911" w:rsidRPr="009D5B83" w:rsidRDefault="009A2911" w:rsidP="002E7591">
      <w:pPr>
        <w:jc w:val="center"/>
        <w:rPr>
          <w:b/>
          <w:sz w:val="36"/>
        </w:rPr>
      </w:pPr>
    </w:p>
    <w:p w14:paraId="6CA32DFC" w14:textId="77777777" w:rsidR="009A2911" w:rsidRPr="009D5B83" w:rsidRDefault="009A2911" w:rsidP="002E7591">
      <w:pPr>
        <w:jc w:val="center"/>
        <w:rPr>
          <w:b/>
          <w:sz w:val="36"/>
        </w:rPr>
      </w:pPr>
    </w:p>
    <w:p w14:paraId="4B280359" w14:textId="77777777" w:rsidR="00994D48" w:rsidRPr="009D5B83" w:rsidRDefault="00F86CDB" w:rsidP="002E7591">
      <w:pPr>
        <w:spacing w:line="360" w:lineRule="auto"/>
        <w:jc w:val="center"/>
        <w:rPr>
          <w:b/>
          <w:sz w:val="44"/>
        </w:rPr>
      </w:pPr>
      <w:r w:rsidRPr="009D5B83">
        <w:rPr>
          <w:b/>
          <w:sz w:val="44"/>
        </w:rPr>
        <w:t>Заключение</w:t>
      </w:r>
    </w:p>
    <w:p w14:paraId="59154F43" w14:textId="49A89CD3" w:rsidR="009A2911" w:rsidRPr="009D5B83" w:rsidRDefault="009A2911" w:rsidP="002E7591">
      <w:pPr>
        <w:spacing w:line="360" w:lineRule="auto"/>
        <w:jc w:val="center"/>
        <w:rPr>
          <w:sz w:val="36"/>
        </w:rPr>
      </w:pPr>
      <w:r w:rsidRPr="009D5B83">
        <w:rPr>
          <w:sz w:val="36"/>
        </w:rPr>
        <w:t>на проект</w:t>
      </w:r>
      <w:r w:rsidR="00994D48" w:rsidRPr="009D5B83">
        <w:rPr>
          <w:sz w:val="36"/>
        </w:rPr>
        <w:t xml:space="preserve"> </w:t>
      </w:r>
      <w:r w:rsidRPr="009D5B83">
        <w:rPr>
          <w:sz w:val="36"/>
        </w:rPr>
        <w:t>Федерального закона</w:t>
      </w:r>
    </w:p>
    <w:p w14:paraId="218EA6B1" w14:textId="48FF2096" w:rsidR="009A2911" w:rsidRPr="009D5B83" w:rsidRDefault="009A2911" w:rsidP="002E7591">
      <w:pPr>
        <w:spacing w:line="360" w:lineRule="auto"/>
        <w:jc w:val="center"/>
        <w:rPr>
          <w:sz w:val="36"/>
        </w:rPr>
      </w:pPr>
      <w:r w:rsidRPr="009D5B83">
        <w:rPr>
          <w:sz w:val="36"/>
        </w:rPr>
        <w:t>«О федеральном бюджете на 20</w:t>
      </w:r>
      <w:r w:rsidR="005971FB" w:rsidRPr="009D5B83">
        <w:rPr>
          <w:sz w:val="36"/>
        </w:rPr>
        <w:t>2</w:t>
      </w:r>
      <w:r w:rsidR="00D236C9" w:rsidRPr="009D5B83">
        <w:rPr>
          <w:sz w:val="36"/>
        </w:rPr>
        <w:t>3</w:t>
      </w:r>
      <w:r w:rsidRPr="009D5B83">
        <w:rPr>
          <w:sz w:val="36"/>
        </w:rPr>
        <w:t xml:space="preserve"> год и </w:t>
      </w:r>
      <w:proofErr w:type="gramStart"/>
      <w:r w:rsidR="005971FB" w:rsidRPr="009D5B83">
        <w:rPr>
          <w:sz w:val="36"/>
        </w:rPr>
        <w:t>на</w:t>
      </w:r>
      <w:proofErr w:type="gramEnd"/>
    </w:p>
    <w:p w14:paraId="789D969C" w14:textId="4B117A8D" w:rsidR="002E7591" w:rsidRPr="009D5B83" w:rsidRDefault="00FE435D" w:rsidP="002E7591">
      <w:pPr>
        <w:spacing w:line="360" w:lineRule="auto"/>
        <w:jc w:val="center"/>
        <w:rPr>
          <w:sz w:val="36"/>
        </w:rPr>
      </w:pPr>
      <w:r w:rsidRPr="009D5B83">
        <w:rPr>
          <w:sz w:val="36"/>
        </w:rPr>
        <w:t>плановый период 202</w:t>
      </w:r>
      <w:r w:rsidR="00D236C9" w:rsidRPr="009D5B83">
        <w:rPr>
          <w:sz w:val="36"/>
        </w:rPr>
        <w:t>4</w:t>
      </w:r>
      <w:r w:rsidR="009A2911" w:rsidRPr="009D5B83">
        <w:rPr>
          <w:sz w:val="36"/>
        </w:rPr>
        <w:t xml:space="preserve"> и 20</w:t>
      </w:r>
      <w:r w:rsidR="00DB55F4" w:rsidRPr="009D5B83">
        <w:rPr>
          <w:sz w:val="36"/>
        </w:rPr>
        <w:t>2</w:t>
      </w:r>
      <w:r w:rsidR="00D236C9" w:rsidRPr="009D5B83">
        <w:rPr>
          <w:sz w:val="36"/>
        </w:rPr>
        <w:t>5</w:t>
      </w:r>
      <w:r w:rsidR="009A2911" w:rsidRPr="009D5B83">
        <w:rPr>
          <w:sz w:val="36"/>
        </w:rPr>
        <w:t xml:space="preserve"> годов»</w:t>
      </w:r>
    </w:p>
    <w:p w14:paraId="50A7D55C" w14:textId="77777777" w:rsidR="009A2911" w:rsidRPr="009D5B83" w:rsidRDefault="002E7591" w:rsidP="002E7591">
      <w:pPr>
        <w:spacing w:line="360" w:lineRule="auto"/>
        <w:jc w:val="center"/>
        <w:rPr>
          <w:sz w:val="36"/>
        </w:rPr>
      </w:pPr>
      <w:r w:rsidRPr="009D5B83">
        <w:rPr>
          <w:sz w:val="36"/>
        </w:rPr>
        <w:t xml:space="preserve"> и проекты федеральных законов</w:t>
      </w:r>
    </w:p>
    <w:p w14:paraId="51B0F978" w14:textId="77777777" w:rsidR="002E7591" w:rsidRPr="009D5B83" w:rsidRDefault="002E7591" w:rsidP="002E7591">
      <w:pPr>
        <w:spacing w:line="360" w:lineRule="auto"/>
        <w:jc w:val="center"/>
        <w:rPr>
          <w:sz w:val="36"/>
        </w:rPr>
      </w:pPr>
      <w:r w:rsidRPr="009D5B83">
        <w:rPr>
          <w:sz w:val="36"/>
        </w:rPr>
        <w:t>о бюджетах государственных</w:t>
      </w:r>
    </w:p>
    <w:p w14:paraId="0D5F62A3" w14:textId="77777777" w:rsidR="002E7591" w:rsidRPr="009D5B83" w:rsidRDefault="002E7591" w:rsidP="002E7591">
      <w:pPr>
        <w:spacing w:line="360" w:lineRule="auto"/>
        <w:jc w:val="center"/>
        <w:rPr>
          <w:sz w:val="36"/>
        </w:rPr>
      </w:pPr>
      <w:r w:rsidRPr="009D5B83">
        <w:rPr>
          <w:sz w:val="36"/>
        </w:rPr>
        <w:t>внебюджетных фондов</w:t>
      </w:r>
    </w:p>
    <w:p w14:paraId="1F57CC3A" w14:textId="77777777" w:rsidR="009A2911" w:rsidRPr="009D5B83" w:rsidRDefault="009A2911" w:rsidP="00172042">
      <w:pPr>
        <w:jc w:val="center"/>
        <w:rPr>
          <w:sz w:val="28"/>
          <w:szCs w:val="28"/>
        </w:rPr>
      </w:pPr>
    </w:p>
    <w:p w14:paraId="06428BB7" w14:textId="77777777" w:rsidR="009A2911" w:rsidRPr="009D5B83" w:rsidRDefault="009A2911" w:rsidP="00172042">
      <w:pPr>
        <w:jc w:val="center"/>
        <w:rPr>
          <w:sz w:val="28"/>
          <w:szCs w:val="28"/>
        </w:rPr>
      </w:pPr>
    </w:p>
    <w:p w14:paraId="41F69943" w14:textId="77777777" w:rsidR="009A2911" w:rsidRPr="009D5B83" w:rsidRDefault="009A2911" w:rsidP="00172042">
      <w:pPr>
        <w:jc w:val="center"/>
        <w:rPr>
          <w:sz w:val="28"/>
          <w:szCs w:val="28"/>
        </w:rPr>
      </w:pPr>
    </w:p>
    <w:p w14:paraId="2C627882" w14:textId="77777777" w:rsidR="002E7591" w:rsidRPr="009D5B83" w:rsidRDefault="002E7591" w:rsidP="00172042">
      <w:pPr>
        <w:jc w:val="center"/>
        <w:rPr>
          <w:sz w:val="28"/>
          <w:szCs w:val="28"/>
        </w:rPr>
      </w:pPr>
    </w:p>
    <w:p w14:paraId="58B5CC8C" w14:textId="77777777" w:rsidR="002E7591" w:rsidRPr="009D5B83" w:rsidRDefault="002E7591" w:rsidP="00172042">
      <w:pPr>
        <w:jc w:val="center"/>
        <w:rPr>
          <w:sz w:val="28"/>
          <w:szCs w:val="28"/>
        </w:rPr>
      </w:pPr>
    </w:p>
    <w:p w14:paraId="5174EEF9" w14:textId="77777777" w:rsidR="002E7591" w:rsidRPr="009D5B83" w:rsidRDefault="002E7591" w:rsidP="00172042">
      <w:pPr>
        <w:jc w:val="center"/>
        <w:rPr>
          <w:sz w:val="28"/>
          <w:szCs w:val="28"/>
        </w:rPr>
      </w:pPr>
    </w:p>
    <w:p w14:paraId="0E00B7AD" w14:textId="77777777" w:rsidR="002E7591" w:rsidRPr="009D5B83" w:rsidRDefault="002E7591" w:rsidP="00172042">
      <w:pPr>
        <w:jc w:val="center"/>
        <w:rPr>
          <w:sz w:val="28"/>
          <w:szCs w:val="28"/>
        </w:rPr>
      </w:pPr>
    </w:p>
    <w:p w14:paraId="4C932CEE" w14:textId="77777777" w:rsidR="009A2911" w:rsidRPr="009D5B83" w:rsidRDefault="009A2911" w:rsidP="00172042">
      <w:pPr>
        <w:jc w:val="center"/>
        <w:rPr>
          <w:sz w:val="28"/>
          <w:szCs w:val="28"/>
        </w:rPr>
      </w:pPr>
    </w:p>
    <w:p w14:paraId="452F926F" w14:textId="45A46366" w:rsidR="00172042" w:rsidRPr="009D5B83" w:rsidRDefault="00172042" w:rsidP="002E7591">
      <w:pPr>
        <w:jc w:val="center"/>
        <w:rPr>
          <w:sz w:val="28"/>
        </w:rPr>
      </w:pPr>
    </w:p>
    <w:p w14:paraId="4E860B5B" w14:textId="3FED9288" w:rsidR="00FE435D" w:rsidRPr="009D5B83" w:rsidRDefault="00FE435D" w:rsidP="002E7591">
      <w:pPr>
        <w:jc w:val="center"/>
        <w:rPr>
          <w:sz w:val="28"/>
        </w:rPr>
      </w:pPr>
    </w:p>
    <w:p w14:paraId="181B4E17" w14:textId="6A8F844C" w:rsidR="007A6443" w:rsidRPr="009D5B83" w:rsidRDefault="007A6443" w:rsidP="002E7591">
      <w:pPr>
        <w:jc w:val="center"/>
        <w:rPr>
          <w:sz w:val="28"/>
        </w:rPr>
      </w:pPr>
    </w:p>
    <w:p w14:paraId="1ED33D70" w14:textId="28E8C5C2" w:rsidR="007A6443" w:rsidRPr="009D5B83" w:rsidRDefault="007A6443" w:rsidP="002E7591">
      <w:pPr>
        <w:jc w:val="center"/>
        <w:rPr>
          <w:sz w:val="28"/>
        </w:rPr>
      </w:pPr>
    </w:p>
    <w:p w14:paraId="04F775AD" w14:textId="77777777" w:rsidR="007A6443" w:rsidRPr="009D5B83" w:rsidRDefault="007A6443" w:rsidP="002E7591">
      <w:pPr>
        <w:jc w:val="center"/>
        <w:rPr>
          <w:sz w:val="28"/>
        </w:rPr>
      </w:pPr>
    </w:p>
    <w:p w14:paraId="37BBB3E3" w14:textId="36F0DDBD" w:rsidR="00FE435D" w:rsidRPr="009D5B83" w:rsidRDefault="00FE435D" w:rsidP="002E7591">
      <w:pPr>
        <w:jc w:val="center"/>
        <w:rPr>
          <w:sz w:val="28"/>
        </w:rPr>
      </w:pPr>
    </w:p>
    <w:p w14:paraId="51776012" w14:textId="6BAD6628" w:rsidR="00FE435D" w:rsidRPr="009D5B83" w:rsidRDefault="00FE435D" w:rsidP="002E7591">
      <w:pPr>
        <w:jc w:val="center"/>
        <w:rPr>
          <w:sz w:val="28"/>
        </w:rPr>
      </w:pPr>
    </w:p>
    <w:p w14:paraId="32DC3BDF" w14:textId="5EC7B83E" w:rsidR="00995E45" w:rsidRPr="009D5B83" w:rsidRDefault="009A2911" w:rsidP="002E7591">
      <w:pPr>
        <w:jc w:val="center"/>
        <w:rPr>
          <w:sz w:val="28"/>
        </w:rPr>
      </w:pPr>
      <w:r w:rsidRPr="009D5B83">
        <w:rPr>
          <w:sz w:val="28"/>
        </w:rPr>
        <w:t>Москва, 20</w:t>
      </w:r>
      <w:r w:rsidR="00867323" w:rsidRPr="009D5B83">
        <w:rPr>
          <w:sz w:val="28"/>
        </w:rPr>
        <w:t>2</w:t>
      </w:r>
      <w:r w:rsidR="00D236C9" w:rsidRPr="009D5B83">
        <w:rPr>
          <w:sz w:val="28"/>
        </w:rPr>
        <w:t>2</w:t>
      </w:r>
    </w:p>
    <w:p w14:paraId="45F1B62C" w14:textId="77777777" w:rsidR="002E7591" w:rsidRPr="009D5B83" w:rsidRDefault="002E7591">
      <w:r w:rsidRPr="009D5B83">
        <w:br w:type="page"/>
      </w:r>
    </w:p>
    <w:sdt>
      <w:sdtPr>
        <w:rPr>
          <w:szCs w:val="20"/>
        </w:rPr>
        <w:id w:val="-2014452089"/>
        <w:docPartObj>
          <w:docPartGallery w:val="Table of Contents"/>
          <w:docPartUnique/>
        </w:docPartObj>
      </w:sdtPr>
      <w:sdtEndPr>
        <w:rPr>
          <w:b/>
          <w:bCs/>
        </w:rPr>
      </w:sdtEndPr>
      <w:sdtContent>
        <w:p w14:paraId="7E8F87A5" w14:textId="67C6CA28" w:rsidR="00995E45" w:rsidRPr="009D5B83" w:rsidRDefault="00556C9D" w:rsidP="00556C9D">
          <w:pPr>
            <w:tabs>
              <w:tab w:val="center" w:pos="4535"/>
              <w:tab w:val="left" w:pos="6765"/>
            </w:tabs>
            <w:rPr>
              <w:rFonts w:eastAsiaTheme="majorEastAsia"/>
              <w:sz w:val="32"/>
              <w:szCs w:val="32"/>
            </w:rPr>
          </w:pPr>
          <w:r w:rsidRPr="009D5B83">
            <w:rPr>
              <w:szCs w:val="20"/>
            </w:rPr>
            <w:tab/>
          </w:r>
          <w:r w:rsidR="00995E45" w:rsidRPr="009D5B83">
            <w:rPr>
              <w:rFonts w:eastAsiaTheme="majorEastAsia"/>
              <w:sz w:val="28"/>
              <w:szCs w:val="28"/>
            </w:rPr>
            <w:t>Оглавление</w:t>
          </w:r>
          <w:r w:rsidRPr="009D5B83">
            <w:rPr>
              <w:rFonts w:eastAsiaTheme="majorEastAsia"/>
              <w:sz w:val="32"/>
              <w:szCs w:val="32"/>
            </w:rPr>
            <w:tab/>
          </w:r>
        </w:p>
        <w:p w14:paraId="6353C524" w14:textId="77777777" w:rsidR="00C77359" w:rsidRPr="00E103B9" w:rsidRDefault="00C77359" w:rsidP="002E7591">
          <w:pPr>
            <w:rPr>
              <w:rFonts w:eastAsiaTheme="majorEastAsia"/>
              <w:color w:val="365F91" w:themeColor="accent1" w:themeShade="BF"/>
              <w:sz w:val="36"/>
              <w:szCs w:val="32"/>
              <w:lang w:val="en-US"/>
            </w:rPr>
          </w:pPr>
        </w:p>
        <w:p w14:paraId="07A45E94" w14:textId="7FE59684" w:rsidR="009C4A7F" w:rsidRPr="00E103B9" w:rsidRDefault="00EF7DB3">
          <w:pPr>
            <w:pStyle w:val="15"/>
            <w:rPr>
              <w:rFonts w:asciiTheme="minorHAnsi" w:eastAsiaTheme="minorEastAsia" w:hAnsiTheme="minorHAnsi" w:cstheme="minorBidi"/>
              <w:noProof/>
              <w:szCs w:val="22"/>
            </w:rPr>
          </w:pPr>
          <w:r w:rsidRPr="00E103B9">
            <w:rPr>
              <w:sz w:val="28"/>
              <w:highlight w:val="red"/>
            </w:rPr>
            <w:fldChar w:fldCharType="begin"/>
          </w:r>
          <w:r w:rsidR="00995E45" w:rsidRPr="00E103B9">
            <w:rPr>
              <w:sz w:val="28"/>
              <w:highlight w:val="red"/>
            </w:rPr>
            <w:instrText xml:space="preserve"> TOC \o "1-3" \h \z \u </w:instrText>
          </w:r>
          <w:r w:rsidRPr="00E103B9">
            <w:rPr>
              <w:sz w:val="28"/>
              <w:highlight w:val="red"/>
            </w:rPr>
            <w:fldChar w:fldCharType="separate"/>
          </w:r>
          <w:hyperlink w:anchor="_Toc116593926" w:history="1">
            <w:r w:rsidR="009C4A7F" w:rsidRPr="00E103B9">
              <w:rPr>
                <w:rStyle w:val="a7"/>
                <w:b/>
                <w:noProof/>
                <w:kern w:val="28"/>
                <w:sz w:val="28"/>
              </w:rPr>
              <w:t>Основные выводы</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_Toc116593926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3</w:t>
            </w:r>
            <w:r w:rsidR="009C4A7F" w:rsidRPr="00E103B9">
              <w:rPr>
                <w:noProof/>
                <w:webHidden/>
                <w:sz w:val="28"/>
              </w:rPr>
              <w:fldChar w:fldCharType="end"/>
            </w:r>
          </w:hyperlink>
        </w:p>
        <w:p w14:paraId="47CD14CE" w14:textId="60B06AAB" w:rsidR="009C4A7F" w:rsidRPr="00E103B9" w:rsidRDefault="00E103B9">
          <w:pPr>
            <w:pStyle w:val="15"/>
            <w:rPr>
              <w:rFonts w:asciiTheme="minorHAnsi" w:eastAsiaTheme="minorEastAsia" w:hAnsiTheme="minorHAnsi" w:cstheme="minorBidi"/>
              <w:noProof/>
              <w:szCs w:val="22"/>
            </w:rPr>
          </w:pPr>
          <w:hyperlink w:anchor="_Toc116593927" w:history="1">
            <w:r w:rsidR="009C4A7F" w:rsidRPr="00E103B9">
              <w:rPr>
                <w:rStyle w:val="a7"/>
                <w:b/>
                <w:noProof/>
                <w:kern w:val="28"/>
                <w:sz w:val="28"/>
              </w:rPr>
              <w:t>1</w:t>
            </w:r>
            <w:r w:rsidR="009C4A7F" w:rsidRPr="00E103B9">
              <w:rPr>
                <w:rFonts w:asciiTheme="minorHAnsi" w:eastAsiaTheme="minorEastAsia" w:hAnsiTheme="minorHAnsi" w:cstheme="minorBidi"/>
                <w:noProof/>
                <w:szCs w:val="22"/>
              </w:rPr>
              <w:tab/>
            </w:r>
            <w:r w:rsidR="009C4A7F" w:rsidRPr="00E103B9">
              <w:rPr>
                <w:rStyle w:val="a7"/>
                <w:b/>
                <w:noProof/>
                <w:kern w:val="28"/>
                <w:sz w:val="28"/>
              </w:rPr>
              <w:t>Характеристика прогноза социально-экономического развития Российской Федерации на период 2023-2025 гг.</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_Toc116593927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10</w:t>
            </w:r>
            <w:r w:rsidR="009C4A7F" w:rsidRPr="00E103B9">
              <w:rPr>
                <w:noProof/>
                <w:webHidden/>
                <w:sz w:val="28"/>
              </w:rPr>
              <w:fldChar w:fldCharType="end"/>
            </w:r>
          </w:hyperlink>
        </w:p>
        <w:p w14:paraId="21A3EFCA" w14:textId="2EB1E208" w:rsidR="009C4A7F" w:rsidRPr="00E103B9" w:rsidRDefault="00E103B9">
          <w:pPr>
            <w:pStyle w:val="15"/>
            <w:rPr>
              <w:rFonts w:asciiTheme="minorHAnsi" w:eastAsiaTheme="minorEastAsia" w:hAnsiTheme="minorHAnsi" w:cstheme="minorBidi"/>
              <w:noProof/>
              <w:szCs w:val="22"/>
            </w:rPr>
          </w:pPr>
          <w:hyperlink w:anchor="_Toc116593928" w:history="1">
            <w:r w:rsidR="009C4A7F" w:rsidRPr="00E103B9">
              <w:rPr>
                <w:rStyle w:val="a7"/>
                <w:b/>
                <w:noProof/>
                <w:kern w:val="28"/>
                <w:sz w:val="28"/>
              </w:rPr>
              <w:t>2</w:t>
            </w:r>
            <w:r w:rsidR="009C4A7F" w:rsidRPr="00E103B9">
              <w:rPr>
                <w:rFonts w:asciiTheme="minorHAnsi" w:eastAsiaTheme="minorEastAsia" w:hAnsiTheme="minorHAnsi" w:cstheme="minorBidi"/>
                <w:noProof/>
                <w:szCs w:val="22"/>
              </w:rPr>
              <w:tab/>
            </w:r>
            <w:r w:rsidR="009C4A7F" w:rsidRPr="00E103B9">
              <w:rPr>
                <w:rStyle w:val="a7"/>
                <w:b/>
                <w:noProof/>
                <w:kern w:val="28"/>
                <w:sz w:val="28"/>
              </w:rPr>
              <w:t>Общая характеристика основных параметров федерального бюджета</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_Toc116593928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13</w:t>
            </w:r>
            <w:r w:rsidR="009C4A7F" w:rsidRPr="00E103B9">
              <w:rPr>
                <w:noProof/>
                <w:webHidden/>
                <w:sz w:val="28"/>
              </w:rPr>
              <w:fldChar w:fldCharType="end"/>
            </w:r>
          </w:hyperlink>
        </w:p>
        <w:p w14:paraId="2932E0C4" w14:textId="0B89F903" w:rsidR="009C4A7F" w:rsidRPr="00E103B9" w:rsidRDefault="00E103B9">
          <w:pPr>
            <w:pStyle w:val="15"/>
            <w:rPr>
              <w:rFonts w:asciiTheme="minorHAnsi" w:eastAsiaTheme="minorEastAsia" w:hAnsiTheme="minorHAnsi" w:cstheme="minorBidi"/>
              <w:noProof/>
              <w:szCs w:val="22"/>
            </w:rPr>
          </w:pPr>
          <w:hyperlink w:anchor="_Toc116593929" w:history="1">
            <w:r w:rsidR="009C4A7F" w:rsidRPr="00E103B9">
              <w:rPr>
                <w:rStyle w:val="a7"/>
                <w:b/>
                <w:noProof/>
                <w:kern w:val="28"/>
                <w:sz w:val="28"/>
              </w:rPr>
              <w:t>3</w:t>
            </w:r>
            <w:r w:rsidR="009C4A7F" w:rsidRPr="00E103B9">
              <w:rPr>
                <w:rFonts w:asciiTheme="minorHAnsi" w:eastAsiaTheme="minorEastAsia" w:hAnsiTheme="minorHAnsi" w:cstheme="minorBidi"/>
                <w:noProof/>
                <w:szCs w:val="22"/>
              </w:rPr>
              <w:tab/>
            </w:r>
            <w:r w:rsidR="009C4A7F" w:rsidRPr="00E103B9">
              <w:rPr>
                <w:rStyle w:val="a7"/>
                <w:b/>
                <w:noProof/>
                <w:kern w:val="28"/>
                <w:sz w:val="28"/>
              </w:rPr>
              <w:t>Структура и динамика доходов бюджета</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_Toc116593929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17</w:t>
            </w:r>
            <w:r w:rsidR="009C4A7F" w:rsidRPr="00E103B9">
              <w:rPr>
                <w:noProof/>
                <w:webHidden/>
                <w:sz w:val="28"/>
              </w:rPr>
              <w:fldChar w:fldCharType="end"/>
            </w:r>
          </w:hyperlink>
        </w:p>
        <w:p w14:paraId="1FE58484" w14:textId="788BE7A4" w:rsidR="009C4A7F" w:rsidRPr="00E103B9" w:rsidRDefault="00E103B9">
          <w:pPr>
            <w:pStyle w:val="22"/>
            <w:rPr>
              <w:rFonts w:asciiTheme="minorHAnsi" w:eastAsiaTheme="minorEastAsia" w:hAnsiTheme="minorHAnsi" w:cstheme="minorBidi"/>
              <w:noProof/>
              <w:szCs w:val="22"/>
            </w:rPr>
          </w:pPr>
          <w:hyperlink w:anchor="_Toc116593930" w:history="1">
            <w:r w:rsidR="009C4A7F" w:rsidRPr="00E103B9">
              <w:rPr>
                <w:rStyle w:val="a7"/>
                <w:b/>
                <w:noProof/>
                <w:sz w:val="28"/>
              </w:rPr>
              <w:t>3.1 Налоговые новации на 2023-2025 гг.</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_Toc116593930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17</w:t>
            </w:r>
            <w:r w:rsidR="009C4A7F" w:rsidRPr="00E103B9">
              <w:rPr>
                <w:noProof/>
                <w:webHidden/>
                <w:sz w:val="28"/>
              </w:rPr>
              <w:fldChar w:fldCharType="end"/>
            </w:r>
          </w:hyperlink>
        </w:p>
        <w:p w14:paraId="4319701A" w14:textId="02ECD803" w:rsidR="009C4A7F" w:rsidRPr="00E103B9" w:rsidRDefault="00E103B9">
          <w:pPr>
            <w:pStyle w:val="22"/>
            <w:rPr>
              <w:rFonts w:asciiTheme="minorHAnsi" w:eastAsiaTheme="minorEastAsia" w:hAnsiTheme="minorHAnsi" w:cstheme="minorBidi"/>
              <w:noProof/>
              <w:szCs w:val="22"/>
            </w:rPr>
          </w:pPr>
          <w:hyperlink w:anchor="_Toc116593931" w:history="1">
            <w:r w:rsidR="009C4A7F" w:rsidRPr="00E103B9">
              <w:rPr>
                <w:rStyle w:val="a7"/>
                <w:b/>
                <w:noProof/>
                <w:sz w:val="28"/>
              </w:rPr>
              <w:t>3.2 Нефтегазовые доходы</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_Toc116593931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26</w:t>
            </w:r>
            <w:r w:rsidR="009C4A7F" w:rsidRPr="00E103B9">
              <w:rPr>
                <w:noProof/>
                <w:webHidden/>
                <w:sz w:val="28"/>
              </w:rPr>
              <w:fldChar w:fldCharType="end"/>
            </w:r>
          </w:hyperlink>
        </w:p>
        <w:p w14:paraId="41EE7F78" w14:textId="1E400E0B" w:rsidR="009C4A7F" w:rsidRPr="00E103B9" w:rsidRDefault="00E103B9">
          <w:pPr>
            <w:pStyle w:val="22"/>
            <w:rPr>
              <w:rFonts w:asciiTheme="minorHAnsi" w:eastAsiaTheme="minorEastAsia" w:hAnsiTheme="minorHAnsi" w:cstheme="minorBidi"/>
              <w:noProof/>
              <w:szCs w:val="22"/>
            </w:rPr>
          </w:pPr>
          <w:hyperlink w:anchor="_Toc116593932" w:history="1">
            <w:r w:rsidR="009C4A7F" w:rsidRPr="00E103B9">
              <w:rPr>
                <w:rStyle w:val="a7"/>
                <w:b/>
                <w:noProof/>
                <w:sz w:val="28"/>
              </w:rPr>
              <w:t>3.3 Ненефтегазовые доходы</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_Toc116593932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32</w:t>
            </w:r>
            <w:r w:rsidR="009C4A7F" w:rsidRPr="00E103B9">
              <w:rPr>
                <w:noProof/>
                <w:webHidden/>
                <w:sz w:val="28"/>
              </w:rPr>
              <w:fldChar w:fldCharType="end"/>
            </w:r>
          </w:hyperlink>
        </w:p>
        <w:p w14:paraId="759CF941" w14:textId="04D5EF30" w:rsidR="009C4A7F" w:rsidRPr="00E103B9" w:rsidRDefault="00E103B9">
          <w:pPr>
            <w:pStyle w:val="22"/>
            <w:rPr>
              <w:rFonts w:asciiTheme="minorHAnsi" w:eastAsiaTheme="minorEastAsia" w:hAnsiTheme="minorHAnsi" w:cstheme="minorBidi"/>
              <w:noProof/>
              <w:szCs w:val="22"/>
            </w:rPr>
          </w:pPr>
          <w:hyperlink w:anchor="_Toc116593933" w:history="1">
            <w:r w:rsidR="009C4A7F" w:rsidRPr="00E103B9">
              <w:rPr>
                <w:rStyle w:val="a7"/>
                <w:b/>
                <w:noProof/>
                <w:sz w:val="28"/>
              </w:rPr>
              <w:t>3.4 Доходы от приватизации и использования государственного имущества</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_Toc116593933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35</w:t>
            </w:r>
            <w:r w:rsidR="009C4A7F" w:rsidRPr="00E103B9">
              <w:rPr>
                <w:noProof/>
                <w:webHidden/>
                <w:sz w:val="28"/>
              </w:rPr>
              <w:fldChar w:fldCharType="end"/>
            </w:r>
          </w:hyperlink>
        </w:p>
        <w:p w14:paraId="22132A93" w14:textId="62A130E0" w:rsidR="009C4A7F" w:rsidRPr="00E103B9" w:rsidRDefault="00E103B9">
          <w:pPr>
            <w:pStyle w:val="15"/>
            <w:rPr>
              <w:rFonts w:asciiTheme="minorHAnsi" w:eastAsiaTheme="minorEastAsia" w:hAnsiTheme="minorHAnsi" w:cstheme="minorBidi"/>
              <w:noProof/>
              <w:szCs w:val="22"/>
            </w:rPr>
          </w:pPr>
          <w:hyperlink w:anchor="_Toc116593934" w:history="1">
            <w:r w:rsidR="009C4A7F" w:rsidRPr="00E103B9">
              <w:rPr>
                <w:rStyle w:val="a7"/>
                <w:b/>
                <w:noProof/>
                <w:sz w:val="28"/>
              </w:rPr>
              <w:t>4</w:t>
            </w:r>
            <w:r w:rsidR="009C4A7F" w:rsidRPr="00E103B9">
              <w:rPr>
                <w:rFonts w:asciiTheme="minorHAnsi" w:eastAsiaTheme="minorEastAsia" w:hAnsiTheme="minorHAnsi" w:cstheme="minorBidi"/>
                <w:noProof/>
                <w:szCs w:val="22"/>
              </w:rPr>
              <w:tab/>
            </w:r>
            <w:r w:rsidR="009C4A7F" w:rsidRPr="00E103B9">
              <w:rPr>
                <w:rStyle w:val="a7"/>
                <w:b/>
                <w:noProof/>
                <w:kern w:val="28"/>
                <w:sz w:val="28"/>
              </w:rPr>
              <w:t>Структура и динамика расходов бюджета</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_Toc116593934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37</w:t>
            </w:r>
            <w:r w:rsidR="009C4A7F" w:rsidRPr="00E103B9">
              <w:rPr>
                <w:noProof/>
                <w:webHidden/>
                <w:sz w:val="28"/>
              </w:rPr>
              <w:fldChar w:fldCharType="end"/>
            </w:r>
          </w:hyperlink>
        </w:p>
        <w:p w14:paraId="54551BE6" w14:textId="4F273462" w:rsidR="009C4A7F" w:rsidRPr="00E103B9" w:rsidRDefault="00E103B9">
          <w:pPr>
            <w:pStyle w:val="22"/>
            <w:rPr>
              <w:rFonts w:asciiTheme="minorHAnsi" w:eastAsiaTheme="minorEastAsia" w:hAnsiTheme="minorHAnsi" w:cstheme="minorBidi"/>
              <w:noProof/>
              <w:szCs w:val="22"/>
            </w:rPr>
          </w:pPr>
          <w:hyperlink w:anchor="_Toc116593935" w:history="1">
            <w:r w:rsidR="009C4A7F" w:rsidRPr="00E103B9">
              <w:rPr>
                <w:rStyle w:val="a7"/>
                <w:b/>
                <w:noProof/>
                <w:sz w:val="28"/>
              </w:rPr>
              <w:t>4.1 Реализация национальных проектов и новые национальные цели</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_Toc116593935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37</w:t>
            </w:r>
            <w:r w:rsidR="009C4A7F" w:rsidRPr="00E103B9">
              <w:rPr>
                <w:noProof/>
                <w:webHidden/>
                <w:sz w:val="28"/>
              </w:rPr>
              <w:fldChar w:fldCharType="end"/>
            </w:r>
          </w:hyperlink>
        </w:p>
        <w:p w14:paraId="601C1FDE" w14:textId="0D095557" w:rsidR="009C4A7F" w:rsidRPr="00E103B9" w:rsidRDefault="00E103B9">
          <w:pPr>
            <w:pStyle w:val="22"/>
            <w:rPr>
              <w:rFonts w:asciiTheme="minorHAnsi" w:eastAsiaTheme="minorEastAsia" w:hAnsiTheme="minorHAnsi" w:cstheme="minorBidi"/>
              <w:noProof/>
              <w:szCs w:val="22"/>
            </w:rPr>
          </w:pPr>
          <w:hyperlink w:anchor="_Toc116593936" w:history="1">
            <w:r w:rsidR="009C4A7F" w:rsidRPr="00E103B9">
              <w:rPr>
                <w:rStyle w:val="a7"/>
                <w:b/>
                <w:noProof/>
                <w:sz w:val="28"/>
              </w:rPr>
              <w:t>4.2 Общие тенденции расходов по функциональным разделам</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_Toc116593936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40</w:t>
            </w:r>
            <w:r w:rsidR="009C4A7F" w:rsidRPr="00E103B9">
              <w:rPr>
                <w:noProof/>
                <w:webHidden/>
                <w:sz w:val="28"/>
              </w:rPr>
              <w:fldChar w:fldCharType="end"/>
            </w:r>
          </w:hyperlink>
        </w:p>
        <w:p w14:paraId="31FF7545" w14:textId="31A4C95C" w:rsidR="009C4A7F" w:rsidRPr="00E103B9" w:rsidRDefault="00E103B9">
          <w:pPr>
            <w:pStyle w:val="32"/>
            <w:rPr>
              <w:rFonts w:asciiTheme="minorHAnsi" w:eastAsiaTheme="minorEastAsia" w:hAnsiTheme="minorHAnsi" w:cstheme="minorBidi"/>
              <w:noProof/>
              <w:szCs w:val="22"/>
            </w:rPr>
          </w:pPr>
          <w:hyperlink w:anchor="_Toc116593937" w:history="1">
            <w:r w:rsidR="009C4A7F" w:rsidRPr="00E103B9">
              <w:rPr>
                <w:rStyle w:val="a7"/>
                <w:b/>
                <w:noProof/>
                <w:sz w:val="28"/>
              </w:rPr>
              <w:t>Расходы на общегосударственные вопросы</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_Toc116593937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43</w:t>
            </w:r>
            <w:r w:rsidR="009C4A7F" w:rsidRPr="00E103B9">
              <w:rPr>
                <w:noProof/>
                <w:webHidden/>
                <w:sz w:val="28"/>
              </w:rPr>
              <w:fldChar w:fldCharType="end"/>
            </w:r>
          </w:hyperlink>
        </w:p>
        <w:p w14:paraId="3042A7F1" w14:textId="7A90B222" w:rsidR="009C4A7F" w:rsidRPr="00E103B9" w:rsidRDefault="00E103B9">
          <w:pPr>
            <w:pStyle w:val="32"/>
            <w:rPr>
              <w:rFonts w:asciiTheme="minorHAnsi" w:eastAsiaTheme="minorEastAsia" w:hAnsiTheme="minorHAnsi" w:cstheme="minorBidi"/>
              <w:noProof/>
              <w:szCs w:val="22"/>
            </w:rPr>
          </w:pPr>
          <w:hyperlink w:anchor="_Toc116593938" w:history="1">
            <w:r w:rsidR="009C4A7F" w:rsidRPr="00E103B9">
              <w:rPr>
                <w:rStyle w:val="a7"/>
                <w:b/>
                <w:noProof/>
                <w:sz w:val="28"/>
              </w:rPr>
              <w:t>Расходы на национальную оборону и правоохранительную деятельность</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_Toc116593938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44</w:t>
            </w:r>
            <w:r w:rsidR="009C4A7F" w:rsidRPr="00E103B9">
              <w:rPr>
                <w:noProof/>
                <w:webHidden/>
                <w:sz w:val="28"/>
              </w:rPr>
              <w:fldChar w:fldCharType="end"/>
            </w:r>
          </w:hyperlink>
        </w:p>
        <w:p w14:paraId="08319428" w14:textId="4A36F92C" w:rsidR="009C4A7F" w:rsidRPr="00E103B9" w:rsidRDefault="00E103B9">
          <w:pPr>
            <w:pStyle w:val="32"/>
            <w:rPr>
              <w:rFonts w:asciiTheme="minorHAnsi" w:eastAsiaTheme="minorEastAsia" w:hAnsiTheme="minorHAnsi" w:cstheme="minorBidi"/>
              <w:noProof/>
              <w:szCs w:val="22"/>
            </w:rPr>
          </w:pPr>
          <w:hyperlink w:anchor="_Toc116593939" w:history="1">
            <w:r w:rsidR="009C4A7F" w:rsidRPr="00E103B9">
              <w:rPr>
                <w:rStyle w:val="a7"/>
                <w:b/>
                <w:noProof/>
                <w:sz w:val="28"/>
              </w:rPr>
              <w:t>Расходы на инфраструктуру и промышленность</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_Toc116593939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46</w:t>
            </w:r>
            <w:r w:rsidR="009C4A7F" w:rsidRPr="00E103B9">
              <w:rPr>
                <w:noProof/>
                <w:webHidden/>
                <w:sz w:val="28"/>
              </w:rPr>
              <w:fldChar w:fldCharType="end"/>
            </w:r>
          </w:hyperlink>
        </w:p>
        <w:p w14:paraId="710D8092" w14:textId="50EF1B1F" w:rsidR="009C4A7F" w:rsidRPr="00E103B9" w:rsidRDefault="00E103B9">
          <w:pPr>
            <w:pStyle w:val="32"/>
            <w:rPr>
              <w:rFonts w:asciiTheme="minorHAnsi" w:eastAsiaTheme="minorEastAsia" w:hAnsiTheme="minorHAnsi" w:cstheme="minorBidi"/>
              <w:noProof/>
              <w:szCs w:val="22"/>
            </w:rPr>
          </w:pPr>
          <w:hyperlink w:anchor="_Toc116593940" w:history="1">
            <w:r w:rsidR="009C4A7F" w:rsidRPr="00E103B9">
              <w:rPr>
                <w:rStyle w:val="a7"/>
                <w:b/>
                <w:noProof/>
                <w:sz w:val="28"/>
              </w:rPr>
              <w:t>Расходы на поддержку сельского хозяйства</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_Toc116593940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49</w:t>
            </w:r>
            <w:r w:rsidR="009C4A7F" w:rsidRPr="00E103B9">
              <w:rPr>
                <w:noProof/>
                <w:webHidden/>
                <w:sz w:val="28"/>
              </w:rPr>
              <w:fldChar w:fldCharType="end"/>
            </w:r>
          </w:hyperlink>
        </w:p>
        <w:p w14:paraId="2E0A4A2A" w14:textId="6AE12374" w:rsidR="009C4A7F" w:rsidRPr="00E103B9" w:rsidRDefault="00E103B9">
          <w:pPr>
            <w:pStyle w:val="32"/>
            <w:rPr>
              <w:rFonts w:asciiTheme="minorHAnsi" w:eastAsiaTheme="minorEastAsia" w:hAnsiTheme="minorHAnsi" w:cstheme="minorBidi"/>
              <w:noProof/>
              <w:szCs w:val="22"/>
            </w:rPr>
          </w:pPr>
          <w:hyperlink w:anchor="_Toc116593941" w:history="1">
            <w:r w:rsidR="009C4A7F" w:rsidRPr="00E103B9">
              <w:rPr>
                <w:rStyle w:val="a7"/>
                <w:b/>
                <w:noProof/>
                <w:sz w:val="28"/>
              </w:rPr>
              <w:t>Расходы на образование</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_Toc116593941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55</w:t>
            </w:r>
            <w:r w:rsidR="009C4A7F" w:rsidRPr="00E103B9">
              <w:rPr>
                <w:noProof/>
                <w:webHidden/>
                <w:sz w:val="28"/>
              </w:rPr>
              <w:fldChar w:fldCharType="end"/>
            </w:r>
          </w:hyperlink>
        </w:p>
        <w:p w14:paraId="5BCC011A" w14:textId="1D005757" w:rsidR="009C4A7F" w:rsidRPr="00E103B9" w:rsidRDefault="00E103B9">
          <w:pPr>
            <w:pStyle w:val="32"/>
            <w:rPr>
              <w:rFonts w:asciiTheme="minorHAnsi" w:eastAsiaTheme="minorEastAsia" w:hAnsiTheme="minorHAnsi" w:cstheme="minorBidi"/>
              <w:noProof/>
              <w:szCs w:val="22"/>
            </w:rPr>
          </w:pPr>
          <w:hyperlink w:anchor="_Toc116593942" w:history="1">
            <w:r w:rsidR="009C4A7F" w:rsidRPr="00E103B9">
              <w:rPr>
                <w:rStyle w:val="a7"/>
                <w:b/>
                <w:noProof/>
                <w:sz w:val="28"/>
              </w:rPr>
              <w:t>Расходы на науку</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_Toc116593942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62</w:t>
            </w:r>
            <w:r w:rsidR="009C4A7F" w:rsidRPr="00E103B9">
              <w:rPr>
                <w:noProof/>
                <w:webHidden/>
                <w:sz w:val="28"/>
              </w:rPr>
              <w:fldChar w:fldCharType="end"/>
            </w:r>
          </w:hyperlink>
        </w:p>
        <w:p w14:paraId="3C53261A" w14:textId="2EDA56D4" w:rsidR="009C4A7F" w:rsidRPr="00E103B9" w:rsidRDefault="00E103B9">
          <w:pPr>
            <w:pStyle w:val="32"/>
            <w:rPr>
              <w:rFonts w:asciiTheme="minorHAnsi" w:eastAsiaTheme="minorEastAsia" w:hAnsiTheme="minorHAnsi" w:cstheme="minorBidi"/>
              <w:noProof/>
              <w:szCs w:val="22"/>
            </w:rPr>
          </w:pPr>
          <w:hyperlink w:anchor="_Toc116593943" w:history="1">
            <w:r w:rsidR="009C4A7F" w:rsidRPr="00E103B9">
              <w:rPr>
                <w:rStyle w:val="a7"/>
                <w:b/>
                <w:noProof/>
                <w:sz w:val="28"/>
              </w:rPr>
              <w:t>Расходы на здравоохранение</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_Toc116593943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67</w:t>
            </w:r>
            <w:r w:rsidR="009C4A7F" w:rsidRPr="00E103B9">
              <w:rPr>
                <w:noProof/>
                <w:webHidden/>
                <w:sz w:val="28"/>
              </w:rPr>
              <w:fldChar w:fldCharType="end"/>
            </w:r>
          </w:hyperlink>
        </w:p>
        <w:p w14:paraId="5CE97D40" w14:textId="3ED02EAB" w:rsidR="009C4A7F" w:rsidRPr="00E103B9" w:rsidRDefault="00E103B9">
          <w:pPr>
            <w:pStyle w:val="32"/>
            <w:rPr>
              <w:rFonts w:asciiTheme="minorHAnsi" w:eastAsiaTheme="minorEastAsia" w:hAnsiTheme="minorHAnsi" w:cstheme="minorBidi"/>
              <w:noProof/>
              <w:szCs w:val="22"/>
            </w:rPr>
          </w:pPr>
          <w:hyperlink w:anchor="_Toc116593944" w:history="1">
            <w:r w:rsidR="009C4A7F" w:rsidRPr="00E103B9">
              <w:rPr>
                <w:rStyle w:val="a7"/>
                <w:b/>
                <w:noProof/>
                <w:sz w:val="28"/>
              </w:rPr>
              <w:t>Расходы на социальную политику</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_Toc116593944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75</w:t>
            </w:r>
            <w:r w:rsidR="009C4A7F" w:rsidRPr="00E103B9">
              <w:rPr>
                <w:noProof/>
                <w:webHidden/>
                <w:sz w:val="28"/>
              </w:rPr>
              <w:fldChar w:fldCharType="end"/>
            </w:r>
          </w:hyperlink>
        </w:p>
        <w:p w14:paraId="0476D6DF" w14:textId="2B2BD491" w:rsidR="009C4A7F" w:rsidRPr="00E103B9" w:rsidRDefault="00E103B9">
          <w:pPr>
            <w:pStyle w:val="22"/>
            <w:rPr>
              <w:rFonts w:asciiTheme="minorHAnsi" w:eastAsiaTheme="minorEastAsia" w:hAnsiTheme="minorHAnsi" w:cstheme="minorBidi"/>
              <w:noProof/>
              <w:szCs w:val="22"/>
            </w:rPr>
          </w:pPr>
          <w:hyperlink w:anchor="_Toc116593945" w:history="1">
            <w:r w:rsidR="009C4A7F" w:rsidRPr="00E103B9">
              <w:rPr>
                <w:rStyle w:val="a7"/>
                <w:b/>
                <w:noProof/>
                <w:sz w:val="28"/>
              </w:rPr>
              <w:t>4.3 Расходы на обслуживание государственного долга</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_Toc116593945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81</w:t>
            </w:r>
            <w:r w:rsidR="009C4A7F" w:rsidRPr="00E103B9">
              <w:rPr>
                <w:noProof/>
                <w:webHidden/>
                <w:sz w:val="28"/>
              </w:rPr>
              <w:fldChar w:fldCharType="end"/>
            </w:r>
          </w:hyperlink>
        </w:p>
        <w:p w14:paraId="5E1DDB96" w14:textId="549459BD" w:rsidR="009C4A7F" w:rsidRPr="00E103B9" w:rsidRDefault="00E103B9">
          <w:pPr>
            <w:pStyle w:val="15"/>
            <w:rPr>
              <w:rFonts w:asciiTheme="minorHAnsi" w:eastAsiaTheme="minorEastAsia" w:hAnsiTheme="minorHAnsi" w:cstheme="minorBidi"/>
              <w:noProof/>
              <w:szCs w:val="22"/>
            </w:rPr>
          </w:pPr>
          <w:hyperlink w:anchor="_Toc116593946" w:history="1">
            <w:r w:rsidR="009C4A7F" w:rsidRPr="00E103B9">
              <w:rPr>
                <w:rStyle w:val="a7"/>
                <w:b/>
                <w:noProof/>
                <w:kern w:val="28"/>
                <w:sz w:val="28"/>
              </w:rPr>
              <w:t>5</w:t>
            </w:r>
            <w:r w:rsidR="009C4A7F" w:rsidRPr="00E103B9">
              <w:rPr>
                <w:rFonts w:asciiTheme="minorHAnsi" w:eastAsiaTheme="minorEastAsia" w:hAnsiTheme="minorHAnsi" w:cstheme="minorBidi"/>
                <w:noProof/>
                <w:szCs w:val="22"/>
              </w:rPr>
              <w:tab/>
            </w:r>
            <w:r w:rsidR="009C4A7F" w:rsidRPr="00E103B9">
              <w:rPr>
                <w:rStyle w:val="a7"/>
                <w:b/>
                <w:noProof/>
                <w:kern w:val="28"/>
                <w:sz w:val="28"/>
              </w:rPr>
              <w:t>Финансовые взаимоотношения с регионами</w:t>
            </w:r>
            <w:r w:rsidR="009C4A7F" w:rsidRPr="00E103B9">
              <w:rPr>
                <w:noProof/>
                <w:webHidden/>
                <w:sz w:val="28"/>
              </w:rPr>
              <w:tab/>
            </w:r>
            <w:r w:rsidR="009C4A7F" w:rsidRPr="00E103B9">
              <w:rPr>
                <w:noProof/>
                <w:webHidden/>
                <w:sz w:val="28"/>
              </w:rPr>
              <w:fldChar w:fldCharType="begin"/>
            </w:r>
            <w:r w:rsidR="009C4A7F" w:rsidRPr="00E103B9">
              <w:rPr>
                <w:noProof/>
                <w:webHidden/>
                <w:sz w:val="28"/>
              </w:rPr>
              <w:instrText xml:space="preserve"> PAGEREF _Toc116593946 \h </w:instrText>
            </w:r>
            <w:r w:rsidR="009C4A7F" w:rsidRPr="00E103B9">
              <w:rPr>
                <w:noProof/>
                <w:webHidden/>
                <w:sz w:val="28"/>
              </w:rPr>
            </w:r>
            <w:r w:rsidR="009C4A7F" w:rsidRPr="00E103B9">
              <w:rPr>
                <w:noProof/>
                <w:webHidden/>
                <w:sz w:val="28"/>
              </w:rPr>
              <w:fldChar w:fldCharType="separate"/>
            </w:r>
            <w:r w:rsidR="009C4A7F" w:rsidRPr="00E103B9">
              <w:rPr>
                <w:noProof/>
                <w:webHidden/>
                <w:sz w:val="28"/>
              </w:rPr>
              <w:t>84</w:t>
            </w:r>
            <w:r w:rsidR="009C4A7F" w:rsidRPr="00E103B9">
              <w:rPr>
                <w:noProof/>
                <w:webHidden/>
                <w:sz w:val="28"/>
              </w:rPr>
              <w:fldChar w:fldCharType="end"/>
            </w:r>
          </w:hyperlink>
        </w:p>
        <w:p w14:paraId="240F6B20" w14:textId="3A7DFAA2" w:rsidR="00995E45" w:rsidRPr="009D5B83" w:rsidRDefault="00EF7DB3" w:rsidP="00F64D0F">
          <w:pPr>
            <w:spacing w:before="120" w:after="120"/>
            <w:jc w:val="both"/>
            <w:rPr>
              <w:szCs w:val="20"/>
            </w:rPr>
          </w:pPr>
          <w:r w:rsidRPr="00E103B9">
            <w:rPr>
              <w:bCs/>
              <w:sz w:val="28"/>
              <w:szCs w:val="20"/>
              <w:highlight w:val="red"/>
            </w:rPr>
            <w:fldChar w:fldCharType="end"/>
          </w:r>
        </w:p>
      </w:sdtContent>
    </w:sdt>
    <w:p w14:paraId="7E8D7F37" w14:textId="0989A826" w:rsidR="00995E45" w:rsidRPr="009D5B83" w:rsidRDefault="00995E45" w:rsidP="002E7591">
      <w:pPr>
        <w:rPr>
          <w:b/>
        </w:rPr>
      </w:pPr>
      <w:r w:rsidRPr="009D5B83">
        <w:rPr>
          <w:b/>
        </w:rPr>
        <w:br w:type="page"/>
      </w:r>
    </w:p>
    <w:p w14:paraId="4CA80CB7" w14:textId="699900FE" w:rsidR="006410F9" w:rsidRPr="006410F9" w:rsidRDefault="006410F9" w:rsidP="006410F9">
      <w:pPr>
        <w:pStyle w:val="afc"/>
        <w:keepNext/>
        <w:spacing w:before="240" w:after="360"/>
        <w:ind w:left="0" w:firstLine="0"/>
        <w:jc w:val="center"/>
        <w:outlineLvl w:val="0"/>
        <w:rPr>
          <w:b/>
          <w:kern w:val="28"/>
          <w:sz w:val="28"/>
        </w:rPr>
      </w:pPr>
      <w:bookmarkStart w:id="1" w:name="_Toc116593926"/>
      <w:r w:rsidRPr="006410F9">
        <w:rPr>
          <w:b/>
          <w:kern w:val="28"/>
          <w:sz w:val="28"/>
        </w:rPr>
        <w:lastRenderedPageBreak/>
        <w:t>Основные выводы</w:t>
      </w:r>
      <w:bookmarkEnd w:id="1"/>
    </w:p>
    <w:p w14:paraId="65FCB1D4" w14:textId="1E34349D" w:rsidR="006410F9" w:rsidRPr="00E103B9" w:rsidRDefault="006410F9" w:rsidP="006410F9">
      <w:pPr>
        <w:spacing w:after="120"/>
        <w:ind w:firstLine="709"/>
        <w:jc w:val="both"/>
        <w:rPr>
          <w:sz w:val="28"/>
        </w:rPr>
      </w:pPr>
      <w:r w:rsidRPr="00E103B9">
        <w:rPr>
          <w:sz w:val="28"/>
        </w:rPr>
        <w:t xml:space="preserve">1. </w:t>
      </w:r>
      <w:proofErr w:type="gramStart"/>
      <w:r w:rsidRPr="00E103B9">
        <w:rPr>
          <w:sz w:val="28"/>
        </w:rPr>
        <w:t>Параметры проекта федерального закона «О федеральном бюджете на 2023 год и на плановый период 2024 и 2025 годов» (далее – Законопроект) определены на основе подготовленного Минэкономразвития России прогноза социально-экономического развития Российской Федерации на 2023 год и на плановый период 2024 и 2025 годов</w:t>
      </w:r>
      <w:r w:rsidR="008A3BCD" w:rsidRPr="00E103B9">
        <w:rPr>
          <w:rFonts w:eastAsia="MS Mincho"/>
          <w:iCs/>
          <w:sz w:val="28"/>
          <w:szCs w:val="20"/>
          <w:vertAlign w:val="superscript"/>
          <w:lang w:eastAsia="ja-JP"/>
        </w:rPr>
        <w:footnoteReference w:id="2"/>
      </w:r>
      <w:r w:rsidRPr="00E103B9">
        <w:rPr>
          <w:sz w:val="28"/>
        </w:rPr>
        <w:t xml:space="preserve"> (далее – Прогноз).</w:t>
      </w:r>
      <w:proofErr w:type="gramEnd"/>
      <w:r w:rsidRPr="00E103B9">
        <w:rPr>
          <w:sz w:val="28"/>
        </w:rPr>
        <w:t xml:space="preserve"> На наш взгляд, отдельные параметры Прогноза оценены излишне оптимистично и не учитывают в должной мере риски как дальнейшего усиления </w:t>
      </w:r>
      <w:proofErr w:type="spellStart"/>
      <w:r w:rsidRPr="00E103B9">
        <w:rPr>
          <w:sz w:val="28"/>
        </w:rPr>
        <w:t>санкционного</w:t>
      </w:r>
      <w:proofErr w:type="spellEnd"/>
      <w:r w:rsidRPr="00E103B9">
        <w:rPr>
          <w:sz w:val="28"/>
        </w:rPr>
        <w:t xml:space="preserve"> давления и торможения мировой экономики, так и проявляющиеся экономические проблемы и ограничения внутри страны. </w:t>
      </w:r>
    </w:p>
    <w:p w14:paraId="2A3EFAB1" w14:textId="5B7FF112" w:rsidR="006410F9" w:rsidRPr="00E103B9" w:rsidRDefault="006410F9" w:rsidP="006410F9">
      <w:pPr>
        <w:spacing w:after="120"/>
        <w:ind w:firstLine="709"/>
        <w:jc w:val="both"/>
        <w:rPr>
          <w:sz w:val="28"/>
        </w:rPr>
      </w:pPr>
      <w:r w:rsidRPr="00E103B9">
        <w:rPr>
          <w:sz w:val="28"/>
        </w:rPr>
        <w:t xml:space="preserve">В частности, </w:t>
      </w:r>
      <w:r w:rsidR="003760A3" w:rsidRPr="00E103B9">
        <w:rPr>
          <w:sz w:val="28"/>
        </w:rPr>
        <w:t xml:space="preserve">прогнозы </w:t>
      </w:r>
      <w:r w:rsidRPr="00E103B9">
        <w:rPr>
          <w:sz w:val="28"/>
        </w:rPr>
        <w:t>инфля</w:t>
      </w:r>
      <w:r w:rsidR="003760A3" w:rsidRPr="00E103B9">
        <w:rPr>
          <w:sz w:val="28"/>
        </w:rPr>
        <w:t>ц</w:t>
      </w:r>
      <w:r w:rsidRPr="00E103B9">
        <w:rPr>
          <w:sz w:val="28"/>
        </w:rPr>
        <w:t>и</w:t>
      </w:r>
      <w:r w:rsidR="003760A3" w:rsidRPr="00E103B9">
        <w:rPr>
          <w:sz w:val="28"/>
        </w:rPr>
        <w:t>и</w:t>
      </w:r>
      <w:r w:rsidRPr="00E103B9">
        <w:rPr>
          <w:sz w:val="28"/>
        </w:rPr>
        <w:t xml:space="preserve"> могут оказаться заниженными вследствие роста денежной массы, не соответствующей динамике экономики, импортируемой инфляции, индексации тарифов естественных монополий, ускоренного обесценения рубля или повышенного роста потребительского кредитования, а также дальнейшего усиления </w:t>
      </w:r>
      <w:proofErr w:type="spellStart"/>
      <w:r w:rsidRPr="00E103B9">
        <w:rPr>
          <w:sz w:val="28"/>
        </w:rPr>
        <w:t>санкционного</w:t>
      </w:r>
      <w:proofErr w:type="spellEnd"/>
      <w:r w:rsidRPr="00E103B9">
        <w:rPr>
          <w:sz w:val="28"/>
        </w:rPr>
        <w:t xml:space="preserve"> давления.</w:t>
      </w:r>
    </w:p>
    <w:p w14:paraId="4D2428A0" w14:textId="77777777" w:rsidR="006410F9" w:rsidRPr="00E103B9" w:rsidRDefault="006410F9" w:rsidP="006410F9">
      <w:pPr>
        <w:spacing w:after="120"/>
        <w:ind w:firstLine="709"/>
        <w:jc w:val="both"/>
        <w:rPr>
          <w:sz w:val="28"/>
        </w:rPr>
      </w:pPr>
      <w:r w:rsidRPr="00E103B9">
        <w:rPr>
          <w:sz w:val="28"/>
        </w:rPr>
        <w:t>Курс доллара, по нашим оценкам, может находиться в интервале 72-83 рублей за доллар в 2023-2025 гг. вместо 68-72 рублей в базовом сценарии Прогноза. Давление на рубль, помимо более высокой инфляции и снижения спроса на российский экспо</w:t>
      </w:r>
      <w:proofErr w:type="gramStart"/>
      <w:r w:rsidRPr="00E103B9">
        <w:rPr>
          <w:sz w:val="28"/>
        </w:rPr>
        <w:t>рт всл</w:t>
      </w:r>
      <w:proofErr w:type="gramEnd"/>
      <w:r w:rsidRPr="00E103B9">
        <w:rPr>
          <w:sz w:val="28"/>
        </w:rPr>
        <w:t>едствие рецессии мировой экономики, будут оказывать санкции на поставки сырья в ЕС, что приведет к падению выручки экспортеров и при отсутствии должной компенсации через рост цен – к ослаблению рубля.</w:t>
      </w:r>
    </w:p>
    <w:p w14:paraId="7F37512C" w14:textId="77777777" w:rsidR="006410F9" w:rsidRPr="00E103B9" w:rsidRDefault="006410F9" w:rsidP="006410F9">
      <w:pPr>
        <w:spacing w:after="120"/>
        <w:ind w:firstLine="709"/>
        <w:jc w:val="both"/>
        <w:rPr>
          <w:sz w:val="28"/>
        </w:rPr>
      </w:pPr>
      <w:proofErr w:type="gramStart"/>
      <w:r w:rsidRPr="00E103B9">
        <w:rPr>
          <w:sz w:val="28"/>
        </w:rPr>
        <w:t xml:space="preserve">Снижение ВВП в 2023 г., по нашим оценкам, может составить более 5% (вместо ожидаемых Минэкономразвития России -0,8%) по причине воздействия целого ряда значимых факторов: замедление мировой экономики, глобальная инфляция, снижение инвестиционной привлекательности России, нарастающее </w:t>
      </w:r>
      <w:proofErr w:type="spellStart"/>
      <w:r w:rsidRPr="00E103B9">
        <w:rPr>
          <w:sz w:val="28"/>
        </w:rPr>
        <w:t>санкционное</w:t>
      </w:r>
      <w:proofErr w:type="spellEnd"/>
      <w:r w:rsidRPr="00E103B9">
        <w:rPr>
          <w:sz w:val="28"/>
        </w:rPr>
        <w:t xml:space="preserve"> давление, снижение экспорта при одновременном восстановлении импорта, уход иностранных компаний и ограниченные возможности отечественных компаний.</w:t>
      </w:r>
      <w:proofErr w:type="gramEnd"/>
    </w:p>
    <w:p w14:paraId="0831F707" w14:textId="5A289E49" w:rsidR="006410F9" w:rsidRPr="00E103B9" w:rsidRDefault="006410F9" w:rsidP="006410F9">
      <w:pPr>
        <w:spacing w:after="120"/>
        <w:ind w:firstLine="709"/>
        <w:jc w:val="both"/>
        <w:rPr>
          <w:sz w:val="28"/>
        </w:rPr>
      </w:pPr>
      <w:r w:rsidRPr="00E103B9">
        <w:rPr>
          <w:sz w:val="28"/>
        </w:rPr>
        <w:t xml:space="preserve">2. </w:t>
      </w:r>
      <w:proofErr w:type="gramStart"/>
      <w:r w:rsidRPr="00E103B9">
        <w:rPr>
          <w:sz w:val="28"/>
        </w:rPr>
        <w:t xml:space="preserve">В 2023-2025 гг. Минфин России ожидает снижение доходов федерального бюджета относительно ВВП, обусловленное в основном существенным сокращением нефтегазовых доходов (на 3 </w:t>
      </w:r>
      <w:proofErr w:type="spellStart"/>
      <w:r w:rsidRPr="00E103B9">
        <w:rPr>
          <w:sz w:val="28"/>
        </w:rPr>
        <w:t>п.п</w:t>
      </w:r>
      <w:proofErr w:type="spellEnd"/>
      <w:r w:rsidRPr="00E103B9">
        <w:rPr>
          <w:sz w:val="28"/>
        </w:rPr>
        <w:t>.</w:t>
      </w:r>
      <w:proofErr w:type="gramEnd"/>
      <w:r w:rsidRPr="00E103B9">
        <w:rPr>
          <w:sz w:val="28"/>
        </w:rPr>
        <w:t xml:space="preserve"> </w:t>
      </w:r>
      <w:proofErr w:type="gramStart"/>
      <w:r w:rsidRPr="00E103B9">
        <w:rPr>
          <w:sz w:val="28"/>
        </w:rPr>
        <w:t>ВВП к 2025 г. по сравнению с текущим годом или более чем на треть в реальном выражении).</w:t>
      </w:r>
      <w:proofErr w:type="gramEnd"/>
      <w:r w:rsidRPr="00E103B9">
        <w:rPr>
          <w:sz w:val="28"/>
        </w:rPr>
        <w:t xml:space="preserve"> Однако в Законопроекте значения прогнозных поступлений основных налоговых доходов и таможенных пошлин от нефтегазовой отрасли представлены только для базового сценария Прогноза. Учитывая высокий уровень неопределенности, связанный с реализацией </w:t>
      </w:r>
      <w:proofErr w:type="spellStart"/>
      <w:r w:rsidRPr="00E103B9">
        <w:rPr>
          <w:sz w:val="28"/>
        </w:rPr>
        <w:t>санкционной</w:t>
      </w:r>
      <w:proofErr w:type="spellEnd"/>
      <w:r w:rsidRPr="00E103B9">
        <w:rPr>
          <w:sz w:val="28"/>
        </w:rPr>
        <w:t xml:space="preserve"> политики недружественными странами, необходимо учитывать существование потенциальных развилок для энергетического сектора </w:t>
      </w:r>
      <w:r w:rsidRPr="00E103B9">
        <w:rPr>
          <w:sz w:val="28"/>
        </w:rPr>
        <w:lastRenderedPageBreak/>
        <w:t xml:space="preserve">России (возможности по полному или частичному перенаправлению объема «выпадающего» российского экспорта в ЕС в другие страны; «серый» импорт энергоносителей в США и ЕС и др.). </w:t>
      </w:r>
      <w:proofErr w:type="gramStart"/>
      <w:r w:rsidRPr="00E103B9">
        <w:rPr>
          <w:sz w:val="28"/>
        </w:rPr>
        <w:t>К основным факторам, оказывающим влияние на прогнозируемые объемы поставок нефти и нефтепродуктов из РФ, можно отнести решение стран-соглашения ОПЕК+ по корректировке объемов добычи нефти, неопределенность относительно фактической строгости выполнения и длительности действия санкций, наложенных на ТЭК России рядом стран, условия введения вторичных санкции ЕС и США и др. При реализации указанных факторов в той или иной мере сокращение нефтегазовых доходов</w:t>
      </w:r>
      <w:proofErr w:type="gramEnd"/>
      <w:r w:rsidRPr="00E103B9">
        <w:rPr>
          <w:sz w:val="28"/>
        </w:rPr>
        <w:t xml:space="preserve"> может быть больше, чем ожидает Минфин России.</w:t>
      </w:r>
    </w:p>
    <w:p w14:paraId="7FDE8CB3" w14:textId="77777777" w:rsidR="006410F9" w:rsidRPr="00E103B9" w:rsidRDefault="006410F9" w:rsidP="006410F9">
      <w:pPr>
        <w:spacing w:after="120"/>
        <w:ind w:firstLine="709"/>
        <w:jc w:val="both"/>
        <w:rPr>
          <w:sz w:val="28"/>
        </w:rPr>
      </w:pPr>
      <w:proofErr w:type="gramStart"/>
      <w:r w:rsidRPr="00E103B9">
        <w:rPr>
          <w:sz w:val="28"/>
        </w:rPr>
        <w:t xml:space="preserve">В 2023-2025 гг. нефтегазовые и угольные компании ожидает повышение налогообложения, которое подразумевает изъятие «сверхприбыли», полученной из-за благоприятной ценовой конъюнктуры в 2022 г. Однако увеличение налогообложения данных отраслей в 2023 г., когда в полной мере начнут действовать </w:t>
      </w:r>
      <w:proofErr w:type="spellStart"/>
      <w:r w:rsidRPr="00E103B9">
        <w:rPr>
          <w:sz w:val="28"/>
        </w:rPr>
        <w:t>санкционные</w:t>
      </w:r>
      <w:proofErr w:type="spellEnd"/>
      <w:r w:rsidRPr="00E103B9">
        <w:rPr>
          <w:sz w:val="28"/>
        </w:rPr>
        <w:t xml:space="preserve"> ограничения для российской энергетической отрасли, может сказаться на усугублении проблемы межотраслевого перекрестного субсидирования в грузовых ж/д перевозках, росте цен в промышленности, </w:t>
      </w:r>
      <w:proofErr w:type="spellStart"/>
      <w:r w:rsidRPr="00E103B9">
        <w:rPr>
          <w:sz w:val="28"/>
        </w:rPr>
        <w:t>недостижении</w:t>
      </w:r>
      <w:proofErr w:type="spellEnd"/>
      <w:proofErr w:type="gramEnd"/>
      <w:r w:rsidRPr="00E103B9">
        <w:rPr>
          <w:sz w:val="28"/>
        </w:rPr>
        <w:t xml:space="preserve"> некоторых целей Энергетической стратегии России. Данные последствия также необходимо учитывать при прогнозировании налоговых поступлений и проведении налоговой политики.</w:t>
      </w:r>
    </w:p>
    <w:p w14:paraId="17C8A1F8" w14:textId="634D42CA" w:rsidR="006410F9" w:rsidRPr="00E103B9" w:rsidRDefault="006410F9" w:rsidP="006410F9">
      <w:pPr>
        <w:spacing w:after="120"/>
        <w:ind w:firstLine="709"/>
        <w:jc w:val="both"/>
        <w:rPr>
          <w:sz w:val="28"/>
        </w:rPr>
      </w:pPr>
      <w:r w:rsidRPr="00E103B9">
        <w:rPr>
          <w:sz w:val="28"/>
        </w:rPr>
        <w:t xml:space="preserve">3. Среди </w:t>
      </w:r>
      <w:proofErr w:type="spellStart"/>
      <w:r w:rsidRPr="00E103B9">
        <w:rPr>
          <w:sz w:val="28"/>
        </w:rPr>
        <w:t>ненефтегазовых</w:t>
      </w:r>
      <w:proofErr w:type="spellEnd"/>
      <w:r w:rsidRPr="00E103B9">
        <w:rPr>
          <w:sz w:val="28"/>
        </w:rPr>
        <w:t xml:space="preserve"> доходов НДС остается основным источником пополнения федерального бюджета. </w:t>
      </w:r>
      <w:proofErr w:type="gramStart"/>
      <w:r w:rsidRPr="00E103B9">
        <w:rPr>
          <w:sz w:val="28"/>
        </w:rPr>
        <w:t>Однако Минфин России заложил в прогноз поступлений НДС достаточно быстрые темпы восстановления импорта, что вызывает сомнения в силу наложенных на Россию ограничений на импорт, динамики развития параллельного импорта и роста логистических затрат, а также избыточно оптимистичные оценки доходов населения, на которые продолжат влиять инфляция, накопленная кредитная нагрузка, снижение числа высокооплачиваемых рабочих мест и другие факторы.</w:t>
      </w:r>
      <w:proofErr w:type="gramEnd"/>
      <w:r w:rsidRPr="00E103B9">
        <w:rPr>
          <w:sz w:val="28"/>
        </w:rPr>
        <w:t xml:space="preserve"> В конечном счете расхождения между нашими оценками и прогнозом Минфина России по НДС таковы, что федеральный бюджет может не досчитаться по НДС порядка 1,0-1,2 </w:t>
      </w:r>
      <w:proofErr w:type="gramStart"/>
      <w:r w:rsidRPr="00E103B9">
        <w:rPr>
          <w:sz w:val="28"/>
        </w:rPr>
        <w:t>трлн</w:t>
      </w:r>
      <w:proofErr w:type="gramEnd"/>
      <w:r w:rsidRPr="00E103B9">
        <w:rPr>
          <w:sz w:val="28"/>
        </w:rPr>
        <w:t xml:space="preserve"> руб</w:t>
      </w:r>
      <w:r w:rsidR="008A3BCD" w:rsidRPr="00E103B9">
        <w:rPr>
          <w:sz w:val="28"/>
        </w:rPr>
        <w:t>.</w:t>
      </w:r>
      <w:r w:rsidRPr="00E103B9">
        <w:rPr>
          <w:sz w:val="28"/>
        </w:rPr>
        <w:t xml:space="preserve"> ежегодно в 2023-2025 гг.</w:t>
      </w:r>
    </w:p>
    <w:p w14:paraId="06FA7326" w14:textId="1D5E4B13" w:rsidR="006410F9" w:rsidRPr="00E103B9" w:rsidRDefault="006410F9" w:rsidP="006410F9">
      <w:pPr>
        <w:spacing w:after="120"/>
        <w:ind w:firstLine="709"/>
        <w:jc w:val="both"/>
        <w:rPr>
          <w:sz w:val="28"/>
        </w:rPr>
      </w:pPr>
      <w:r w:rsidRPr="00E103B9">
        <w:rPr>
          <w:sz w:val="28"/>
        </w:rPr>
        <w:t xml:space="preserve">4. В </w:t>
      </w:r>
      <w:proofErr w:type="gramStart"/>
      <w:r w:rsidRPr="00E103B9">
        <w:rPr>
          <w:sz w:val="28"/>
        </w:rPr>
        <w:t>условиях</w:t>
      </w:r>
      <w:proofErr w:type="gramEnd"/>
      <w:r w:rsidRPr="00E103B9">
        <w:rPr>
          <w:sz w:val="28"/>
        </w:rPr>
        <w:t xml:space="preserve"> той экономико-политической ситуации, которая стала складываться после начала спецоперации, приватизационная повестка нуждается в пересмотре. С одной стороны, государство вынуждено принимать более активное участие в обеспечении финансово-хозяйственного «выживания» стратегических предприятий страны. Более того, необходимость выполнения государством собственных функций и полномочий обуславливает потребность задействовать принадлежащее казне имущество, в том числе унитарные предприятия, в большем масштабе, чем это </w:t>
      </w:r>
      <w:r w:rsidR="003760A3" w:rsidRPr="00E103B9">
        <w:rPr>
          <w:sz w:val="28"/>
        </w:rPr>
        <w:t xml:space="preserve">происходит в </w:t>
      </w:r>
      <w:r w:rsidRPr="00E103B9">
        <w:rPr>
          <w:sz w:val="28"/>
        </w:rPr>
        <w:t xml:space="preserve">текущий момент. С другой стороны, выпадение доходов федерального бюджета как по сырьевым, так и </w:t>
      </w:r>
      <w:proofErr w:type="spellStart"/>
      <w:r w:rsidRPr="00E103B9">
        <w:rPr>
          <w:sz w:val="28"/>
        </w:rPr>
        <w:t>несырьевым</w:t>
      </w:r>
      <w:proofErr w:type="spellEnd"/>
      <w:r w:rsidRPr="00E103B9">
        <w:rPr>
          <w:sz w:val="28"/>
        </w:rPr>
        <w:t xml:space="preserve"> налогам может усилить проблему дефицита, что в свою очередь актуализирует вопросы источников его покрытия. Дополнительные беспокойство вызывает ситуация с дивидендными поступлениями в бюджет: на горизонте 2023-2025 гг. существует </w:t>
      </w:r>
      <w:r w:rsidRPr="00E103B9">
        <w:rPr>
          <w:sz w:val="28"/>
        </w:rPr>
        <w:lastRenderedPageBreak/>
        <w:t>очевидный риск их существенного снижения (</w:t>
      </w:r>
      <w:proofErr w:type="spellStart"/>
      <w:r w:rsidRPr="00E103B9">
        <w:rPr>
          <w:sz w:val="28"/>
        </w:rPr>
        <w:t>недополучения</w:t>
      </w:r>
      <w:proofErr w:type="spellEnd"/>
      <w:r w:rsidRPr="00E103B9">
        <w:rPr>
          <w:sz w:val="28"/>
        </w:rPr>
        <w:t xml:space="preserve"> относительно ожиданий).</w:t>
      </w:r>
    </w:p>
    <w:p w14:paraId="51203A4B" w14:textId="26082B48" w:rsidR="006410F9" w:rsidRPr="00E103B9" w:rsidRDefault="006410F9" w:rsidP="006410F9">
      <w:pPr>
        <w:spacing w:after="120"/>
        <w:ind w:firstLine="709"/>
        <w:jc w:val="both"/>
        <w:rPr>
          <w:sz w:val="28"/>
        </w:rPr>
      </w:pPr>
      <w:r w:rsidRPr="00E103B9">
        <w:rPr>
          <w:sz w:val="28"/>
        </w:rPr>
        <w:t xml:space="preserve">5. Расходы федерального бюджета в номинальном выражении в течение 2022-2025 гг. «замирают» на уровне немногим более 29 </w:t>
      </w:r>
      <w:proofErr w:type="gramStart"/>
      <w:r w:rsidRPr="00E103B9">
        <w:rPr>
          <w:sz w:val="28"/>
        </w:rPr>
        <w:t>трлн</w:t>
      </w:r>
      <w:proofErr w:type="gramEnd"/>
      <w:r w:rsidRPr="00E103B9">
        <w:rPr>
          <w:sz w:val="28"/>
        </w:rPr>
        <w:t xml:space="preserve"> руб</w:t>
      </w:r>
      <w:r w:rsidR="00F61B37" w:rsidRPr="00E103B9">
        <w:rPr>
          <w:sz w:val="28"/>
        </w:rPr>
        <w:t>.</w:t>
      </w:r>
      <w:r w:rsidRPr="00E103B9">
        <w:rPr>
          <w:sz w:val="28"/>
        </w:rPr>
        <w:t xml:space="preserve">, что выглядит несколько искусственно с учетом предыдущей многолетней динамики роста (с начала 2000-х гг.). В реальном </w:t>
      </w:r>
      <w:proofErr w:type="gramStart"/>
      <w:r w:rsidRPr="00E103B9">
        <w:rPr>
          <w:sz w:val="28"/>
        </w:rPr>
        <w:t>выражении</w:t>
      </w:r>
      <w:proofErr w:type="gramEnd"/>
      <w:r w:rsidRPr="00E103B9">
        <w:rPr>
          <w:sz w:val="28"/>
        </w:rPr>
        <w:t xml:space="preserve"> запланированные на предстоящую трехлетку расходы вполне «укладываются» в сформировавшийся еще с начала 2000-х гг. восходящий тренд, причем следовавшая за каждым пиком расходов федерального бюджета (например, в 2009 и 2012 гг.) оптимизация не переламывала данный тренд, обеспечивая лишь временный откат к </w:t>
      </w:r>
      <w:proofErr w:type="spellStart"/>
      <w:r w:rsidRPr="00E103B9">
        <w:rPr>
          <w:sz w:val="28"/>
        </w:rPr>
        <w:t>допиковым</w:t>
      </w:r>
      <w:proofErr w:type="spellEnd"/>
      <w:r w:rsidRPr="00E103B9">
        <w:rPr>
          <w:sz w:val="28"/>
        </w:rPr>
        <w:t xml:space="preserve"> уровням расходов. При проведении в 2023-2025 гг. оптимизационных мер крайне важно не допустить сокращения расходов производительного характера в реальном выражении по сравнению с достигнутым в 2020-2022 гг. уровнем.</w:t>
      </w:r>
    </w:p>
    <w:p w14:paraId="5C691FA5" w14:textId="77777777" w:rsidR="006410F9" w:rsidRPr="00E103B9" w:rsidRDefault="006410F9" w:rsidP="006410F9">
      <w:pPr>
        <w:spacing w:after="120"/>
        <w:ind w:firstLine="709"/>
        <w:jc w:val="both"/>
        <w:rPr>
          <w:sz w:val="28"/>
        </w:rPr>
      </w:pPr>
      <w:r w:rsidRPr="00E103B9">
        <w:rPr>
          <w:sz w:val="28"/>
        </w:rPr>
        <w:t>В текущей версии Законопроекта соотношение производительных и непроизводительных расходов федерального бюджета (даже при отсутствии распределения условно-утверждаемых расходов (УУР)) в рассматриваемом периоде практически не меняется, при этом объем производительных расходов все-таки сокращается к 2025 г. относительно 2021 г. на 3,4% в номинальном выражении и порядка 25% в реальном. Доля производительных расходов в общем объеме расходной части федерального бюджета в 2025 г. сокращается до 21,4% против 23,1% в 2021 г., но ситуация может несколько улучшиться после распределения УУР, т.е. уже в рамках двух следующих бюджетных циклов.</w:t>
      </w:r>
    </w:p>
    <w:p w14:paraId="47EFD2F5" w14:textId="6BA01F46" w:rsidR="006410F9" w:rsidRPr="00E103B9" w:rsidRDefault="006410F9" w:rsidP="006410F9">
      <w:pPr>
        <w:spacing w:after="120"/>
        <w:ind w:firstLine="709"/>
        <w:jc w:val="both"/>
        <w:rPr>
          <w:iCs/>
          <w:color w:val="000000"/>
          <w:sz w:val="28"/>
        </w:rPr>
      </w:pPr>
      <w:r w:rsidRPr="00E103B9">
        <w:rPr>
          <w:sz w:val="28"/>
        </w:rPr>
        <w:t>6. В</w:t>
      </w:r>
      <w:r w:rsidRPr="00E103B9">
        <w:rPr>
          <w:iCs/>
          <w:color w:val="000000"/>
          <w:sz w:val="28"/>
        </w:rPr>
        <w:t xml:space="preserve"> </w:t>
      </w:r>
      <w:proofErr w:type="gramStart"/>
      <w:r w:rsidRPr="00E103B9">
        <w:rPr>
          <w:iCs/>
          <w:color w:val="000000"/>
          <w:sz w:val="28"/>
        </w:rPr>
        <w:t>Законопроекте</w:t>
      </w:r>
      <w:proofErr w:type="gramEnd"/>
      <w:r w:rsidRPr="00E103B9">
        <w:rPr>
          <w:iCs/>
          <w:color w:val="000000"/>
          <w:sz w:val="28"/>
        </w:rPr>
        <w:t xml:space="preserve"> можно выделить два ключевых аспекта в динамике расходов федерального бюджета на инфраструктуру и промышленность в 2023-2025 гг. Первый – значительное снижение расходов по обоим направлениям уже в 2023 г. (на 23% и 18% к уровню 2022</w:t>
      </w:r>
      <w:r w:rsidR="00F61B37" w:rsidRPr="00E103B9">
        <w:rPr>
          <w:iCs/>
          <w:color w:val="000000"/>
          <w:sz w:val="28"/>
        </w:rPr>
        <w:t xml:space="preserve"> г.</w:t>
      </w:r>
      <w:r w:rsidRPr="00E103B9">
        <w:rPr>
          <w:iCs/>
          <w:color w:val="000000"/>
          <w:sz w:val="28"/>
        </w:rPr>
        <w:t xml:space="preserve"> соответственно). Второй – снижение расходов предполагается на протяжении всего планового периода 2023-2025 гг. на 21% и 38% соответственно в 2025 г</w:t>
      </w:r>
      <w:r w:rsidR="00F61B37" w:rsidRPr="00E103B9">
        <w:rPr>
          <w:iCs/>
          <w:color w:val="000000"/>
          <w:sz w:val="28"/>
        </w:rPr>
        <w:t>.</w:t>
      </w:r>
      <w:r w:rsidRPr="00E103B9">
        <w:rPr>
          <w:iCs/>
          <w:color w:val="000000"/>
          <w:sz w:val="28"/>
        </w:rPr>
        <w:t xml:space="preserve"> к уровню 2022 г. Снижение расходов происходит и по отдельным компонентам в рамках указанных направлений, однако величина и скорость этого снижения значительно различаются. В </w:t>
      </w:r>
      <w:proofErr w:type="gramStart"/>
      <w:r w:rsidRPr="00E103B9">
        <w:rPr>
          <w:iCs/>
          <w:color w:val="000000"/>
          <w:sz w:val="28"/>
        </w:rPr>
        <w:t>целом</w:t>
      </w:r>
      <w:proofErr w:type="gramEnd"/>
      <w:r w:rsidRPr="00E103B9">
        <w:rPr>
          <w:iCs/>
          <w:color w:val="000000"/>
          <w:sz w:val="28"/>
        </w:rPr>
        <w:t xml:space="preserve"> отмечается более быстрое сокращение производительных расходов в сравнении с непроизводительными (на 11,5% и 3,0% соответственно в 2025 г. к уровню 2022 г.).</w:t>
      </w:r>
    </w:p>
    <w:p w14:paraId="567CEEEC" w14:textId="77777777" w:rsidR="006410F9" w:rsidRPr="00E103B9" w:rsidRDefault="006410F9" w:rsidP="006410F9">
      <w:pPr>
        <w:spacing w:after="120"/>
        <w:ind w:firstLine="709"/>
        <w:jc w:val="both"/>
        <w:rPr>
          <w:iCs/>
          <w:color w:val="000000"/>
          <w:sz w:val="28"/>
        </w:rPr>
      </w:pPr>
      <w:r w:rsidRPr="00E103B9">
        <w:rPr>
          <w:iCs/>
          <w:color w:val="000000"/>
          <w:sz w:val="28"/>
        </w:rPr>
        <w:t xml:space="preserve">В </w:t>
      </w:r>
      <w:proofErr w:type="gramStart"/>
      <w:r w:rsidRPr="00E103B9">
        <w:rPr>
          <w:iCs/>
          <w:color w:val="000000"/>
          <w:sz w:val="28"/>
        </w:rPr>
        <w:t>рамках</w:t>
      </w:r>
      <w:proofErr w:type="gramEnd"/>
      <w:r w:rsidRPr="00E103B9">
        <w:rPr>
          <w:iCs/>
          <w:color w:val="000000"/>
          <w:sz w:val="28"/>
        </w:rPr>
        <w:t xml:space="preserve"> расходов на инфраструктуру снижение запланировано по всем компонентам: водное хозяйство, транспорт, дорожное хозяйство и связь и информатика (от -7,1% до – 71,3% в 2025 г. к уровню 2022 г.). Наибольшие сокращения коснутся расходов на связь и информатику, а также транспорт. Подобная динамика расходов на транспорт и дорожное хозяйство может формировать значительные трудности для развития транспортной отрасли, которая должна стать основой для переориентации экономики в рамках поиска партнеров, в </w:t>
      </w:r>
      <w:proofErr w:type="spellStart"/>
      <w:r w:rsidRPr="00E103B9">
        <w:rPr>
          <w:iCs/>
          <w:color w:val="000000"/>
          <w:sz w:val="28"/>
        </w:rPr>
        <w:t>т.ч</w:t>
      </w:r>
      <w:proofErr w:type="spellEnd"/>
      <w:r w:rsidRPr="00E103B9">
        <w:rPr>
          <w:iCs/>
          <w:color w:val="000000"/>
          <w:sz w:val="28"/>
        </w:rPr>
        <w:t xml:space="preserve">. путем расширения транспортных коридоров («Север-Юг», Восточный полигон), в связи с введенными внешними ограничениями. </w:t>
      </w:r>
    </w:p>
    <w:p w14:paraId="11E6BF7C" w14:textId="77777777" w:rsidR="006410F9" w:rsidRPr="00E103B9" w:rsidRDefault="006410F9" w:rsidP="006410F9">
      <w:pPr>
        <w:spacing w:after="120"/>
        <w:ind w:firstLine="709"/>
        <w:jc w:val="both"/>
        <w:rPr>
          <w:iCs/>
          <w:color w:val="000000"/>
          <w:sz w:val="28"/>
        </w:rPr>
      </w:pPr>
      <w:r w:rsidRPr="00E103B9">
        <w:rPr>
          <w:iCs/>
          <w:color w:val="000000"/>
          <w:sz w:val="28"/>
        </w:rPr>
        <w:t xml:space="preserve">Значительное сокращение расходов предполагается на </w:t>
      </w:r>
      <w:proofErr w:type="spellStart"/>
      <w:r w:rsidRPr="00E103B9">
        <w:rPr>
          <w:iCs/>
          <w:color w:val="000000"/>
          <w:sz w:val="28"/>
        </w:rPr>
        <w:t>цифровизацию</w:t>
      </w:r>
      <w:proofErr w:type="spellEnd"/>
      <w:r w:rsidRPr="00E103B9">
        <w:rPr>
          <w:iCs/>
          <w:color w:val="000000"/>
          <w:sz w:val="28"/>
        </w:rPr>
        <w:t xml:space="preserve">, связь и информатику, а также по отдельным федеральным проектам госпрограммы </w:t>
      </w:r>
      <w:r w:rsidRPr="00E103B9">
        <w:rPr>
          <w:iCs/>
          <w:color w:val="000000"/>
          <w:sz w:val="28"/>
        </w:rPr>
        <w:lastRenderedPageBreak/>
        <w:t xml:space="preserve">«Развитие промышленности и повышение ее конкурентоспособности» (от 52% до 97% к уровню 2022 г. в зависимости от федерального проекта). </w:t>
      </w:r>
      <w:proofErr w:type="spellStart"/>
      <w:r w:rsidRPr="00E103B9">
        <w:rPr>
          <w:iCs/>
          <w:color w:val="000000"/>
          <w:sz w:val="28"/>
        </w:rPr>
        <w:t>Цифровизация</w:t>
      </w:r>
      <w:proofErr w:type="spellEnd"/>
      <w:r w:rsidRPr="00E103B9">
        <w:rPr>
          <w:iCs/>
          <w:color w:val="000000"/>
          <w:sz w:val="28"/>
        </w:rPr>
        <w:t xml:space="preserve"> напрямую стимулирует развитие прикладных отраслей и является одним из ключевых направлений концентрации усилий на ближайшие годы, в особенности обеспечение информационной безопасности, с учетом усложнения геополитической обстановки. Отставание в этих сферах с высокой вероятностью может формировать негативные эффекты для всей экономики в будущем.</w:t>
      </w:r>
    </w:p>
    <w:p w14:paraId="5C4CB32A" w14:textId="45352D87" w:rsidR="006410F9" w:rsidRPr="00E103B9" w:rsidRDefault="006410F9" w:rsidP="006410F9">
      <w:pPr>
        <w:spacing w:after="120"/>
        <w:ind w:firstLine="709"/>
        <w:jc w:val="both"/>
        <w:rPr>
          <w:iCs/>
          <w:color w:val="000000"/>
          <w:sz w:val="28"/>
        </w:rPr>
      </w:pPr>
      <w:proofErr w:type="gramStart"/>
      <w:r w:rsidRPr="00E103B9">
        <w:rPr>
          <w:iCs/>
          <w:color w:val="000000"/>
          <w:sz w:val="28"/>
        </w:rPr>
        <w:t>Для снижения возможных негативных последствий не только в рамках рассматриваемых сфер, особенно –  цифровой и транспортной отрасли, но и для всей экономики России (с учетом межотраслевых связей) в условиях жестких внешни</w:t>
      </w:r>
      <w:r w:rsidR="0052311A" w:rsidRPr="00E103B9">
        <w:rPr>
          <w:iCs/>
          <w:color w:val="000000"/>
          <w:sz w:val="28"/>
        </w:rPr>
        <w:t>х</w:t>
      </w:r>
      <w:r w:rsidRPr="00E103B9">
        <w:rPr>
          <w:iCs/>
          <w:color w:val="000000"/>
          <w:sz w:val="28"/>
        </w:rPr>
        <w:t xml:space="preserve"> ограничений важно обеспечивать уровень расходов по указанным направлениям, достаточный для реализации масштабных проектов по обеспечению территориальной связности страны, переориентации торговых потоков и поддержания </w:t>
      </w:r>
      <w:proofErr w:type="spellStart"/>
      <w:r w:rsidRPr="00E103B9">
        <w:rPr>
          <w:iCs/>
          <w:color w:val="000000"/>
          <w:sz w:val="28"/>
        </w:rPr>
        <w:t>конкурентноспособных</w:t>
      </w:r>
      <w:proofErr w:type="spellEnd"/>
      <w:r w:rsidRPr="00E103B9">
        <w:rPr>
          <w:iCs/>
          <w:color w:val="000000"/>
          <w:sz w:val="28"/>
        </w:rPr>
        <w:t xml:space="preserve"> темпов </w:t>
      </w:r>
      <w:proofErr w:type="spellStart"/>
      <w:r w:rsidRPr="00E103B9">
        <w:rPr>
          <w:iCs/>
          <w:color w:val="000000"/>
          <w:sz w:val="28"/>
        </w:rPr>
        <w:t>цифровизации</w:t>
      </w:r>
      <w:proofErr w:type="spellEnd"/>
      <w:r w:rsidRPr="00E103B9">
        <w:rPr>
          <w:iCs/>
          <w:color w:val="000000"/>
          <w:sz w:val="28"/>
        </w:rPr>
        <w:t xml:space="preserve"> прикладных отраслей.</w:t>
      </w:r>
      <w:proofErr w:type="gramEnd"/>
    </w:p>
    <w:p w14:paraId="0582382A" w14:textId="3A718B05" w:rsidR="006410F9" w:rsidRPr="00E103B9" w:rsidRDefault="006410F9" w:rsidP="006410F9">
      <w:pPr>
        <w:spacing w:after="120"/>
        <w:ind w:firstLine="709"/>
        <w:jc w:val="both"/>
        <w:rPr>
          <w:sz w:val="28"/>
        </w:rPr>
      </w:pPr>
      <w:r w:rsidRPr="00E103B9">
        <w:rPr>
          <w:iCs/>
          <w:color w:val="000000"/>
          <w:sz w:val="28"/>
        </w:rPr>
        <w:t xml:space="preserve">7. Отличительной чертой Законопроекта является высокая доля закрытых статей, которая достигает 23,2% к 2025 г. против 12,2% в текущем году. Наметившаяся тенденция на увеличение закрытых статей бюджета, безусловно, ухудшает читаемость бюджета и, следовательно, возможности для его глубокого анализа, но приходится также признать, что она продиктована объективными обстоятельствами. Кроме того, </w:t>
      </w:r>
      <w:r w:rsidRPr="00E103B9">
        <w:rPr>
          <w:sz w:val="28"/>
        </w:rPr>
        <w:t xml:space="preserve">в условиях высокой неопределенности заложенные в Законопроекте оценки расходов по разделам «Национальная оборона» и «Национальная </w:t>
      </w:r>
      <w:proofErr w:type="gramStart"/>
      <w:r w:rsidRPr="00E103B9">
        <w:rPr>
          <w:sz w:val="28"/>
        </w:rPr>
        <w:t>безопасность</w:t>
      </w:r>
      <w:proofErr w:type="gramEnd"/>
      <w:r w:rsidRPr="00E103B9">
        <w:rPr>
          <w:sz w:val="28"/>
        </w:rPr>
        <w:t xml:space="preserve"> и правоохранительная деятельность» могут быть существенно уточнены в рамках исполнения бюджета уже в 2023 г.</w:t>
      </w:r>
    </w:p>
    <w:p w14:paraId="6FB157EE" w14:textId="35E69473" w:rsidR="006410F9" w:rsidRPr="00E103B9" w:rsidRDefault="006410F9" w:rsidP="006410F9">
      <w:pPr>
        <w:spacing w:after="120"/>
        <w:ind w:firstLine="709"/>
        <w:jc w:val="both"/>
        <w:rPr>
          <w:sz w:val="28"/>
        </w:rPr>
      </w:pPr>
      <w:r w:rsidRPr="00E103B9">
        <w:rPr>
          <w:sz w:val="28"/>
        </w:rPr>
        <w:t xml:space="preserve">8. </w:t>
      </w:r>
      <w:proofErr w:type="gramStart"/>
      <w:r w:rsidRPr="00E103B9">
        <w:rPr>
          <w:sz w:val="28"/>
        </w:rPr>
        <w:t>В Законопроекте заложен рост расходов на социальную политику – их доля в общем объеме расходов федерального бюджета увеличится по сравнению с 2022 г. почти на 10%. При этом в структуре расходов на социальную политику запланирован существенный на 20% рост доли расходов на охрану семьи и детства, который связан в б</w:t>
      </w:r>
      <w:r w:rsidRPr="00E103B9">
        <w:rPr>
          <w:i/>
          <w:iCs/>
          <w:sz w:val="28"/>
        </w:rPr>
        <w:t>о</w:t>
      </w:r>
      <w:r w:rsidRPr="00E103B9">
        <w:rPr>
          <w:sz w:val="28"/>
        </w:rPr>
        <w:t>льшей степени с введением универсального ежемесячного пособия малообеспеченным семьям с детьми до</w:t>
      </w:r>
      <w:proofErr w:type="gramEnd"/>
      <w:r w:rsidRPr="00E103B9">
        <w:rPr>
          <w:sz w:val="28"/>
        </w:rPr>
        <w:t xml:space="preserve"> 17 лет и беременным женщинам. </w:t>
      </w:r>
      <w:proofErr w:type="gramStart"/>
      <w:r w:rsidRPr="00E103B9">
        <w:rPr>
          <w:sz w:val="28"/>
        </w:rPr>
        <w:t xml:space="preserve">Кроме того, на рост расходов повлияло увеличение ассигнований на предоставление ежемесячных денежных выплат отдельным категориям граждан (ветеранам, инвалидам и др.) </w:t>
      </w:r>
      <w:r w:rsidR="0052311A" w:rsidRPr="00E103B9">
        <w:rPr>
          <w:sz w:val="28"/>
        </w:rPr>
        <w:t>О</w:t>
      </w:r>
      <w:r w:rsidRPr="00E103B9">
        <w:rPr>
          <w:sz w:val="28"/>
        </w:rPr>
        <w:t>чевидно, что социальные расходы будут и дальше расти (с учетом роста показателей инвалидности и необходимости решения задачи по снижению бедности), для чего в бюджете зарезервированы средства, которые в случае необходимости будут перераспределены на обеспечение социальных выплат в полном объеме.</w:t>
      </w:r>
      <w:proofErr w:type="gramEnd"/>
    </w:p>
    <w:p w14:paraId="018739E7" w14:textId="2D2FA455" w:rsidR="006410F9" w:rsidRPr="00E103B9" w:rsidRDefault="006410F9" w:rsidP="006410F9">
      <w:pPr>
        <w:spacing w:after="120"/>
        <w:ind w:firstLine="709"/>
        <w:jc w:val="both"/>
        <w:rPr>
          <w:sz w:val="28"/>
        </w:rPr>
      </w:pPr>
      <w:proofErr w:type="gramStart"/>
      <w:r w:rsidRPr="00E103B9">
        <w:rPr>
          <w:sz w:val="28"/>
        </w:rPr>
        <w:t>В текущем бюджетном цикле впервые представлен бюджет объединенного Фонда пенсионного и социального страхования Российской Федерации</w:t>
      </w:r>
      <w:r w:rsidR="00F61B37" w:rsidRPr="00E103B9">
        <w:rPr>
          <w:sz w:val="28"/>
        </w:rPr>
        <w:t xml:space="preserve"> (Фонд)</w:t>
      </w:r>
      <w:r w:rsidRPr="00E103B9">
        <w:rPr>
          <w:sz w:val="28"/>
        </w:rPr>
        <w:t>.</w:t>
      </w:r>
      <w:proofErr w:type="gramEnd"/>
      <w:r w:rsidRPr="00E103B9">
        <w:rPr>
          <w:sz w:val="28"/>
        </w:rPr>
        <w:t xml:space="preserve"> При этом бюджет Фонда запланирован </w:t>
      </w:r>
      <w:proofErr w:type="spellStart"/>
      <w:r w:rsidRPr="00E103B9">
        <w:rPr>
          <w:sz w:val="28"/>
        </w:rPr>
        <w:t>профицитный</w:t>
      </w:r>
      <w:proofErr w:type="spellEnd"/>
      <w:r w:rsidRPr="00E103B9">
        <w:rPr>
          <w:sz w:val="28"/>
        </w:rPr>
        <w:t xml:space="preserve"> с ежегодным ростом и сохранением на весь период «моратория» на направление страховых взносов на финансирование накопительной пенсии. Вместе с тем в текущих условиях возросшей экономической неопределенности и инфляционной волатильности считаем оправданным формирование резервного фонда пенсионной системы, </w:t>
      </w:r>
      <w:r w:rsidRPr="00E103B9">
        <w:rPr>
          <w:sz w:val="28"/>
        </w:rPr>
        <w:lastRenderedPageBreak/>
        <w:t>предназначенного для сглаживания последствий влияния макроэкономики на доходы Фонда и, следовательно, на размер пенсий и потребностей в бюджетных трансфертах.</w:t>
      </w:r>
    </w:p>
    <w:p w14:paraId="3BC510E2" w14:textId="4B67072C" w:rsidR="006410F9" w:rsidRPr="00E103B9" w:rsidRDefault="006410F9" w:rsidP="006410F9">
      <w:pPr>
        <w:spacing w:after="120"/>
        <w:ind w:firstLine="709"/>
        <w:jc w:val="both"/>
        <w:rPr>
          <w:sz w:val="28"/>
        </w:rPr>
      </w:pPr>
      <w:r w:rsidRPr="00E103B9">
        <w:rPr>
          <w:sz w:val="28"/>
        </w:rPr>
        <w:t>Очевидным образом в проекте бюджета Фонда на 2023-2025 гг. отсутствует влияние частичной мобилизации на доходную и расходн</w:t>
      </w:r>
      <w:r w:rsidR="00F61B37" w:rsidRPr="00E103B9">
        <w:rPr>
          <w:sz w:val="28"/>
        </w:rPr>
        <w:t>ую</w:t>
      </w:r>
      <w:r w:rsidRPr="00E103B9">
        <w:rPr>
          <w:sz w:val="28"/>
        </w:rPr>
        <w:t xml:space="preserve"> части бюджета. На наш взгляд, влияние данного фактора следует учитывать по ряду причин. </w:t>
      </w:r>
      <w:proofErr w:type="gramStart"/>
      <w:r w:rsidRPr="00E103B9">
        <w:rPr>
          <w:sz w:val="28"/>
        </w:rPr>
        <w:t xml:space="preserve">С одной стороны, мобилизация может привести к некоторому снижению доходов </w:t>
      </w:r>
      <w:r w:rsidR="00F61B37" w:rsidRPr="00E103B9">
        <w:rPr>
          <w:sz w:val="28"/>
        </w:rPr>
        <w:t>Пенсионного фонда Российской Федерации (</w:t>
      </w:r>
      <w:r w:rsidRPr="00E103B9">
        <w:rPr>
          <w:sz w:val="28"/>
        </w:rPr>
        <w:t>ПФР</w:t>
      </w:r>
      <w:r w:rsidR="00F61B37" w:rsidRPr="00E103B9">
        <w:rPr>
          <w:sz w:val="28"/>
        </w:rPr>
        <w:t>)</w:t>
      </w:r>
      <w:r w:rsidRPr="00E103B9">
        <w:rPr>
          <w:sz w:val="28"/>
        </w:rPr>
        <w:t xml:space="preserve"> уже в 2022 г</w:t>
      </w:r>
      <w:r w:rsidR="00F61B37" w:rsidRPr="00E103B9">
        <w:rPr>
          <w:sz w:val="28"/>
        </w:rPr>
        <w:t>.</w:t>
      </w:r>
      <w:r w:rsidRPr="00E103B9">
        <w:rPr>
          <w:sz w:val="28"/>
        </w:rPr>
        <w:t>, что в свою очередь не только уменьшит остатки средств бюджета ПФР на конец текущего года, но и сократит доходы Фонда в 2023 г</w:t>
      </w:r>
      <w:r w:rsidR="00F61B37" w:rsidRPr="00E103B9">
        <w:rPr>
          <w:sz w:val="28"/>
        </w:rPr>
        <w:t>.</w:t>
      </w:r>
      <w:r w:rsidRPr="00E103B9">
        <w:rPr>
          <w:sz w:val="28"/>
        </w:rPr>
        <w:t xml:space="preserve">, увеличит межбюджетный трансферт на возмещение расходов по выплате страховых пенсий в связи с зачетом в страховой стаж </w:t>
      </w:r>
      <w:proofErr w:type="spellStart"/>
      <w:r w:rsidRPr="00E103B9">
        <w:rPr>
          <w:sz w:val="28"/>
        </w:rPr>
        <w:t>нестраховых</w:t>
      </w:r>
      <w:proofErr w:type="spellEnd"/>
      <w:proofErr w:type="gramEnd"/>
      <w:r w:rsidRPr="00E103B9">
        <w:rPr>
          <w:sz w:val="28"/>
        </w:rPr>
        <w:t xml:space="preserve"> периодов, а также увеличит расходы на выплату пенсий по инвалидности. </w:t>
      </w:r>
      <w:proofErr w:type="gramStart"/>
      <w:r w:rsidRPr="00E103B9">
        <w:rPr>
          <w:sz w:val="28"/>
        </w:rPr>
        <w:t xml:space="preserve">С другой, последствия </w:t>
      </w:r>
      <w:r w:rsidR="00F61B37" w:rsidRPr="00E103B9">
        <w:rPr>
          <w:sz w:val="28"/>
        </w:rPr>
        <w:t xml:space="preserve">специальной </w:t>
      </w:r>
      <w:r w:rsidRPr="00E103B9">
        <w:rPr>
          <w:sz w:val="28"/>
        </w:rPr>
        <w:t>военной операции способны негативно сказаться на показателях рождаемости в ближайшие годы, в результате чего следует ожидать сокращения объема выплат семейного (материнского) капитала и на рождение первого ребенка.</w:t>
      </w:r>
      <w:proofErr w:type="gramEnd"/>
    </w:p>
    <w:p w14:paraId="12259043" w14:textId="77777777" w:rsidR="006410F9" w:rsidRPr="00E103B9" w:rsidRDefault="006410F9" w:rsidP="006410F9">
      <w:pPr>
        <w:spacing w:after="120"/>
        <w:ind w:firstLine="709"/>
        <w:jc w:val="both"/>
        <w:rPr>
          <w:sz w:val="28"/>
        </w:rPr>
      </w:pPr>
      <w:r w:rsidRPr="00E103B9">
        <w:rPr>
          <w:sz w:val="28"/>
        </w:rPr>
        <w:t xml:space="preserve">В </w:t>
      </w:r>
      <w:proofErr w:type="gramStart"/>
      <w:r w:rsidRPr="00E103B9">
        <w:rPr>
          <w:sz w:val="28"/>
        </w:rPr>
        <w:t>целях</w:t>
      </w:r>
      <w:proofErr w:type="gramEnd"/>
      <w:r w:rsidRPr="00E103B9">
        <w:rPr>
          <w:sz w:val="28"/>
        </w:rPr>
        <w:t xml:space="preserve"> улучшения бюджетной устойчивости пенсионной системы представляется необходимым уточнить перечень категорий плательщиков, к которым применяются пониженные тарифы страховых взносов, и ограничить возможности для добавления новых категорий.</w:t>
      </w:r>
    </w:p>
    <w:p w14:paraId="461C1755" w14:textId="51009748" w:rsidR="006410F9" w:rsidRPr="00E103B9" w:rsidRDefault="006410F9" w:rsidP="006410F9">
      <w:pPr>
        <w:spacing w:after="120"/>
        <w:ind w:firstLine="709"/>
        <w:jc w:val="both"/>
        <w:rPr>
          <w:iCs/>
          <w:color w:val="000000"/>
          <w:sz w:val="28"/>
        </w:rPr>
      </w:pPr>
      <w:r w:rsidRPr="00E103B9">
        <w:rPr>
          <w:sz w:val="28"/>
        </w:rPr>
        <w:t xml:space="preserve">9. </w:t>
      </w:r>
      <w:r w:rsidRPr="00E103B9">
        <w:rPr>
          <w:iCs/>
          <w:color w:val="000000"/>
          <w:sz w:val="28"/>
        </w:rPr>
        <w:t xml:space="preserve">Изменение макроэкономической ситуации не привело к пересмотру основополагающих принципов формирования федерального бюджета по разделу «Здравоохранение» и бюджета </w:t>
      </w:r>
      <w:r w:rsidR="00A42B28" w:rsidRPr="00E103B9">
        <w:rPr>
          <w:iCs/>
          <w:color w:val="000000"/>
          <w:sz w:val="28"/>
        </w:rPr>
        <w:t>Федерального фонда обязательного медицинского страхования (Ф</w:t>
      </w:r>
      <w:r w:rsidRPr="00E103B9">
        <w:rPr>
          <w:iCs/>
          <w:color w:val="000000"/>
          <w:sz w:val="28"/>
        </w:rPr>
        <w:t>ФОМС</w:t>
      </w:r>
      <w:r w:rsidR="00A42B28" w:rsidRPr="00E103B9">
        <w:rPr>
          <w:iCs/>
          <w:color w:val="000000"/>
          <w:sz w:val="28"/>
        </w:rPr>
        <w:t>)</w:t>
      </w:r>
      <w:r w:rsidRPr="00E103B9">
        <w:rPr>
          <w:iCs/>
          <w:color w:val="000000"/>
          <w:sz w:val="28"/>
        </w:rPr>
        <w:t xml:space="preserve">. Основными последствиями ужесточения бюджетных ограничений для отрасли стали сокращение объема инфраструктурных проектов, реализуемых в рамках национального проекта «Здравоохранение» и отказ от ряда ранее планируемых расширений государственных гарантий бесплатной медицинской помощи, прежде всего – в части лекарственного обеспечения. В частности, не получили финансовой поддержки программы борьбы с гепатитом C и сахарным диабетом (разработка и обеспечение финансирования указанных программ вошли в перечень поручений Президента РФ от 01.09.2022), увеличения закупок лекарств для больных ВИЧ, расширения лекарственного обеспечения больных </w:t>
      </w:r>
      <w:proofErr w:type="gramStart"/>
      <w:r w:rsidRPr="00E103B9">
        <w:rPr>
          <w:iCs/>
          <w:color w:val="000000"/>
          <w:sz w:val="28"/>
        </w:rPr>
        <w:t>сердечно-сосудистыми</w:t>
      </w:r>
      <w:proofErr w:type="gramEnd"/>
      <w:r w:rsidRPr="00E103B9">
        <w:rPr>
          <w:iCs/>
          <w:color w:val="000000"/>
          <w:sz w:val="28"/>
        </w:rPr>
        <w:t xml:space="preserve"> заболеваниями, проходящих лечение в амбулаторных условиях.</w:t>
      </w:r>
    </w:p>
    <w:p w14:paraId="3EB7EC2C" w14:textId="51375AA4" w:rsidR="006410F9" w:rsidRPr="00E103B9" w:rsidRDefault="006410F9" w:rsidP="006410F9">
      <w:pPr>
        <w:spacing w:after="120"/>
        <w:ind w:firstLine="709"/>
        <w:jc w:val="both"/>
        <w:rPr>
          <w:iCs/>
          <w:color w:val="000000"/>
          <w:sz w:val="28"/>
        </w:rPr>
      </w:pPr>
      <w:r w:rsidRPr="00E103B9">
        <w:rPr>
          <w:iCs/>
          <w:color w:val="000000"/>
          <w:sz w:val="28"/>
        </w:rPr>
        <w:t xml:space="preserve"> В зоне риска наход</w:t>
      </w:r>
      <w:r w:rsidR="00A42B28" w:rsidRPr="00E103B9">
        <w:rPr>
          <w:iCs/>
          <w:color w:val="000000"/>
          <w:sz w:val="28"/>
        </w:rPr>
        <w:t>и</w:t>
      </w:r>
      <w:r w:rsidRPr="00E103B9">
        <w:rPr>
          <w:iCs/>
          <w:color w:val="000000"/>
          <w:sz w:val="28"/>
        </w:rPr>
        <w:t xml:space="preserve">тся реализация региональных программ модернизации первичного звена здравоохранения и финансовое обеспечение оказания помощи больным онкологическими заболеваниями в соответствии с клиническими рекомендациями, </w:t>
      </w:r>
      <w:proofErr w:type="gramStart"/>
      <w:r w:rsidRPr="00E103B9">
        <w:rPr>
          <w:iCs/>
          <w:color w:val="000000"/>
          <w:sz w:val="28"/>
        </w:rPr>
        <w:t>объемы</w:t>
      </w:r>
      <w:proofErr w:type="gramEnd"/>
      <w:r w:rsidRPr="00E103B9">
        <w:rPr>
          <w:iCs/>
          <w:color w:val="000000"/>
          <w:sz w:val="28"/>
        </w:rPr>
        <w:t xml:space="preserve"> финансирования которых сохранены на ранее утвержденном уровне при высокой вероятности роста потребности в средствах. </w:t>
      </w:r>
      <w:proofErr w:type="gramStart"/>
      <w:r w:rsidRPr="00E103B9">
        <w:rPr>
          <w:iCs/>
          <w:color w:val="000000"/>
          <w:sz w:val="28"/>
        </w:rPr>
        <w:t>Аналогичная проблема</w:t>
      </w:r>
      <w:proofErr w:type="gramEnd"/>
      <w:r w:rsidRPr="00E103B9">
        <w:rPr>
          <w:iCs/>
          <w:color w:val="000000"/>
          <w:sz w:val="28"/>
        </w:rPr>
        <w:t xml:space="preserve"> существует для базовой программы </w:t>
      </w:r>
      <w:r w:rsidR="00E95314" w:rsidRPr="00E103B9">
        <w:rPr>
          <w:iCs/>
          <w:color w:val="000000"/>
          <w:sz w:val="28"/>
        </w:rPr>
        <w:t>обязательного медицинского страхования (ОМС)</w:t>
      </w:r>
      <w:r w:rsidRPr="00E103B9">
        <w:rPr>
          <w:iCs/>
          <w:color w:val="000000"/>
          <w:sz w:val="28"/>
        </w:rPr>
        <w:t xml:space="preserve">, темпы увеличения </w:t>
      </w:r>
      <w:proofErr w:type="spellStart"/>
      <w:r w:rsidRPr="00E103B9">
        <w:rPr>
          <w:iCs/>
          <w:color w:val="000000"/>
          <w:sz w:val="28"/>
        </w:rPr>
        <w:t>подушевого</w:t>
      </w:r>
      <w:proofErr w:type="spellEnd"/>
      <w:r w:rsidRPr="00E103B9">
        <w:rPr>
          <w:iCs/>
          <w:color w:val="000000"/>
          <w:sz w:val="28"/>
        </w:rPr>
        <w:t xml:space="preserve"> норматива финансового обеспечения которой, предусмотренные бюджетом </w:t>
      </w:r>
      <w:r w:rsidR="00A42B28" w:rsidRPr="00E103B9">
        <w:rPr>
          <w:iCs/>
          <w:color w:val="000000"/>
          <w:sz w:val="28"/>
        </w:rPr>
        <w:t>Ф</w:t>
      </w:r>
      <w:r w:rsidRPr="00E103B9">
        <w:rPr>
          <w:iCs/>
          <w:color w:val="000000"/>
          <w:sz w:val="28"/>
        </w:rPr>
        <w:t>ФОМС, второй год подряд не покрывают фактического уровня инфляции.</w:t>
      </w:r>
    </w:p>
    <w:p w14:paraId="30EC3B16" w14:textId="09908BC3" w:rsidR="006410F9" w:rsidRPr="00E103B9" w:rsidRDefault="006410F9" w:rsidP="006410F9">
      <w:pPr>
        <w:spacing w:after="120"/>
        <w:ind w:firstLine="709"/>
        <w:jc w:val="both"/>
        <w:rPr>
          <w:sz w:val="28"/>
        </w:rPr>
      </w:pPr>
      <w:r w:rsidRPr="00E103B9">
        <w:rPr>
          <w:sz w:val="28"/>
        </w:rPr>
        <w:lastRenderedPageBreak/>
        <w:t xml:space="preserve">10. </w:t>
      </w:r>
      <w:proofErr w:type="gramStart"/>
      <w:r w:rsidRPr="00E103B9">
        <w:rPr>
          <w:sz w:val="28"/>
        </w:rPr>
        <w:t>В новых социально-экономических условиях может усугубиться ситуация с недофинансирования региональных систем образования (в последние годы это недофинансирование оценивается в 0,7-0,8% ВВП, что выражается в увеличении нагрузки педагогических работников, переполненности классов школ, дефицит</w:t>
      </w:r>
      <w:r w:rsidR="00A42B28" w:rsidRPr="00E103B9">
        <w:rPr>
          <w:sz w:val="28"/>
        </w:rPr>
        <w:t>е</w:t>
      </w:r>
      <w:r w:rsidRPr="00E103B9">
        <w:rPr>
          <w:sz w:val="28"/>
        </w:rPr>
        <w:t xml:space="preserve"> молодых учителей).</w:t>
      </w:r>
      <w:proofErr w:type="gramEnd"/>
      <w:r w:rsidRPr="00E103B9">
        <w:rPr>
          <w:sz w:val="28"/>
        </w:rPr>
        <w:t xml:space="preserve">  Федеральный бюджет с 2019 г. в значительной мере поддерживал развитие систем образования субъектов РФ </w:t>
      </w:r>
      <w:proofErr w:type="gramStart"/>
      <w:r w:rsidRPr="00E103B9">
        <w:rPr>
          <w:sz w:val="28"/>
        </w:rPr>
        <w:t>посредством</w:t>
      </w:r>
      <w:proofErr w:type="gramEnd"/>
      <w:r w:rsidRPr="00E103B9">
        <w:rPr>
          <w:sz w:val="28"/>
        </w:rPr>
        <w:t xml:space="preserve"> прежде всего национальных проектов «Образование» и «Демография» (повышение охвата детей от 1 года до 3 лет дошкольным образованием, строительство новых школ и создание дополнительных учебных мест, </w:t>
      </w:r>
      <w:proofErr w:type="spellStart"/>
      <w:r w:rsidRPr="00E103B9">
        <w:rPr>
          <w:sz w:val="28"/>
        </w:rPr>
        <w:t>цифровизация</w:t>
      </w:r>
      <w:proofErr w:type="spellEnd"/>
      <w:r w:rsidRPr="00E103B9">
        <w:rPr>
          <w:sz w:val="28"/>
        </w:rPr>
        <w:t xml:space="preserve"> образовательной среды, развитие «</w:t>
      </w:r>
      <w:proofErr w:type="spellStart"/>
      <w:r w:rsidRPr="00E103B9">
        <w:rPr>
          <w:sz w:val="28"/>
        </w:rPr>
        <w:t>Профессионалитета</w:t>
      </w:r>
      <w:proofErr w:type="spellEnd"/>
      <w:r w:rsidRPr="00E103B9">
        <w:rPr>
          <w:sz w:val="28"/>
        </w:rPr>
        <w:t xml:space="preserve">» в системе </w:t>
      </w:r>
      <w:r w:rsidR="00A42B28" w:rsidRPr="00E103B9">
        <w:rPr>
          <w:sz w:val="28"/>
        </w:rPr>
        <w:t xml:space="preserve">среднего профессионального образования </w:t>
      </w:r>
      <w:r w:rsidRPr="00E103B9">
        <w:rPr>
          <w:sz w:val="28"/>
        </w:rPr>
        <w:t>и т.п.). Однако в Законопроекте расходы указанных национальных проектов сокращаются, что фактически лишает региональные системы образования необходимой поддержки. В связи с этим целесообразно сохранить расходы с поправкой на инфляцию на уровне 2022 г.</w:t>
      </w:r>
    </w:p>
    <w:p w14:paraId="71A3926E" w14:textId="77777777" w:rsidR="006410F9" w:rsidRPr="00E103B9" w:rsidRDefault="006410F9" w:rsidP="006410F9">
      <w:pPr>
        <w:spacing w:after="120"/>
        <w:ind w:firstLine="709"/>
        <w:jc w:val="both"/>
        <w:rPr>
          <w:iCs/>
          <w:color w:val="000000"/>
          <w:sz w:val="28"/>
        </w:rPr>
      </w:pPr>
      <w:r w:rsidRPr="00E103B9">
        <w:rPr>
          <w:iCs/>
          <w:color w:val="000000"/>
          <w:sz w:val="28"/>
        </w:rPr>
        <w:t xml:space="preserve">В 2023 г. можно ожидать падения платежеспособного спроса на высшее образование как со стороны населения в силу сокращения доходов домохозяйств, так и со стороны организаций, что обусловлено структурной трансформацией российской экономики. В целях замещения внебюджетных доходов высших учебных заведений для обеспечения устойчивости системы высшего образования в изменяющейся внешней среде целесообразно увеличить расходы федерального бюджета на высшее образование по сравнению с заложенными в Законопроекте, как минимум, до 726,5 </w:t>
      </w:r>
      <w:proofErr w:type="gramStart"/>
      <w:r w:rsidRPr="00E103B9">
        <w:rPr>
          <w:iCs/>
          <w:color w:val="000000"/>
          <w:sz w:val="28"/>
        </w:rPr>
        <w:t>млрд</w:t>
      </w:r>
      <w:proofErr w:type="gramEnd"/>
      <w:r w:rsidRPr="00E103B9">
        <w:rPr>
          <w:iCs/>
          <w:color w:val="000000"/>
          <w:sz w:val="28"/>
        </w:rPr>
        <w:t xml:space="preserve"> руб. в 2023 г., до 786,5 млрд руб. в 2024 г. и до 825,4 млрд руб. в 2025 г.</w:t>
      </w:r>
    </w:p>
    <w:p w14:paraId="2B358531" w14:textId="77777777" w:rsidR="006410F9" w:rsidRPr="00E103B9" w:rsidRDefault="006410F9" w:rsidP="006410F9">
      <w:pPr>
        <w:spacing w:after="120"/>
        <w:ind w:firstLine="709"/>
        <w:jc w:val="both"/>
        <w:rPr>
          <w:iCs/>
          <w:color w:val="000000"/>
          <w:sz w:val="28"/>
        </w:rPr>
      </w:pPr>
      <w:r w:rsidRPr="00E103B9">
        <w:rPr>
          <w:iCs/>
          <w:color w:val="000000"/>
          <w:sz w:val="28"/>
        </w:rPr>
        <w:t xml:space="preserve">Еще одной проблемой, обусловленной структурной трансформацией экономики, становится необходимость масштабной переподготовки работников с присвоением новой квалификации во многих отраслях российской экономики, что также потребует дополнительных расходов бюджета, поскольку расходы частных организаций на эти цели будут продолжать снижаться (они уже сокращаются в 2022 г.). Соответственно, целесообразно увеличить расходы федерального бюджета на профессиональную подготовку, переподготовку и повышение квалификации, как минимум, на 4,5 </w:t>
      </w:r>
      <w:proofErr w:type="gramStart"/>
      <w:r w:rsidRPr="00E103B9">
        <w:rPr>
          <w:iCs/>
          <w:color w:val="000000"/>
          <w:sz w:val="28"/>
        </w:rPr>
        <w:t>млрд</w:t>
      </w:r>
      <w:proofErr w:type="gramEnd"/>
      <w:r w:rsidRPr="00E103B9">
        <w:rPr>
          <w:iCs/>
          <w:color w:val="000000"/>
          <w:sz w:val="28"/>
        </w:rPr>
        <w:t xml:space="preserve"> руб. в 2024 г. и на 7,7 млрд. руб. в 2025 г.</w:t>
      </w:r>
    </w:p>
    <w:p w14:paraId="3F436CC3" w14:textId="5FA7CFB7" w:rsidR="006410F9" w:rsidRPr="00E103B9" w:rsidRDefault="006410F9" w:rsidP="006410F9">
      <w:pPr>
        <w:spacing w:after="120"/>
        <w:ind w:firstLine="709"/>
        <w:jc w:val="both"/>
        <w:rPr>
          <w:iCs/>
          <w:color w:val="000000"/>
          <w:sz w:val="28"/>
        </w:rPr>
      </w:pPr>
      <w:r w:rsidRPr="00E103B9">
        <w:rPr>
          <w:iCs/>
          <w:color w:val="000000"/>
          <w:sz w:val="28"/>
        </w:rPr>
        <w:t xml:space="preserve">11. Ассигнования на науку вырастут по сравнению с </w:t>
      </w:r>
      <w:r w:rsidR="00A42B28" w:rsidRPr="00E103B9">
        <w:rPr>
          <w:sz w:val="28"/>
        </w:rPr>
        <w:t xml:space="preserve">Федеральным законом «О федеральном </w:t>
      </w:r>
      <w:proofErr w:type="gramStart"/>
      <w:r w:rsidR="00A42B28" w:rsidRPr="00E103B9">
        <w:rPr>
          <w:sz w:val="28"/>
        </w:rPr>
        <w:t>бюджете</w:t>
      </w:r>
      <w:proofErr w:type="gramEnd"/>
      <w:r w:rsidR="00A42B28" w:rsidRPr="00E103B9">
        <w:rPr>
          <w:sz w:val="28"/>
        </w:rPr>
        <w:t xml:space="preserve"> на 2022 год и на плановый период 2023 и 2024 годов» от 06.12.2021 № 390-ФЗ (</w:t>
      </w:r>
      <w:r w:rsidRPr="00E103B9">
        <w:rPr>
          <w:iCs/>
          <w:color w:val="000000"/>
          <w:sz w:val="28"/>
        </w:rPr>
        <w:t>Закон №390-ФЗ</w:t>
      </w:r>
      <w:r w:rsidR="00A42B28" w:rsidRPr="00E103B9">
        <w:rPr>
          <w:iCs/>
          <w:color w:val="000000"/>
          <w:sz w:val="28"/>
        </w:rPr>
        <w:t>)</w:t>
      </w:r>
      <w:r w:rsidRPr="00E103B9">
        <w:rPr>
          <w:iCs/>
          <w:color w:val="000000"/>
          <w:sz w:val="28"/>
        </w:rPr>
        <w:t xml:space="preserve">, но будут сокращаться к 2025 г. Усилится поддержка прикладных НИОКР, что оправдано в текущих условиях. Финансирование научного приборостроения, несмотря на появление нового федерального проекта, будет отчасти происходить за счет перераспределения средств, ранее зарезервированных на обновление приборной базы науки, и на уроне, недостаточном для создания полноценной базы отечественного приборостроения. Поддержка кооперации науки и бизнеса, а также НИОКР, </w:t>
      </w:r>
      <w:proofErr w:type="gramStart"/>
      <w:r w:rsidRPr="00E103B9">
        <w:rPr>
          <w:iCs/>
          <w:color w:val="000000"/>
          <w:sz w:val="28"/>
        </w:rPr>
        <w:t>выполняемых</w:t>
      </w:r>
      <w:proofErr w:type="gramEnd"/>
      <w:r w:rsidRPr="00E103B9">
        <w:rPr>
          <w:iCs/>
          <w:color w:val="000000"/>
          <w:sz w:val="28"/>
        </w:rPr>
        <w:t xml:space="preserve"> малыми инновационными компаниями, сократится. Для критически важных областей (такие как гражданские отрасли промышленности, </w:t>
      </w:r>
      <w:r w:rsidRPr="00E103B9">
        <w:rPr>
          <w:iCs/>
          <w:color w:val="000000"/>
          <w:sz w:val="28"/>
        </w:rPr>
        <w:lastRenderedPageBreak/>
        <w:t xml:space="preserve">радиоэлектроника, </w:t>
      </w:r>
      <w:proofErr w:type="gramStart"/>
      <w:r w:rsidRPr="00E103B9">
        <w:rPr>
          <w:iCs/>
          <w:color w:val="000000"/>
          <w:sz w:val="28"/>
        </w:rPr>
        <w:t>ИТ</w:t>
      </w:r>
      <w:proofErr w:type="gramEnd"/>
      <w:r w:rsidRPr="00E103B9">
        <w:rPr>
          <w:iCs/>
          <w:color w:val="000000"/>
          <w:sz w:val="28"/>
        </w:rPr>
        <w:t>, материалы для энергетики и др.) необходимо сохранить расходы на НИОКР с поправкой на инфляцию на уровне 2022 г.</w:t>
      </w:r>
    </w:p>
    <w:p w14:paraId="18B04504" w14:textId="629371E2" w:rsidR="006410F9" w:rsidRPr="00E103B9" w:rsidRDefault="006410F9" w:rsidP="006410F9">
      <w:pPr>
        <w:spacing w:after="120"/>
        <w:ind w:firstLine="709"/>
        <w:jc w:val="both"/>
        <w:rPr>
          <w:iCs/>
          <w:color w:val="000000"/>
          <w:sz w:val="28"/>
        </w:rPr>
      </w:pPr>
      <w:r w:rsidRPr="00E103B9">
        <w:rPr>
          <w:iCs/>
          <w:color w:val="000000"/>
          <w:sz w:val="28"/>
        </w:rPr>
        <w:t xml:space="preserve">12. В Законопроекте предусмотрено сокращение объемов финансирования сельского хозяйства в 2023 г. на 19,3 </w:t>
      </w:r>
      <w:proofErr w:type="gramStart"/>
      <w:r w:rsidRPr="00E103B9">
        <w:rPr>
          <w:iCs/>
          <w:color w:val="000000"/>
          <w:sz w:val="28"/>
        </w:rPr>
        <w:t>млрд</w:t>
      </w:r>
      <w:proofErr w:type="gramEnd"/>
      <w:r w:rsidRPr="00E103B9">
        <w:rPr>
          <w:iCs/>
          <w:color w:val="000000"/>
          <w:sz w:val="28"/>
        </w:rPr>
        <w:t xml:space="preserve"> руб</w:t>
      </w:r>
      <w:r w:rsidR="00A42B28" w:rsidRPr="00E103B9">
        <w:rPr>
          <w:iCs/>
          <w:color w:val="000000"/>
          <w:sz w:val="28"/>
        </w:rPr>
        <w:t>.</w:t>
      </w:r>
      <w:r w:rsidRPr="00E103B9">
        <w:rPr>
          <w:iCs/>
          <w:color w:val="000000"/>
          <w:sz w:val="28"/>
        </w:rPr>
        <w:t xml:space="preserve"> или на 4,3% по сравнению с 2022 г. Более того, сокращение финансирования государственной программы развития сельского хозяйства (на 36,4% в 2025 г. к 2022 г.) не предполагает отказа от достижения целевых показателей - увеличение валового сбора зерновых и зернобобовых культур в перспективе до 2025 г. должно составить 141,9 </w:t>
      </w:r>
      <w:proofErr w:type="gramStart"/>
      <w:r w:rsidRPr="00E103B9">
        <w:rPr>
          <w:iCs/>
          <w:color w:val="000000"/>
          <w:sz w:val="28"/>
        </w:rPr>
        <w:t>млн</w:t>
      </w:r>
      <w:proofErr w:type="gramEnd"/>
      <w:r w:rsidRPr="00E103B9">
        <w:rPr>
          <w:iCs/>
          <w:color w:val="000000"/>
          <w:sz w:val="28"/>
        </w:rPr>
        <w:t xml:space="preserve"> тонн, что на 16,9% выше уровня 2021 г. Данные разнонаправленные динамики в результатах и объемах финансирования госпрограммы никак не прокомментированы в пояснительной записке к Законопроекту.</w:t>
      </w:r>
    </w:p>
    <w:p w14:paraId="3D546B91" w14:textId="77777777" w:rsidR="006410F9" w:rsidRPr="00E103B9" w:rsidRDefault="006410F9" w:rsidP="006410F9">
      <w:pPr>
        <w:spacing w:after="120"/>
        <w:ind w:firstLine="709"/>
        <w:jc w:val="both"/>
        <w:rPr>
          <w:iCs/>
          <w:color w:val="000000"/>
          <w:sz w:val="28"/>
        </w:rPr>
      </w:pPr>
      <w:r w:rsidRPr="00E103B9">
        <w:rPr>
          <w:iCs/>
          <w:color w:val="000000"/>
          <w:sz w:val="28"/>
        </w:rPr>
        <w:t>13. При заданных сценарных условиях Прогноза Минфин России в среднесрочной перспективе ожидает сохранение устойчивого финансового положения регионов:</w:t>
      </w:r>
    </w:p>
    <w:p w14:paraId="6AAF6D98" w14:textId="77777777" w:rsidR="006410F9" w:rsidRPr="00E103B9" w:rsidRDefault="006410F9" w:rsidP="005E24B5">
      <w:pPr>
        <w:pStyle w:val="afc"/>
        <w:numPr>
          <w:ilvl w:val="0"/>
          <w:numId w:val="73"/>
        </w:numPr>
        <w:spacing w:after="120"/>
        <w:ind w:left="0" w:firstLine="709"/>
        <w:rPr>
          <w:iCs/>
          <w:color w:val="000000"/>
          <w:sz w:val="28"/>
        </w:rPr>
      </w:pPr>
      <w:r w:rsidRPr="00E103B9">
        <w:rPr>
          <w:iCs/>
          <w:color w:val="000000"/>
          <w:sz w:val="28"/>
        </w:rPr>
        <w:t>прогноз доходов региональных бюджетов является «сдержанно оптимистическим» (ожидается снижение в 2023 г. и переход к росту в 2024–2025 гг.);</w:t>
      </w:r>
    </w:p>
    <w:p w14:paraId="670C4AD7" w14:textId="4D84CB75" w:rsidR="006410F9" w:rsidRPr="00E103B9" w:rsidRDefault="006410F9" w:rsidP="005E24B5">
      <w:pPr>
        <w:pStyle w:val="afc"/>
        <w:numPr>
          <w:ilvl w:val="0"/>
          <w:numId w:val="73"/>
        </w:numPr>
        <w:spacing w:after="120"/>
        <w:ind w:left="0" w:firstLine="709"/>
        <w:rPr>
          <w:iCs/>
          <w:color w:val="000000"/>
          <w:sz w:val="28"/>
        </w:rPr>
      </w:pPr>
      <w:r w:rsidRPr="00E103B9">
        <w:rPr>
          <w:iCs/>
          <w:color w:val="000000"/>
          <w:sz w:val="28"/>
        </w:rPr>
        <w:t>динамика расходов в целом повторяет динамику доходов (к 2025 г. прогнозируется выход доходов и расходов на уровень 2020 г</w:t>
      </w:r>
      <w:r w:rsidR="00A42B28" w:rsidRPr="00E103B9">
        <w:rPr>
          <w:iCs/>
          <w:color w:val="000000"/>
          <w:sz w:val="28"/>
        </w:rPr>
        <w:t>.</w:t>
      </w:r>
      <w:r w:rsidRPr="00E103B9">
        <w:rPr>
          <w:iCs/>
          <w:color w:val="000000"/>
          <w:sz w:val="28"/>
        </w:rPr>
        <w:t xml:space="preserve"> в ценах 2021 г.);</w:t>
      </w:r>
    </w:p>
    <w:p w14:paraId="5DA00627" w14:textId="77777777" w:rsidR="006410F9" w:rsidRPr="00E103B9" w:rsidRDefault="006410F9" w:rsidP="005E24B5">
      <w:pPr>
        <w:pStyle w:val="afc"/>
        <w:numPr>
          <w:ilvl w:val="0"/>
          <w:numId w:val="73"/>
        </w:numPr>
        <w:spacing w:after="120"/>
        <w:ind w:left="0" w:firstLine="709"/>
        <w:rPr>
          <w:iCs/>
          <w:color w:val="000000"/>
          <w:sz w:val="28"/>
        </w:rPr>
      </w:pPr>
      <w:r w:rsidRPr="00E103B9">
        <w:rPr>
          <w:iCs/>
          <w:color w:val="000000"/>
          <w:sz w:val="28"/>
        </w:rPr>
        <w:t>в течение всего периода ожидается практически нулевой бюджетный дефицит.</w:t>
      </w:r>
    </w:p>
    <w:p w14:paraId="5F18DD28" w14:textId="77777777" w:rsidR="006410F9" w:rsidRPr="00E103B9" w:rsidRDefault="006410F9" w:rsidP="006410F9">
      <w:pPr>
        <w:spacing w:after="120"/>
        <w:ind w:firstLine="709"/>
        <w:jc w:val="both"/>
        <w:rPr>
          <w:iCs/>
          <w:color w:val="000000"/>
          <w:sz w:val="28"/>
        </w:rPr>
      </w:pPr>
      <w:r w:rsidRPr="00E103B9">
        <w:rPr>
          <w:iCs/>
          <w:color w:val="000000"/>
          <w:sz w:val="28"/>
        </w:rPr>
        <w:t>Для обеспечения положительной динамики доходов требуется стабильность собственной доходной базы и обеспечение финансовой поддержки со стороны федерации. Выполнение этих требований сопряжено с сохранением либо ростом численности населения трудоспособного возраста, занятого в экономике (контингент плательщиков НДФЛ), а также с финансовыми возможностями федерального центра. Однако динамика безвозмездной финансовой помощи регионам не будет относиться к числу факторов, способствующих нивелированию рисков возникновения региональной бюджетной несбалансированности:</w:t>
      </w:r>
    </w:p>
    <w:p w14:paraId="57E94350" w14:textId="77777777" w:rsidR="006410F9" w:rsidRPr="00E103B9" w:rsidRDefault="006410F9" w:rsidP="005E24B5">
      <w:pPr>
        <w:pStyle w:val="afc"/>
        <w:numPr>
          <w:ilvl w:val="0"/>
          <w:numId w:val="74"/>
        </w:numPr>
        <w:spacing w:after="120"/>
        <w:ind w:left="0" w:firstLine="709"/>
        <w:rPr>
          <w:iCs/>
          <w:color w:val="000000"/>
          <w:sz w:val="28"/>
        </w:rPr>
      </w:pPr>
      <w:r w:rsidRPr="00E103B9">
        <w:rPr>
          <w:iCs/>
          <w:color w:val="000000"/>
          <w:sz w:val="28"/>
        </w:rPr>
        <w:t>рост собственных доходов регионов не покрывает сокращения федеральных межбюджетных трансфертов, что может привести к росту дефицита консолидированных региональных бюджетов;</w:t>
      </w:r>
    </w:p>
    <w:p w14:paraId="2AC8309A" w14:textId="77777777" w:rsidR="006410F9" w:rsidRPr="00E103B9" w:rsidRDefault="006410F9" w:rsidP="005E24B5">
      <w:pPr>
        <w:pStyle w:val="afc"/>
        <w:numPr>
          <w:ilvl w:val="0"/>
          <w:numId w:val="74"/>
        </w:numPr>
        <w:spacing w:after="120"/>
        <w:ind w:left="0" w:firstLine="709"/>
        <w:rPr>
          <w:iCs/>
          <w:color w:val="000000"/>
          <w:sz w:val="28"/>
        </w:rPr>
      </w:pPr>
      <w:r w:rsidRPr="00E103B9">
        <w:rPr>
          <w:iCs/>
          <w:color w:val="000000"/>
          <w:sz w:val="28"/>
        </w:rPr>
        <w:t>Законопроектом не предусмотрено утверждение распределения дотаций, что существенно снижает прозрачность межбюджетных отношений и затрудняет бюджетное планирование на региональном уровне;</w:t>
      </w:r>
    </w:p>
    <w:p w14:paraId="5CFD43EF" w14:textId="77777777" w:rsidR="006410F9" w:rsidRPr="00E103B9" w:rsidRDefault="006410F9" w:rsidP="005E24B5">
      <w:pPr>
        <w:pStyle w:val="afc"/>
        <w:numPr>
          <w:ilvl w:val="0"/>
          <w:numId w:val="74"/>
        </w:numPr>
        <w:spacing w:after="120"/>
        <w:ind w:left="0" w:firstLine="709"/>
        <w:rPr>
          <w:iCs/>
          <w:color w:val="000000"/>
          <w:sz w:val="28"/>
        </w:rPr>
      </w:pPr>
      <w:r w:rsidRPr="00E103B9">
        <w:rPr>
          <w:iCs/>
          <w:color w:val="000000"/>
          <w:sz w:val="28"/>
        </w:rPr>
        <w:t>динамика общего объема выравнивающих трансфертов не соответствует фактическому уровню инфляции;</w:t>
      </w:r>
    </w:p>
    <w:p w14:paraId="7B24064E" w14:textId="77777777" w:rsidR="006410F9" w:rsidRPr="00E103B9" w:rsidRDefault="006410F9" w:rsidP="005E24B5">
      <w:pPr>
        <w:pStyle w:val="afc"/>
        <w:numPr>
          <w:ilvl w:val="0"/>
          <w:numId w:val="74"/>
        </w:numPr>
        <w:spacing w:after="120"/>
        <w:ind w:left="0" w:firstLine="709"/>
        <w:rPr>
          <w:iCs/>
          <w:color w:val="000000"/>
          <w:sz w:val="28"/>
        </w:rPr>
      </w:pPr>
      <w:r w:rsidRPr="00E103B9">
        <w:rPr>
          <w:iCs/>
          <w:color w:val="000000"/>
          <w:sz w:val="28"/>
        </w:rPr>
        <w:t>количество субсидий и иных межбюджетных трансфертов остается значительным, что создает излишнюю нагрузку на систему публичной власти при администрировании межбюджетных трансфертов.</w:t>
      </w:r>
    </w:p>
    <w:p w14:paraId="3012E06A" w14:textId="31ACC920" w:rsidR="006410F9" w:rsidRPr="00E103B9" w:rsidRDefault="006410F9" w:rsidP="006410F9">
      <w:pPr>
        <w:spacing w:after="120"/>
        <w:ind w:firstLine="709"/>
        <w:jc w:val="both"/>
        <w:rPr>
          <w:iCs/>
          <w:color w:val="000000"/>
          <w:sz w:val="28"/>
        </w:rPr>
      </w:pPr>
      <w:proofErr w:type="gramStart"/>
      <w:r w:rsidRPr="00E103B9">
        <w:rPr>
          <w:iCs/>
          <w:color w:val="000000"/>
          <w:sz w:val="28"/>
        </w:rPr>
        <w:t>В этой связи дальнейшее совершенствование межбюджетных отношений видится в увеличении общего объем</w:t>
      </w:r>
      <w:r w:rsidR="00A42B28" w:rsidRPr="00E103B9">
        <w:rPr>
          <w:iCs/>
          <w:color w:val="000000"/>
          <w:sz w:val="28"/>
        </w:rPr>
        <w:t>а</w:t>
      </w:r>
      <w:r w:rsidRPr="00E103B9">
        <w:rPr>
          <w:iCs/>
          <w:color w:val="000000"/>
          <w:sz w:val="28"/>
        </w:rPr>
        <w:t xml:space="preserve"> дотаций на выравнивание с учетом </w:t>
      </w:r>
      <w:r w:rsidRPr="00E103B9">
        <w:rPr>
          <w:iCs/>
          <w:color w:val="000000"/>
          <w:sz w:val="28"/>
        </w:rPr>
        <w:lastRenderedPageBreak/>
        <w:t>фактического уровня инфляции и реального уровня предоставления выравнивающей помощи в 2016 г. до перераспределения 1 п. п. ставки по налогу на прибыль с регионального на федеральный уровень, а также в сокращении числа субсидий и иных межбюджетных трансфертов за счет перехода к блочным (единым</w:t>
      </w:r>
      <w:proofErr w:type="gramEnd"/>
      <w:r w:rsidRPr="00E103B9">
        <w:rPr>
          <w:iCs/>
          <w:color w:val="000000"/>
          <w:sz w:val="28"/>
        </w:rPr>
        <w:t xml:space="preserve"> и консолидированным) трансфертам.</w:t>
      </w:r>
    </w:p>
    <w:p w14:paraId="5F380292" w14:textId="57361795" w:rsidR="006410F9" w:rsidRPr="00E103B9" w:rsidRDefault="006410F9" w:rsidP="006410F9">
      <w:pPr>
        <w:spacing w:after="120"/>
        <w:ind w:firstLine="709"/>
        <w:jc w:val="both"/>
        <w:rPr>
          <w:sz w:val="28"/>
        </w:rPr>
      </w:pPr>
      <w:r w:rsidRPr="00E103B9">
        <w:rPr>
          <w:iCs/>
          <w:color w:val="000000"/>
          <w:sz w:val="28"/>
        </w:rPr>
        <w:t xml:space="preserve">14. </w:t>
      </w:r>
      <w:r w:rsidRPr="00E103B9">
        <w:rPr>
          <w:sz w:val="28"/>
        </w:rPr>
        <w:t>Бюджетные</w:t>
      </w:r>
      <w:r w:rsidRPr="00E103B9">
        <w:rPr>
          <w:spacing w:val="-1"/>
          <w:sz w:val="28"/>
        </w:rPr>
        <w:t xml:space="preserve"> ассигнования</w:t>
      </w:r>
      <w:r w:rsidRPr="00E103B9">
        <w:rPr>
          <w:sz w:val="28"/>
        </w:rPr>
        <w:t xml:space="preserve"> </w:t>
      </w:r>
      <w:r w:rsidRPr="00E103B9">
        <w:rPr>
          <w:spacing w:val="-1"/>
          <w:sz w:val="28"/>
        </w:rPr>
        <w:t>по о</w:t>
      </w:r>
      <w:r w:rsidRPr="00E103B9">
        <w:rPr>
          <w:bCs/>
          <w:spacing w:val="-1"/>
          <w:sz w:val="28"/>
        </w:rPr>
        <w:t xml:space="preserve">бслуживание государственного долга в 2022-2025 гг. продолжают устойчивую траекторию роста, хотя и темпами ниже, чем предусмотрено </w:t>
      </w:r>
      <w:r w:rsidR="00A42B28" w:rsidRPr="00E103B9">
        <w:rPr>
          <w:bCs/>
          <w:spacing w:val="-1"/>
          <w:sz w:val="28"/>
        </w:rPr>
        <w:t>Законом №</w:t>
      </w:r>
      <w:r w:rsidRPr="00E103B9">
        <w:rPr>
          <w:bCs/>
          <w:spacing w:val="-1"/>
          <w:sz w:val="28"/>
        </w:rPr>
        <w:t xml:space="preserve">390-ФЗ. В номинальном выражении за рассматриваемый период данные расходы увеличиваются почти на треть, а в долях ВВП </w:t>
      </w:r>
      <w:r w:rsidRPr="00E103B9">
        <w:rPr>
          <w:sz w:val="28"/>
        </w:rPr>
        <w:t xml:space="preserve">на 0,1 </w:t>
      </w:r>
      <w:proofErr w:type="spellStart"/>
      <w:r w:rsidRPr="00E103B9">
        <w:rPr>
          <w:sz w:val="28"/>
        </w:rPr>
        <w:t>п.п</w:t>
      </w:r>
      <w:proofErr w:type="spellEnd"/>
      <w:r w:rsidRPr="00E103B9">
        <w:rPr>
          <w:sz w:val="28"/>
        </w:rPr>
        <w:t>. до 1,1% ВВП в 2025 г. Также растет доля расходов на обслуживание госдолга в общем объеме расходов федерального бюджета</w:t>
      </w:r>
      <w:r w:rsidR="00A42B28" w:rsidRPr="00E103B9">
        <w:rPr>
          <w:sz w:val="28"/>
        </w:rPr>
        <w:t xml:space="preserve"> </w:t>
      </w:r>
      <w:r w:rsidRPr="00E103B9">
        <w:rPr>
          <w:sz w:val="28"/>
        </w:rPr>
        <w:t xml:space="preserve">– с 5,1% в 2022 г. до 6,8% в 2025 г., </w:t>
      </w:r>
      <w:proofErr w:type="gramStart"/>
      <w:r w:rsidRPr="00E103B9">
        <w:rPr>
          <w:sz w:val="28"/>
        </w:rPr>
        <w:t>т.е. происходит</w:t>
      </w:r>
      <w:proofErr w:type="gramEnd"/>
      <w:r w:rsidRPr="00E103B9">
        <w:rPr>
          <w:sz w:val="28"/>
        </w:rPr>
        <w:t xml:space="preserve"> вытеснение отраслевых расходов процентными платежами. В первую очередь под давлением оказываются инвестиционные расходы бюджета как наиболее уязвимые в условиях вынужденной бюджетной консолидации. По нашим оценкам, увеличение доли процентных расходов в совокупных расходах на 4 процентных пункта приводит к сокращению доли бюджетных инвестиций на 1 процентный пункт. Таким образом, наметившаяся в последние годы и продолжающаяся в среднесрочной перспективе динамика расходов федерального бюджета на обслуживание государственного долга таит в себе определенный риск вытеснения производительных расходов и тем самым снижения эффективности бюджетной политики в целом.</w:t>
      </w:r>
    </w:p>
    <w:p w14:paraId="02C7807F" w14:textId="77777777" w:rsidR="006410F9" w:rsidRPr="00E103B9" w:rsidRDefault="006410F9" w:rsidP="006410F9">
      <w:pPr>
        <w:spacing w:after="120"/>
        <w:ind w:firstLine="709"/>
        <w:jc w:val="both"/>
        <w:rPr>
          <w:iCs/>
          <w:color w:val="000000"/>
          <w:sz w:val="28"/>
        </w:rPr>
      </w:pPr>
    </w:p>
    <w:p w14:paraId="573A0ED2" w14:textId="19831AFA" w:rsidR="006B103B" w:rsidRPr="00E103B9" w:rsidRDefault="00A42B28" w:rsidP="002E7591">
      <w:pPr>
        <w:rPr>
          <w:b/>
          <w:sz w:val="28"/>
        </w:rPr>
      </w:pPr>
      <w:r w:rsidRPr="00E103B9">
        <w:rPr>
          <w:b/>
          <w:sz w:val="28"/>
        </w:rPr>
        <w:br w:type="page"/>
      </w:r>
    </w:p>
    <w:p w14:paraId="7D374822" w14:textId="1432E6A9" w:rsidR="00995E45" w:rsidRPr="00E103B9" w:rsidRDefault="00D236C9" w:rsidP="005F3860">
      <w:pPr>
        <w:pStyle w:val="afc"/>
        <w:keepNext/>
        <w:numPr>
          <w:ilvl w:val="0"/>
          <w:numId w:val="19"/>
        </w:numPr>
        <w:spacing w:before="240" w:after="360"/>
        <w:ind w:left="0" w:firstLine="0"/>
        <w:jc w:val="center"/>
        <w:outlineLvl w:val="0"/>
        <w:rPr>
          <w:b/>
          <w:kern w:val="28"/>
          <w:sz w:val="32"/>
        </w:rPr>
      </w:pPr>
      <w:bookmarkStart w:id="2" w:name="_Toc116593927"/>
      <w:r w:rsidRPr="00E103B9">
        <w:rPr>
          <w:b/>
          <w:kern w:val="28"/>
          <w:sz w:val="32"/>
        </w:rPr>
        <w:lastRenderedPageBreak/>
        <w:t>Характеристика прогноза социально-экономического развития Российской Федерации на период 2023-2025 гг.</w:t>
      </w:r>
      <w:bookmarkEnd w:id="2"/>
    </w:p>
    <w:p w14:paraId="0E13F68C" w14:textId="41F893E7" w:rsidR="009F22BB" w:rsidRPr="00E103B9" w:rsidRDefault="009F22BB" w:rsidP="009F22BB">
      <w:pPr>
        <w:ind w:firstLine="709"/>
        <w:jc w:val="both"/>
        <w:rPr>
          <w:sz w:val="28"/>
        </w:rPr>
      </w:pPr>
      <w:proofErr w:type="gramStart"/>
      <w:r w:rsidRPr="00E103B9">
        <w:rPr>
          <w:sz w:val="28"/>
        </w:rPr>
        <w:t>Минэкономразвития России подготовил</w:t>
      </w:r>
      <w:r w:rsidR="00B5130A" w:rsidRPr="00E103B9">
        <w:rPr>
          <w:sz w:val="28"/>
        </w:rPr>
        <w:t>о</w:t>
      </w:r>
      <w:r w:rsidRPr="00E103B9">
        <w:rPr>
          <w:sz w:val="28"/>
        </w:rPr>
        <w:t xml:space="preserve"> прогноз социально-экономического развития России до 2025 г. Основные социально-экономические показатели Прогноза скорректированы по сравнению с данными весеннего прогноза с учетом итоговых данных за 2021 г. и текущей динамики 2022 г. В части исходных условий был незначительно скорректирован прогноз нефтяных цен, улучшены ожидания в отношении курса рубля к доллару, уровень инфляции за 2022-2023 гг. скорректирован в меньшую сторону</w:t>
      </w:r>
      <w:proofErr w:type="gramEnd"/>
      <w:r w:rsidRPr="00E103B9">
        <w:rPr>
          <w:sz w:val="28"/>
        </w:rPr>
        <w:t xml:space="preserve"> и превышает </w:t>
      </w:r>
      <w:proofErr w:type="spellStart"/>
      <w:r w:rsidRPr="00E103B9">
        <w:rPr>
          <w:sz w:val="28"/>
        </w:rPr>
        <w:t>таргет</w:t>
      </w:r>
      <w:proofErr w:type="spellEnd"/>
      <w:r w:rsidRPr="00E103B9">
        <w:rPr>
          <w:sz w:val="28"/>
        </w:rPr>
        <w:t xml:space="preserve">, тогда как в 2024-2025 гг. прогнозируется выход на </w:t>
      </w:r>
      <w:proofErr w:type="gramStart"/>
      <w:r w:rsidRPr="00E103B9">
        <w:rPr>
          <w:sz w:val="28"/>
        </w:rPr>
        <w:t>целевые</w:t>
      </w:r>
      <w:proofErr w:type="gramEnd"/>
      <w:r w:rsidRPr="00E103B9">
        <w:rPr>
          <w:sz w:val="28"/>
        </w:rPr>
        <w:t xml:space="preserve"> 4%. </w:t>
      </w:r>
    </w:p>
    <w:p w14:paraId="2EE5FFD3" w14:textId="0493AC5A" w:rsidR="009F22BB" w:rsidRPr="00E103B9" w:rsidRDefault="009F22BB" w:rsidP="009F22BB">
      <w:pPr>
        <w:ind w:firstLine="709"/>
        <w:jc w:val="both"/>
        <w:rPr>
          <w:sz w:val="28"/>
        </w:rPr>
      </w:pPr>
      <w:r w:rsidRPr="00E103B9">
        <w:rPr>
          <w:sz w:val="28"/>
        </w:rPr>
        <w:t xml:space="preserve">В </w:t>
      </w:r>
      <w:proofErr w:type="gramStart"/>
      <w:r w:rsidRPr="00E103B9">
        <w:rPr>
          <w:sz w:val="28"/>
        </w:rPr>
        <w:t>целом</w:t>
      </w:r>
      <w:proofErr w:type="gramEnd"/>
      <w:r w:rsidRPr="00E103B9">
        <w:rPr>
          <w:sz w:val="28"/>
        </w:rPr>
        <w:t xml:space="preserve"> представленные изменения в Прогнозе соответствуют последним тенденциям замедления инфляции, стремления стран-членов </w:t>
      </w:r>
      <w:r w:rsidRPr="00E103B9">
        <w:rPr>
          <w:sz w:val="28"/>
          <w:lang w:val="en-US"/>
        </w:rPr>
        <w:t>OPEC</w:t>
      </w:r>
      <w:r w:rsidRPr="00E103B9">
        <w:rPr>
          <w:sz w:val="28"/>
        </w:rPr>
        <w:t>+ поддерживать цены на нефть за счет регулирования предложения и давления на курс рубля из-за сохраняющихся трудностей с импортом.</w:t>
      </w:r>
    </w:p>
    <w:p w14:paraId="48940683" w14:textId="3047A521" w:rsidR="009F22BB" w:rsidRPr="00E103B9" w:rsidRDefault="009F22BB" w:rsidP="009F22BB">
      <w:pPr>
        <w:ind w:firstLine="709"/>
        <w:jc w:val="both"/>
        <w:rPr>
          <w:sz w:val="28"/>
        </w:rPr>
      </w:pPr>
      <w:r w:rsidRPr="00E103B9">
        <w:rPr>
          <w:sz w:val="28"/>
        </w:rPr>
        <w:t>Представленный Прогноз по большей части выглядит сбалансированным и учитывает ключевые внутрироссийские и глобальные тенденции. Справедливыми выглядят оценки перспектив нефтегазовой отрасли (добыча, переработка, экспорт, цены), некоторых отраслей обрабатывающей промышленности, траекторий развития отдельных регионов.</w:t>
      </w:r>
    </w:p>
    <w:p w14:paraId="71CAA6A7" w14:textId="08548567" w:rsidR="009F22BB" w:rsidRPr="00E103B9" w:rsidRDefault="009F22BB" w:rsidP="009F22BB">
      <w:pPr>
        <w:ind w:firstLine="709"/>
        <w:jc w:val="both"/>
        <w:rPr>
          <w:sz w:val="28"/>
        </w:rPr>
      </w:pPr>
      <w:r w:rsidRPr="00E103B9">
        <w:rPr>
          <w:sz w:val="28"/>
        </w:rPr>
        <w:t xml:space="preserve">Вместе с тем прогноз инфляции Минэкономразвития России на 2023-2025 гг. может оказаться заниженным, поскольку существует ряд </w:t>
      </w:r>
      <w:proofErr w:type="spellStart"/>
      <w:r w:rsidRPr="00E103B9">
        <w:rPr>
          <w:sz w:val="28"/>
        </w:rPr>
        <w:t>проинфляционных</w:t>
      </w:r>
      <w:proofErr w:type="spellEnd"/>
      <w:r w:rsidRPr="00E103B9">
        <w:rPr>
          <w:sz w:val="28"/>
        </w:rPr>
        <w:t xml:space="preserve"> рисков, которые могут начать проявляться уже в ближайшем будущем, например, таких как рост денежной массы, не соответствующий динамике экономики, импортируемая инфляция, индексация тарифов естественных монополий, ускоренное обесценение рубля или повышенный рост потребительского кредитования. В среднесрочной перспективе </w:t>
      </w:r>
      <w:proofErr w:type="spellStart"/>
      <w:r w:rsidRPr="00E103B9">
        <w:rPr>
          <w:sz w:val="28"/>
        </w:rPr>
        <w:t>проинфляционные</w:t>
      </w:r>
      <w:proofErr w:type="spellEnd"/>
      <w:r w:rsidRPr="00E103B9">
        <w:rPr>
          <w:sz w:val="28"/>
        </w:rPr>
        <w:t xml:space="preserve"> риски преобладают, а </w:t>
      </w:r>
      <w:proofErr w:type="spellStart"/>
      <w:r w:rsidRPr="00E103B9">
        <w:rPr>
          <w:sz w:val="28"/>
        </w:rPr>
        <w:t>дезинфляционные</w:t>
      </w:r>
      <w:proofErr w:type="spellEnd"/>
      <w:r w:rsidRPr="00E103B9">
        <w:rPr>
          <w:sz w:val="28"/>
        </w:rPr>
        <w:t xml:space="preserve"> факторы - такие как снижение потребления населения и склонность к сбережениям, снижение цен на импортные товары за счет укрепившегося рубля, - могут постепенно исчезнуть. В </w:t>
      </w:r>
      <w:proofErr w:type="gramStart"/>
      <w:r w:rsidRPr="00E103B9">
        <w:rPr>
          <w:sz w:val="28"/>
        </w:rPr>
        <w:t>своем</w:t>
      </w:r>
      <w:proofErr w:type="gramEnd"/>
      <w:r w:rsidRPr="00E103B9">
        <w:rPr>
          <w:sz w:val="28"/>
        </w:rPr>
        <w:t xml:space="preserve"> прогнозе Минэкономразвития России напрямую указывает, что «потребительский спрос, по оценке, прошел нижнюю точку спада во 2 квартале, а дальнейшее восстановление в краткосрочной перспективе будет поддерживаться возобновлением роста потребительского кредитования и оттоком средств с депозитов по мере снижения процентных ставок в экономике». Таким образом, министерство само указывает на сильные </w:t>
      </w:r>
      <w:proofErr w:type="spellStart"/>
      <w:r w:rsidRPr="00E103B9">
        <w:rPr>
          <w:sz w:val="28"/>
        </w:rPr>
        <w:t>проинфляционные</w:t>
      </w:r>
      <w:proofErr w:type="spellEnd"/>
      <w:r w:rsidRPr="00E103B9">
        <w:rPr>
          <w:sz w:val="28"/>
        </w:rPr>
        <w:t xml:space="preserve"> факторы.</w:t>
      </w:r>
    </w:p>
    <w:p w14:paraId="0668576C" w14:textId="2D8E7E16" w:rsidR="009F22BB" w:rsidRPr="00E103B9" w:rsidRDefault="009F22BB" w:rsidP="009F22BB">
      <w:pPr>
        <w:ind w:firstLine="709"/>
        <w:jc w:val="both"/>
        <w:rPr>
          <w:sz w:val="28"/>
        </w:rPr>
      </w:pPr>
      <w:r w:rsidRPr="00E103B9">
        <w:rPr>
          <w:sz w:val="28"/>
        </w:rPr>
        <w:t xml:space="preserve">Уже в августе-сентябре 2022 г. снижение ИПЦ несколько замедлилось, а показатель базовой инфляции показал рост. При этом инфляционные ожидания населения и бизнеса остаются высокими. Санкции оказывают серьезное давление на предложение товаров (через ограничения на ввоз производственного оборудования, сырья, материалов и комплектующих), а запасы готовой продукции постепенно исчерпываются. В </w:t>
      </w:r>
      <w:proofErr w:type="gramStart"/>
      <w:r w:rsidRPr="00E103B9">
        <w:rPr>
          <w:sz w:val="28"/>
        </w:rPr>
        <w:t>условиях</w:t>
      </w:r>
      <w:proofErr w:type="gramEnd"/>
      <w:r w:rsidRPr="00E103B9">
        <w:rPr>
          <w:sz w:val="28"/>
        </w:rPr>
        <w:t xml:space="preserve"> возможного и вполне реального дальнейшего усиления </w:t>
      </w:r>
      <w:proofErr w:type="spellStart"/>
      <w:r w:rsidRPr="00E103B9">
        <w:rPr>
          <w:sz w:val="28"/>
        </w:rPr>
        <w:t>санкционного</w:t>
      </w:r>
      <w:proofErr w:type="spellEnd"/>
      <w:r w:rsidRPr="00E103B9">
        <w:rPr>
          <w:sz w:val="28"/>
        </w:rPr>
        <w:t xml:space="preserve"> давления риск разгона инфляции остается повышенным. Кроме того, высокая инфляция в крупнейших экономиках мира </w:t>
      </w:r>
      <w:r w:rsidRPr="00E103B9">
        <w:rPr>
          <w:sz w:val="28"/>
        </w:rPr>
        <w:lastRenderedPageBreak/>
        <w:t>(8,3% - в США, 9,9% - в Великобритании, 9,1% - в еврозоне</w:t>
      </w:r>
      <w:r w:rsidRPr="00E103B9">
        <w:rPr>
          <w:rStyle w:val="aa"/>
          <w:sz w:val="28"/>
        </w:rPr>
        <w:footnoteReference w:id="3"/>
      </w:r>
      <w:r w:rsidRPr="00E103B9">
        <w:rPr>
          <w:sz w:val="28"/>
        </w:rPr>
        <w:t>) может быть импортирована в Россию. Возросшие цены на продукты питания и энергоносители, ограничение предложения во многих секторах и перераспределение спроса в пользу услуг привели к росту общего уровня инфляции в большинстве стран. При этом наблюдается рост уровня базовой инфляции (</w:t>
      </w:r>
      <w:proofErr w:type="gramStart"/>
      <w:r w:rsidRPr="00E103B9">
        <w:rPr>
          <w:sz w:val="28"/>
        </w:rPr>
        <w:t>т.е. без</w:t>
      </w:r>
      <w:proofErr w:type="gramEnd"/>
      <w:r w:rsidRPr="00E103B9">
        <w:rPr>
          <w:sz w:val="28"/>
        </w:rPr>
        <w:t xml:space="preserve"> учета регулируемых и </w:t>
      </w:r>
      <w:proofErr w:type="spellStart"/>
      <w:r w:rsidRPr="00E103B9">
        <w:rPr>
          <w:sz w:val="28"/>
        </w:rPr>
        <w:t>волатильных</w:t>
      </w:r>
      <w:proofErr w:type="spellEnd"/>
      <w:r w:rsidRPr="00E103B9">
        <w:rPr>
          <w:sz w:val="28"/>
        </w:rPr>
        <w:t xml:space="preserve"> компонент), что связано с распространением инфляционного давления издержек через цепочки поставок и ограниченные рынки труда. </w:t>
      </w:r>
    </w:p>
    <w:p w14:paraId="6BEE7C5C" w14:textId="77777777" w:rsidR="009F22BB" w:rsidRPr="00E103B9" w:rsidRDefault="009F22BB" w:rsidP="009F22BB">
      <w:pPr>
        <w:ind w:firstLine="709"/>
        <w:jc w:val="both"/>
        <w:rPr>
          <w:sz w:val="28"/>
        </w:rPr>
      </w:pPr>
      <w:r w:rsidRPr="00E103B9">
        <w:rPr>
          <w:sz w:val="28"/>
        </w:rPr>
        <w:t xml:space="preserve">Прогноз курса доллара (который был существенно понижен на всем рассматриваемом периоде) является сверхоптимистичным. Санкции на российскую нефть (отказ от покупки и потолок цен) могут привести к падению выручки экспортеров и при отсутствии роста </w:t>
      </w:r>
      <w:proofErr w:type="gramStart"/>
      <w:r w:rsidRPr="00E103B9">
        <w:rPr>
          <w:sz w:val="28"/>
        </w:rPr>
        <w:t>цены</w:t>
      </w:r>
      <w:proofErr w:type="gramEnd"/>
      <w:r w:rsidRPr="00E103B9">
        <w:rPr>
          <w:sz w:val="28"/>
        </w:rPr>
        <w:t xml:space="preserve"> в конечном счете вылиться в ослабление рубля. Кроме того, многие международные эксперты и организации указывают на риски рецессии глобальной экономики и экономик крупнейших мировых держав, что отрицательно скажется на экспортных возможностях российских производителей. В конечном </w:t>
      </w:r>
      <w:proofErr w:type="gramStart"/>
      <w:r w:rsidRPr="00E103B9">
        <w:rPr>
          <w:sz w:val="28"/>
        </w:rPr>
        <w:t>счете</w:t>
      </w:r>
      <w:proofErr w:type="gramEnd"/>
      <w:r w:rsidRPr="00E103B9">
        <w:rPr>
          <w:sz w:val="28"/>
        </w:rPr>
        <w:t xml:space="preserve"> давление на рубль будет оказывать и высокая инфляция.</w:t>
      </w:r>
    </w:p>
    <w:p w14:paraId="3725C31E" w14:textId="5D7E0A34" w:rsidR="009F22BB" w:rsidRPr="00E103B9" w:rsidRDefault="009F22BB" w:rsidP="009F22BB">
      <w:pPr>
        <w:ind w:firstLine="709"/>
        <w:jc w:val="both"/>
        <w:rPr>
          <w:sz w:val="28"/>
        </w:rPr>
      </w:pPr>
      <w:r w:rsidRPr="00E103B9">
        <w:rPr>
          <w:sz w:val="28"/>
        </w:rPr>
        <w:t xml:space="preserve">Прогноз динамики ВВП России также был скорректирован вверх. При этом достаточных обоснований в материалах Минэкономразвития </w:t>
      </w:r>
      <w:r w:rsidR="00B5130A" w:rsidRPr="00E103B9">
        <w:rPr>
          <w:sz w:val="28"/>
        </w:rPr>
        <w:t xml:space="preserve">России </w:t>
      </w:r>
      <w:r w:rsidRPr="00E103B9">
        <w:rPr>
          <w:sz w:val="28"/>
        </w:rPr>
        <w:t>не представило, указав лишь на рост реальных располагаемых доходов населения и восстановление потребительского спроса, которые станут основными драйверами повышенной, чем ожидалось ранее, динамики.</w:t>
      </w:r>
    </w:p>
    <w:p w14:paraId="3EBB2CBE" w14:textId="77777777" w:rsidR="009F22BB" w:rsidRPr="00E103B9" w:rsidRDefault="009F22BB" w:rsidP="009F22BB">
      <w:pPr>
        <w:ind w:firstLine="709"/>
        <w:jc w:val="both"/>
        <w:rPr>
          <w:sz w:val="28"/>
        </w:rPr>
      </w:pPr>
      <w:r w:rsidRPr="00E103B9">
        <w:rPr>
          <w:sz w:val="28"/>
        </w:rPr>
        <w:t xml:space="preserve">Вместе с тем существует целый ряд значимых факторов, которые будут ухудшать динамику ВВП. Замедление мировой экономики, глобальная инфляция, снижение инвестиционной привлекательности России, </w:t>
      </w:r>
      <w:proofErr w:type="spellStart"/>
      <w:r w:rsidRPr="00E103B9">
        <w:rPr>
          <w:sz w:val="28"/>
        </w:rPr>
        <w:t>санкционное</w:t>
      </w:r>
      <w:proofErr w:type="spellEnd"/>
      <w:r w:rsidRPr="00E103B9">
        <w:rPr>
          <w:sz w:val="28"/>
        </w:rPr>
        <w:t xml:space="preserve"> давление, которое с высокой вероятностью будет только нарастать, снижение экспорта при одновременном восстановлении импорта, уход иностранных компаний и ограниченные возможности отечественных компаний – все это факторы, которые будут определять негативную динамику экономики в ближайшие годы. </w:t>
      </w:r>
    </w:p>
    <w:p w14:paraId="2DB03C82" w14:textId="0ED479D7" w:rsidR="009F22BB" w:rsidRPr="00E103B9" w:rsidRDefault="009F22BB" w:rsidP="009F22BB">
      <w:pPr>
        <w:ind w:firstLine="709"/>
        <w:jc w:val="both"/>
        <w:rPr>
          <w:sz w:val="28"/>
        </w:rPr>
      </w:pPr>
      <w:proofErr w:type="gramStart"/>
      <w:r w:rsidRPr="00E103B9">
        <w:rPr>
          <w:sz w:val="28"/>
        </w:rPr>
        <w:t>Оценка динамики ВВП на 2022 г</w:t>
      </w:r>
      <w:r w:rsidR="00B5130A" w:rsidRPr="00E103B9">
        <w:rPr>
          <w:sz w:val="28"/>
        </w:rPr>
        <w:t>.</w:t>
      </w:r>
      <w:r w:rsidRPr="00E103B9">
        <w:rPr>
          <w:sz w:val="28"/>
        </w:rPr>
        <w:t>, согласно нашим оценкам, не до конца учитывает спад экономики, который намечается в 4 квартале 2022 г. Снижение ВВП в текущем году может составить более 4%, а в следующем году более 5%. Возможный восстановительный рост может начаться не ранее четвертого квартала 2023 г. Как справедливо отмечает Минэкономразвития</w:t>
      </w:r>
      <w:r w:rsidR="00B5130A" w:rsidRPr="00E103B9">
        <w:rPr>
          <w:sz w:val="28"/>
        </w:rPr>
        <w:t xml:space="preserve"> России</w:t>
      </w:r>
      <w:r w:rsidRPr="00E103B9">
        <w:rPr>
          <w:sz w:val="28"/>
        </w:rPr>
        <w:t>, восстановительный рост будет зависеть от эффективности мер</w:t>
      </w:r>
      <w:proofErr w:type="gramEnd"/>
      <w:r w:rsidRPr="00E103B9">
        <w:rPr>
          <w:sz w:val="28"/>
        </w:rPr>
        <w:t xml:space="preserve"> экономической политики, </w:t>
      </w:r>
      <w:proofErr w:type="gramStart"/>
      <w:r w:rsidRPr="00E103B9">
        <w:rPr>
          <w:sz w:val="28"/>
        </w:rPr>
        <w:t>связанных</w:t>
      </w:r>
      <w:proofErr w:type="gramEnd"/>
      <w:r w:rsidRPr="00E103B9">
        <w:rPr>
          <w:sz w:val="28"/>
        </w:rPr>
        <w:t xml:space="preserve"> в том числе с </w:t>
      </w:r>
      <w:proofErr w:type="spellStart"/>
      <w:r w:rsidRPr="00E103B9">
        <w:rPr>
          <w:sz w:val="28"/>
        </w:rPr>
        <w:t>неповышением</w:t>
      </w:r>
      <w:proofErr w:type="spellEnd"/>
      <w:r w:rsidRPr="00E103B9">
        <w:rPr>
          <w:sz w:val="28"/>
        </w:rPr>
        <w:t xml:space="preserve"> налогов, результативной борьбой с высокой инфляцией, быстрой структурной трансформацией экономики (логистические цепочки, </w:t>
      </w:r>
      <w:proofErr w:type="spellStart"/>
      <w:r w:rsidRPr="00E103B9">
        <w:rPr>
          <w:sz w:val="28"/>
        </w:rPr>
        <w:t>импортозамещение</w:t>
      </w:r>
      <w:proofErr w:type="spellEnd"/>
      <w:r w:rsidRPr="00E103B9">
        <w:rPr>
          <w:sz w:val="28"/>
        </w:rPr>
        <w:t>, инвестиционная активность, доходы населения). При этом оценки восстановительного роста Минэкономразвития</w:t>
      </w:r>
      <w:r w:rsidR="00B5130A" w:rsidRPr="00E103B9">
        <w:rPr>
          <w:sz w:val="28"/>
        </w:rPr>
        <w:t xml:space="preserve"> России</w:t>
      </w:r>
      <w:r w:rsidRPr="00E103B9">
        <w:rPr>
          <w:sz w:val="28"/>
        </w:rPr>
        <w:t xml:space="preserve"> на 2024-2025 г</w:t>
      </w:r>
      <w:r w:rsidR="00B5130A" w:rsidRPr="00E103B9">
        <w:rPr>
          <w:sz w:val="28"/>
        </w:rPr>
        <w:t>г.</w:t>
      </w:r>
      <w:r w:rsidRPr="00E103B9">
        <w:rPr>
          <w:sz w:val="28"/>
        </w:rPr>
        <w:t>, на наш взгляд, выглядят оптимистичными и мало отличаются в базовом и консервативном сценарии.</w:t>
      </w:r>
    </w:p>
    <w:p w14:paraId="5D0E05A4" w14:textId="0F2394FA" w:rsidR="009F22BB" w:rsidRPr="00E103B9" w:rsidRDefault="009F22BB" w:rsidP="009F22BB">
      <w:pPr>
        <w:ind w:firstLine="709"/>
        <w:jc w:val="both"/>
        <w:rPr>
          <w:sz w:val="28"/>
        </w:rPr>
      </w:pPr>
      <w:r w:rsidRPr="00E103B9">
        <w:rPr>
          <w:sz w:val="28"/>
        </w:rPr>
        <w:t xml:space="preserve">Международные организации более критично смотрят на перспективную динамику Российской экономики. Их прогнозы представлены в </w:t>
      </w:r>
      <w:r w:rsidRPr="00E103B9">
        <w:rPr>
          <w:i/>
          <w:iCs/>
          <w:sz w:val="28"/>
        </w:rPr>
        <w:t>таблице 1</w:t>
      </w:r>
      <w:r w:rsidRPr="00E103B9">
        <w:rPr>
          <w:sz w:val="28"/>
        </w:rPr>
        <w:t>.</w:t>
      </w:r>
    </w:p>
    <w:p w14:paraId="3D43262C" w14:textId="77777777" w:rsidR="009F22BB" w:rsidRPr="009D5B83" w:rsidRDefault="009F22BB" w:rsidP="009F22BB">
      <w:pPr>
        <w:tabs>
          <w:tab w:val="left" w:pos="709"/>
        </w:tabs>
        <w:spacing w:after="60"/>
        <w:jc w:val="right"/>
        <w:rPr>
          <w:rFonts w:eastAsia="Calibri"/>
          <w:i/>
          <w:iCs/>
          <w:lang w:eastAsia="en-US"/>
        </w:rPr>
      </w:pPr>
      <w:r w:rsidRPr="009D5B83">
        <w:rPr>
          <w:rFonts w:eastAsia="Calibri"/>
          <w:i/>
          <w:iCs/>
          <w:lang w:eastAsia="en-US"/>
        </w:rPr>
        <w:lastRenderedPageBreak/>
        <w:t>Таблица 1</w:t>
      </w:r>
    </w:p>
    <w:p w14:paraId="541C31F6" w14:textId="77777777" w:rsidR="009F22BB" w:rsidRPr="009D5B83" w:rsidRDefault="009F22BB" w:rsidP="009F22BB">
      <w:pPr>
        <w:tabs>
          <w:tab w:val="left" w:pos="709"/>
        </w:tabs>
        <w:spacing w:after="120"/>
        <w:jc w:val="center"/>
        <w:rPr>
          <w:rFonts w:eastAsia="Calibri"/>
          <w:b/>
          <w:bCs/>
          <w:lang w:eastAsia="en-US"/>
        </w:rPr>
      </w:pPr>
      <w:r w:rsidRPr="009D5B83">
        <w:rPr>
          <w:rFonts w:eastAsia="Calibri"/>
          <w:b/>
          <w:bCs/>
          <w:lang w:eastAsia="en-US"/>
        </w:rPr>
        <w:t>Прогнозы динамики ВВП РФ международных организаций, %</w:t>
      </w:r>
    </w:p>
    <w:tbl>
      <w:tblPr>
        <w:tblStyle w:val="a4"/>
        <w:tblW w:w="7525" w:type="dxa"/>
        <w:tblInd w:w="721" w:type="dxa"/>
        <w:tblLook w:val="04A0" w:firstRow="1" w:lastRow="0" w:firstColumn="1" w:lastColumn="0" w:noHBand="0" w:noVBand="1"/>
      </w:tblPr>
      <w:tblGrid>
        <w:gridCol w:w="3200"/>
        <w:gridCol w:w="1066"/>
        <w:gridCol w:w="925"/>
        <w:gridCol w:w="1167"/>
        <w:gridCol w:w="1167"/>
      </w:tblGrid>
      <w:tr w:rsidR="009F22BB" w:rsidRPr="009D5B83" w14:paraId="3110D747" w14:textId="77777777" w:rsidTr="00BE0CCB">
        <w:trPr>
          <w:trHeight w:val="323"/>
        </w:trPr>
        <w:tc>
          <w:tcPr>
            <w:tcW w:w="3200" w:type="dxa"/>
            <w:hideMark/>
          </w:tcPr>
          <w:p w14:paraId="58B58B40" w14:textId="77777777" w:rsidR="009F22BB" w:rsidRPr="009D5B83" w:rsidRDefault="009F22BB" w:rsidP="00BE0CCB">
            <w:pPr>
              <w:jc w:val="center"/>
              <w:rPr>
                <w:b/>
                <w:bCs/>
                <w:sz w:val="22"/>
                <w:szCs w:val="22"/>
              </w:rPr>
            </w:pPr>
            <w:r w:rsidRPr="009D5B83">
              <w:rPr>
                <w:b/>
                <w:bCs/>
                <w:sz w:val="22"/>
                <w:szCs w:val="22"/>
              </w:rPr>
              <w:t>Международная организация</w:t>
            </w:r>
          </w:p>
        </w:tc>
        <w:tc>
          <w:tcPr>
            <w:tcW w:w="1066" w:type="dxa"/>
            <w:hideMark/>
          </w:tcPr>
          <w:p w14:paraId="47ABEAC5" w14:textId="77777777" w:rsidR="009F22BB" w:rsidRPr="009D5B83" w:rsidRDefault="009F22BB" w:rsidP="00BE0CCB">
            <w:pPr>
              <w:jc w:val="center"/>
              <w:rPr>
                <w:b/>
                <w:bCs/>
                <w:sz w:val="22"/>
                <w:szCs w:val="22"/>
              </w:rPr>
            </w:pPr>
            <w:r w:rsidRPr="009D5B83">
              <w:rPr>
                <w:b/>
                <w:bCs/>
                <w:sz w:val="22"/>
                <w:szCs w:val="22"/>
              </w:rPr>
              <w:t>20</w:t>
            </w:r>
            <w:r w:rsidRPr="009D5B83">
              <w:rPr>
                <w:b/>
                <w:bCs/>
                <w:sz w:val="22"/>
                <w:szCs w:val="22"/>
                <w:lang w:val="en-US"/>
              </w:rPr>
              <w:t>21</w:t>
            </w:r>
            <w:r w:rsidRPr="009D5B83">
              <w:rPr>
                <w:b/>
                <w:bCs/>
                <w:sz w:val="22"/>
                <w:szCs w:val="22"/>
              </w:rPr>
              <w:t xml:space="preserve"> г.</w:t>
            </w:r>
          </w:p>
        </w:tc>
        <w:tc>
          <w:tcPr>
            <w:tcW w:w="925" w:type="dxa"/>
            <w:hideMark/>
          </w:tcPr>
          <w:p w14:paraId="295A5D36" w14:textId="77777777" w:rsidR="009F22BB" w:rsidRPr="009D5B83" w:rsidRDefault="009F22BB" w:rsidP="00BE0CCB">
            <w:pPr>
              <w:jc w:val="center"/>
              <w:rPr>
                <w:b/>
                <w:bCs/>
                <w:sz w:val="22"/>
                <w:szCs w:val="22"/>
              </w:rPr>
            </w:pPr>
            <w:r w:rsidRPr="009D5B83">
              <w:rPr>
                <w:b/>
                <w:bCs/>
                <w:sz w:val="22"/>
                <w:szCs w:val="22"/>
              </w:rPr>
              <w:t>20</w:t>
            </w:r>
            <w:r w:rsidRPr="009D5B83">
              <w:rPr>
                <w:b/>
                <w:bCs/>
                <w:sz w:val="22"/>
                <w:szCs w:val="22"/>
                <w:lang w:val="en-US"/>
              </w:rPr>
              <w:t>22</w:t>
            </w:r>
            <w:r w:rsidRPr="009D5B83">
              <w:rPr>
                <w:b/>
                <w:bCs/>
                <w:sz w:val="22"/>
                <w:szCs w:val="22"/>
              </w:rPr>
              <w:t xml:space="preserve"> г.</w:t>
            </w:r>
          </w:p>
        </w:tc>
        <w:tc>
          <w:tcPr>
            <w:tcW w:w="1167" w:type="dxa"/>
            <w:hideMark/>
          </w:tcPr>
          <w:p w14:paraId="0AB6ABB3" w14:textId="77777777" w:rsidR="009F22BB" w:rsidRPr="009D5B83" w:rsidRDefault="009F22BB" w:rsidP="00BE0CCB">
            <w:pPr>
              <w:jc w:val="center"/>
              <w:rPr>
                <w:b/>
                <w:bCs/>
                <w:sz w:val="22"/>
                <w:szCs w:val="22"/>
              </w:rPr>
            </w:pPr>
            <w:r w:rsidRPr="009D5B83">
              <w:rPr>
                <w:b/>
                <w:bCs/>
                <w:sz w:val="22"/>
                <w:szCs w:val="22"/>
              </w:rPr>
              <w:t>202</w:t>
            </w:r>
            <w:r w:rsidRPr="009D5B83">
              <w:rPr>
                <w:b/>
                <w:bCs/>
                <w:sz w:val="22"/>
                <w:szCs w:val="22"/>
                <w:lang w:val="en-US"/>
              </w:rPr>
              <w:t>3</w:t>
            </w:r>
            <w:r w:rsidRPr="009D5B83">
              <w:rPr>
                <w:b/>
                <w:bCs/>
                <w:sz w:val="22"/>
                <w:szCs w:val="22"/>
              </w:rPr>
              <w:t xml:space="preserve"> г.</w:t>
            </w:r>
          </w:p>
        </w:tc>
        <w:tc>
          <w:tcPr>
            <w:tcW w:w="1167" w:type="dxa"/>
          </w:tcPr>
          <w:p w14:paraId="1CE5A5A8" w14:textId="77777777" w:rsidR="009F22BB" w:rsidRPr="009D5B83" w:rsidRDefault="009F22BB" w:rsidP="00BE0CCB">
            <w:pPr>
              <w:jc w:val="center"/>
              <w:rPr>
                <w:b/>
                <w:bCs/>
                <w:sz w:val="22"/>
                <w:szCs w:val="22"/>
              </w:rPr>
            </w:pPr>
            <w:r w:rsidRPr="009D5B83">
              <w:rPr>
                <w:b/>
                <w:bCs/>
                <w:sz w:val="22"/>
                <w:szCs w:val="22"/>
              </w:rPr>
              <w:t>2024 г.</w:t>
            </w:r>
          </w:p>
        </w:tc>
      </w:tr>
      <w:tr w:rsidR="009F22BB" w:rsidRPr="009D5B83" w14:paraId="1D118A3E" w14:textId="77777777" w:rsidTr="00BE0CCB">
        <w:trPr>
          <w:trHeight w:val="323"/>
        </w:trPr>
        <w:tc>
          <w:tcPr>
            <w:tcW w:w="3200" w:type="dxa"/>
            <w:hideMark/>
          </w:tcPr>
          <w:p w14:paraId="6E1F8FF0" w14:textId="77777777" w:rsidR="009F22BB" w:rsidRPr="009D5B83" w:rsidRDefault="009F22BB" w:rsidP="00BE0CCB">
            <w:pPr>
              <w:jc w:val="both"/>
              <w:rPr>
                <w:sz w:val="22"/>
                <w:szCs w:val="22"/>
              </w:rPr>
            </w:pPr>
            <w:r w:rsidRPr="009D5B83">
              <w:rPr>
                <w:sz w:val="22"/>
                <w:szCs w:val="22"/>
                <w:lang w:val="en-US"/>
              </w:rPr>
              <w:t>IMF</w:t>
            </w:r>
            <w:r w:rsidRPr="009D5B83">
              <w:rPr>
                <w:sz w:val="22"/>
                <w:szCs w:val="22"/>
              </w:rPr>
              <w:t xml:space="preserve"> (июль 2022 г.)</w:t>
            </w:r>
          </w:p>
        </w:tc>
        <w:tc>
          <w:tcPr>
            <w:tcW w:w="1066" w:type="dxa"/>
            <w:hideMark/>
          </w:tcPr>
          <w:p w14:paraId="4BE1DF86" w14:textId="77777777" w:rsidR="009F22BB" w:rsidRPr="009D5B83" w:rsidRDefault="009F22BB" w:rsidP="00BE0CCB">
            <w:pPr>
              <w:jc w:val="center"/>
              <w:rPr>
                <w:sz w:val="22"/>
                <w:szCs w:val="22"/>
              </w:rPr>
            </w:pPr>
            <w:r w:rsidRPr="009D5B83">
              <w:rPr>
                <w:sz w:val="22"/>
                <w:szCs w:val="22"/>
              </w:rPr>
              <w:t>4,7</w:t>
            </w:r>
          </w:p>
        </w:tc>
        <w:tc>
          <w:tcPr>
            <w:tcW w:w="925" w:type="dxa"/>
            <w:hideMark/>
          </w:tcPr>
          <w:p w14:paraId="334902E7" w14:textId="77777777" w:rsidR="009F22BB" w:rsidRPr="009D5B83" w:rsidRDefault="009F22BB" w:rsidP="00BE0CCB">
            <w:pPr>
              <w:jc w:val="center"/>
              <w:rPr>
                <w:sz w:val="22"/>
                <w:szCs w:val="22"/>
              </w:rPr>
            </w:pPr>
            <w:r w:rsidRPr="009D5B83">
              <w:rPr>
                <w:sz w:val="22"/>
                <w:szCs w:val="22"/>
              </w:rPr>
              <w:t>-</w:t>
            </w:r>
            <w:r w:rsidRPr="009D5B83">
              <w:rPr>
                <w:sz w:val="22"/>
                <w:szCs w:val="22"/>
                <w:lang w:val="en-US"/>
              </w:rPr>
              <w:t>6,0</w:t>
            </w:r>
          </w:p>
        </w:tc>
        <w:tc>
          <w:tcPr>
            <w:tcW w:w="1167" w:type="dxa"/>
            <w:hideMark/>
          </w:tcPr>
          <w:p w14:paraId="13012EFD" w14:textId="77777777" w:rsidR="009F22BB" w:rsidRPr="009D5B83" w:rsidRDefault="009F22BB" w:rsidP="00BE0CCB">
            <w:pPr>
              <w:jc w:val="center"/>
              <w:rPr>
                <w:sz w:val="22"/>
                <w:szCs w:val="22"/>
              </w:rPr>
            </w:pPr>
            <w:r w:rsidRPr="009D5B83">
              <w:rPr>
                <w:sz w:val="22"/>
                <w:szCs w:val="22"/>
              </w:rPr>
              <w:t>-</w:t>
            </w:r>
            <w:r w:rsidRPr="009D5B83">
              <w:rPr>
                <w:sz w:val="22"/>
                <w:szCs w:val="22"/>
                <w:lang w:val="en-US"/>
              </w:rPr>
              <w:t>3,5</w:t>
            </w:r>
          </w:p>
        </w:tc>
        <w:tc>
          <w:tcPr>
            <w:tcW w:w="1167" w:type="dxa"/>
          </w:tcPr>
          <w:p w14:paraId="2F7455EF" w14:textId="77777777" w:rsidR="009F22BB" w:rsidRPr="009D5B83" w:rsidRDefault="009F22BB" w:rsidP="00BE0CCB">
            <w:pPr>
              <w:jc w:val="center"/>
              <w:rPr>
                <w:sz w:val="22"/>
                <w:szCs w:val="22"/>
              </w:rPr>
            </w:pPr>
            <w:r w:rsidRPr="009D5B83">
              <w:rPr>
                <w:sz w:val="22"/>
                <w:szCs w:val="22"/>
              </w:rPr>
              <w:t>-</w:t>
            </w:r>
          </w:p>
        </w:tc>
      </w:tr>
      <w:tr w:rsidR="009F22BB" w:rsidRPr="009D5B83" w14:paraId="1714D2AD" w14:textId="77777777" w:rsidTr="00BE0CCB">
        <w:trPr>
          <w:trHeight w:val="323"/>
        </w:trPr>
        <w:tc>
          <w:tcPr>
            <w:tcW w:w="3200" w:type="dxa"/>
            <w:hideMark/>
          </w:tcPr>
          <w:p w14:paraId="44F12CE3" w14:textId="77777777" w:rsidR="009F22BB" w:rsidRPr="009D5B83" w:rsidRDefault="009F22BB" w:rsidP="00BE0CCB">
            <w:pPr>
              <w:jc w:val="both"/>
              <w:rPr>
                <w:sz w:val="22"/>
                <w:szCs w:val="22"/>
              </w:rPr>
            </w:pPr>
            <w:r w:rsidRPr="009D5B83">
              <w:rPr>
                <w:sz w:val="22"/>
                <w:szCs w:val="22"/>
                <w:lang w:val="en-US"/>
              </w:rPr>
              <w:t>WB</w:t>
            </w:r>
            <w:r w:rsidRPr="009D5B83">
              <w:rPr>
                <w:sz w:val="22"/>
                <w:szCs w:val="22"/>
              </w:rPr>
              <w:t xml:space="preserve"> (октябрь 2022 г.)</w:t>
            </w:r>
          </w:p>
        </w:tc>
        <w:tc>
          <w:tcPr>
            <w:tcW w:w="1066" w:type="dxa"/>
            <w:hideMark/>
          </w:tcPr>
          <w:p w14:paraId="7353DB6D" w14:textId="77777777" w:rsidR="009F22BB" w:rsidRPr="009D5B83" w:rsidRDefault="009F22BB" w:rsidP="00BE0CCB">
            <w:pPr>
              <w:jc w:val="center"/>
              <w:rPr>
                <w:sz w:val="22"/>
                <w:szCs w:val="22"/>
              </w:rPr>
            </w:pPr>
            <w:r w:rsidRPr="009D5B83">
              <w:rPr>
                <w:sz w:val="22"/>
                <w:szCs w:val="22"/>
              </w:rPr>
              <w:t>4,8</w:t>
            </w:r>
          </w:p>
        </w:tc>
        <w:tc>
          <w:tcPr>
            <w:tcW w:w="925" w:type="dxa"/>
            <w:hideMark/>
          </w:tcPr>
          <w:p w14:paraId="7315D211" w14:textId="77777777" w:rsidR="009F22BB" w:rsidRPr="009D5B83" w:rsidRDefault="009F22BB" w:rsidP="00BE0CCB">
            <w:pPr>
              <w:jc w:val="center"/>
              <w:rPr>
                <w:sz w:val="22"/>
                <w:szCs w:val="22"/>
              </w:rPr>
            </w:pPr>
            <w:r w:rsidRPr="009D5B83">
              <w:rPr>
                <w:sz w:val="22"/>
                <w:szCs w:val="22"/>
              </w:rPr>
              <w:t>-4,5</w:t>
            </w:r>
          </w:p>
        </w:tc>
        <w:tc>
          <w:tcPr>
            <w:tcW w:w="1167" w:type="dxa"/>
            <w:hideMark/>
          </w:tcPr>
          <w:p w14:paraId="2728BE8E" w14:textId="77777777" w:rsidR="009F22BB" w:rsidRPr="009D5B83" w:rsidRDefault="009F22BB" w:rsidP="00BE0CCB">
            <w:pPr>
              <w:jc w:val="center"/>
              <w:rPr>
                <w:sz w:val="22"/>
                <w:szCs w:val="22"/>
              </w:rPr>
            </w:pPr>
            <w:r w:rsidRPr="009D5B83">
              <w:rPr>
                <w:sz w:val="22"/>
                <w:szCs w:val="22"/>
              </w:rPr>
              <w:t>-3,6</w:t>
            </w:r>
          </w:p>
        </w:tc>
        <w:tc>
          <w:tcPr>
            <w:tcW w:w="1167" w:type="dxa"/>
          </w:tcPr>
          <w:p w14:paraId="6123021C" w14:textId="77777777" w:rsidR="009F22BB" w:rsidRPr="009D5B83" w:rsidRDefault="009F22BB" w:rsidP="00BE0CCB">
            <w:pPr>
              <w:jc w:val="center"/>
              <w:rPr>
                <w:sz w:val="22"/>
                <w:szCs w:val="22"/>
              </w:rPr>
            </w:pPr>
            <w:r w:rsidRPr="009D5B83">
              <w:rPr>
                <w:sz w:val="22"/>
                <w:szCs w:val="22"/>
              </w:rPr>
              <w:t>1,6</w:t>
            </w:r>
          </w:p>
        </w:tc>
      </w:tr>
      <w:tr w:rsidR="009F22BB" w:rsidRPr="009D5B83" w14:paraId="51FEA8A4" w14:textId="77777777" w:rsidTr="00BE0CCB">
        <w:trPr>
          <w:trHeight w:val="323"/>
        </w:trPr>
        <w:tc>
          <w:tcPr>
            <w:tcW w:w="3200" w:type="dxa"/>
            <w:hideMark/>
          </w:tcPr>
          <w:p w14:paraId="14E2FCE9" w14:textId="77777777" w:rsidR="009F22BB" w:rsidRPr="009D5B83" w:rsidRDefault="009F22BB" w:rsidP="00BE0CCB">
            <w:pPr>
              <w:jc w:val="both"/>
              <w:rPr>
                <w:sz w:val="22"/>
                <w:szCs w:val="22"/>
              </w:rPr>
            </w:pPr>
            <w:r w:rsidRPr="009D5B83">
              <w:rPr>
                <w:sz w:val="22"/>
                <w:szCs w:val="22"/>
              </w:rPr>
              <w:t>ОЭСР (сентябрь 2022 г.)</w:t>
            </w:r>
          </w:p>
        </w:tc>
        <w:tc>
          <w:tcPr>
            <w:tcW w:w="1066" w:type="dxa"/>
            <w:hideMark/>
          </w:tcPr>
          <w:p w14:paraId="630D23C0" w14:textId="77777777" w:rsidR="009F22BB" w:rsidRPr="009D5B83" w:rsidRDefault="009F22BB" w:rsidP="00BE0CCB">
            <w:pPr>
              <w:jc w:val="center"/>
              <w:rPr>
                <w:sz w:val="22"/>
                <w:szCs w:val="22"/>
              </w:rPr>
            </w:pPr>
            <w:r w:rsidRPr="009D5B83">
              <w:rPr>
                <w:sz w:val="22"/>
                <w:szCs w:val="22"/>
              </w:rPr>
              <w:t>4,7</w:t>
            </w:r>
          </w:p>
        </w:tc>
        <w:tc>
          <w:tcPr>
            <w:tcW w:w="925" w:type="dxa"/>
            <w:hideMark/>
          </w:tcPr>
          <w:p w14:paraId="0A2163EE" w14:textId="77777777" w:rsidR="009F22BB" w:rsidRPr="009D5B83" w:rsidRDefault="009F22BB" w:rsidP="00BE0CCB">
            <w:pPr>
              <w:jc w:val="center"/>
              <w:rPr>
                <w:sz w:val="22"/>
                <w:szCs w:val="22"/>
              </w:rPr>
            </w:pPr>
            <w:r w:rsidRPr="009D5B83">
              <w:rPr>
                <w:sz w:val="22"/>
                <w:szCs w:val="22"/>
              </w:rPr>
              <w:t>-5,5</w:t>
            </w:r>
          </w:p>
        </w:tc>
        <w:tc>
          <w:tcPr>
            <w:tcW w:w="1167" w:type="dxa"/>
            <w:hideMark/>
          </w:tcPr>
          <w:p w14:paraId="3E035982" w14:textId="77777777" w:rsidR="009F22BB" w:rsidRPr="009D5B83" w:rsidRDefault="009F22BB" w:rsidP="00BE0CCB">
            <w:pPr>
              <w:jc w:val="center"/>
              <w:rPr>
                <w:sz w:val="22"/>
                <w:szCs w:val="22"/>
              </w:rPr>
            </w:pPr>
            <w:r w:rsidRPr="009D5B83">
              <w:rPr>
                <w:sz w:val="22"/>
                <w:szCs w:val="22"/>
              </w:rPr>
              <w:t>-4,5</w:t>
            </w:r>
          </w:p>
        </w:tc>
        <w:tc>
          <w:tcPr>
            <w:tcW w:w="1167" w:type="dxa"/>
          </w:tcPr>
          <w:p w14:paraId="218DA4F9" w14:textId="77777777" w:rsidR="009F22BB" w:rsidRPr="009D5B83" w:rsidRDefault="009F22BB" w:rsidP="00BE0CCB">
            <w:pPr>
              <w:jc w:val="center"/>
              <w:rPr>
                <w:sz w:val="22"/>
                <w:szCs w:val="22"/>
              </w:rPr>
            </w:pPr>
            <w:r w:rsidRPr="009D5B83">
              <w:rPr>
                <w:sz w:val="22"/>
                <w:szCs w:val="22"/>
              </w:rPr>
              <w:t>-</w:t>
            </w:r>
          </w:p>
        </w:tc>
      </w:tr>
    </w:tbl>
    <w:p w14:paraId="319880A8" w14:textId="5CEA013B" w:rsidR="009F22BB" w:rsidRPr="009D5B83" w:rsidRDefault="009F22BB" w:rsidP="009F22BB">
      <w:pPr>
        <w:tabs>
          <w:tab w:val="left" w:pos="709"/>
        </w:tabs>
        <w:spacing w:after="240"/>
        <w:ind w:firstLine="709"/>
        <w:jc w:val="both"/>
        <w:rPr>
          <w:rFonts w:eastAsia="Calibri"/>
          <w:sz w:val="22"/>
          <w:szCs w:val="22"/>
          <w:lang w:eastAsia="en-US"/>
        </w:rPr>
      </w:pPr>
      <w:r w:rsidRPr="009D5B83">
        <w:rPr>
          <w:rFonts w:eastAsia="Calibri"/>
          <w:i/>
          <w:iCs/>
          <w:sz w:val="22"/>
          <w:szCs w:val="22"/>
          <w:lang w:eastAsia="en-US"/>
        </w:rPr>
        <w:t>Источник</w:t>
      </w:r>
      <w:r w:rsidRPr="009D5B83">
        <w:rPr>
          <w:rFonts w:eastAsia="Calibri"/>
          <w:sz w:val="22"/>
          <w:szCs w:val="22"/>
          <w:lang w:eastAsia="en-US"/>
        </w:rPr>
        <w:t xml:space="preserve">: составлено </w:t>
      </w:r>
      <w:r>
        <w:rPr>
          <w:rFonts w:eastAsia="Calibri"/>
          <w:sz w:val="22"/>
          <w:szCs w:val="22"/>
          <w:lang w:eastAsia="en-US"/>
        </w:rPr>
        <w:t xml:space="preserve">авторами </w:t>
      </w:r>
      <w:r w:rsidRPr="009D5B83">
        <w:rPr>
          <w:rFonts w:eastAsia="Calibri"/>
          <w:sz w:val="22"/>
          <w:szCs w:val="22"/>
          <w:lang w:eastAsia="en-US"/>
        </w:rPr>
        <w:t>по данным МВФ, Всемирного банка и ОЭСР.</w:t>
      </w:r>
    </w:p>
    <w:p w14:paraId="102BE714" w14:textId="71E57E9D" w:rsidR="009F22BB" w:rsidRPr="00E103B9" w:rsidRDefault="009F22BB" w:rsidP="009F22BB">
      <w:pPr>
        <w:ind w:firstLine="709"/>
        <w:jc w:val="both"/>
        <w:rPr>
          <w:sz w:val="28"/>
        </w:rPr>
      </w:pPr>
      <w:proofErr w:type="gramStart"/>
      <w:r w:rsidRPr="00E103B9">
        <w:rPr>
          <w:sz w:val="28"/>
        </w:rPr>
        <w:t xml:space="preserve">Прогноз </w:t>
      </w:r>
      <w:r w:rsidR="00B5130A" w:rsidRPr="00E103B9">
        <w:rPr>
          <w:sz w:val="28"/>
        </w:rPr>
        <w:t>Минэкономразвития России</w:t>
      </w:r>
      <w:r w:rsidR="00B5130A" w:rsidRPr="00E103B9" w:rsidDel="00B5130A">
        <w:rPr>
          <w:sz w:val="28"/>
        </w:rPr>
        <w:t xml:space="preserve"> </w:t>
      </w:r>
      <w:r w:rsidRPr="00E103B9">
        <w:rPr>
          <w:sz w:val="28"/>
        </w:rPr>
        <w:t xml:space="preserve">предполагает снижение доли импорта в ВВП с 21,3% в 2021 г. до 16,2% в 2022 г. С учетом того, что 70% российского импорта составляют инвестиционные товары (машины и оборудование) и товары промежуточного потребления (комплектующие) уменьшение доли импорта в ВВП предполагает заметное снижение инвестиционной и производственной активности, хотя в представленном </w:t>
      </w:r>
      <w:r w:rsidR="00B5130A" w:rsidRPr="00E103B9">
        <w:rPr>
          <w:sz w:val="28"/>
        </w:rPr>
        <w:t>П</w:t>
      </w:r>
      <w:r w:rsidRPr="00E103B9">
        <w:rPr>
          <w:sz w:val="28"/>
        </w:rPr>
        <w:t>рогнозе снижение данных показателей прогнозируется на минимальном уровне.</w:t>
      </w:r>
      <w:proofErr w:type="gramEnd"/>
    </w:p>
    <w:p w14:paraId="7F4CAD66" w14:textId="0C3737BD" w:rsidR="009F22BB" w:rsidRPr="00E103B9" w:rsidRDefault="009F22BB" w:rsidP="009F22BB">
      <w:pPr>
        <w:ind w:firstLine="709"/>
        <w:jc w:val="both"/>
        <w:rPr>
          <w:sz w:val="28"/>
        </w:rPr>
      </w:pPr>
      <w:r w:rsidRPr="00E103B9">
        <w:rPr>
          <w:sz w:val="28"/>
        </w:rPr>
        <w:t xml:space="preserve">В </w:t>
      </w:r>
      <w:proofErr w:type="gramStart"/>
      <w:r w:rsidR="00B5130A" w:rsidRPr="00E103B9">
        <w:rPr>
          <w:sz w:val="28"/>
        </w:rPr>
        <w:t>П</w:t>
      </w:r>
      <w:r w:rsidRPr="00E103B9">
        <w:rPr>
          <w:sz w:val="28"/>
        </w:rPr>
        <w:t>рогнозе</w:t>
      </w:r>
      <w:proofErr w:type="gramEnd"/>
      <w:r w:rsidRPr="00E103B9">
        <w:rPr>
          <w:sz w:val="28"/>
        </w:rPr>
        <w:t xml:space="preserve"> представлен довольно оптимистичный взгляд на реальные располагаемые денежные доходы населения (РРДДН). Ускорившаяся по сравнению с прошлым годом инфляция, рост кредитной нагрузки, просроченной задолженности и уход с рынка многих работодателей, которые способны были предлагать высокооплачиваемые рабочие места, увеличение налогов, штрафов и т.п. должны быть учтены при прогнозировании данного показателя. Прогнозируемая Минэкономразвития </w:t>
      </w:r>
      <w:r w:rsidR="00B5130A" w:rsidRPr="00E103B9">
        <w:rPr>
          <w:sz w:val="28"/>
        </w:rPr>
        <w:t xml:space="preserve">России </w:t>
      </w:r>
      <w:r w:rsidRPr="00E103B9">
        <w:rPr>
          <w:sz w:val="28"/>
        </w:rPr>
        <w:t xml:space="preserve">динамика РРДДН переоценивает реальные возможности с учетом очевидного негативного влияния на них обозначенных факторов. </w:t>
      </w:r>
    </w:p>
    <w:p w14:paraId="3BA518AB" w14:textId="77777777" w:rsidR="009F22BB" w:rsidRPr="00E103B9" w:rsidRDefault="009F22BB" w:rsidP="009F22BB">
      <w:pPr>
        <w:ind w:firstLine="709"/>
        <w:jc w:val="both"/>
        <w:rPr>
          <w:sz w:val="28"/>
        </w:rPr>
      </w:pPr>
      <w:proofErr w:type="gramStart"/>
      <w:r w:rsidRPr="00E103B9">
        <w:rPr>
          <w:sz w:val="28"/>
        </w:rPr>
        <w:t xml:space="preserve">Консервативный сценарий содержит ограниченный круг предпосылок, который исключает такие значимые факторы, как ухудшение внутренних факторов роста (урезание госрасходов, повышение налогов, повышение ключевой ставки, неразрешенные проблемы с логистикой и др.) и внешних факторов (возможное усиление </w:t>
      </w:r>
      <w:proofErr w:type="spellStart"/>
      <w:r w:rsidRPr="00E103B9">
        <w:rPr>
          <w:sz w:val="28"/>
        </w:rPr>
        <w:t>санкционного</w:t>
      </w:r>
      <w:proofErr w:type="spellEnd"/>
      <w:r w:rsidRPr="00E103B9">
        <w:rPr>
          <w:sz w:val="28"/>
        </w:rPr>
        <w:t xml:space="preserve"> давления, отток капитала и обвал иностранных инвестиций, отсутствие интереса иностранцев к российскому госдолгу и закрытие международных рынков финансирования для российских компаний и прочие).</w:t>
      </w:r>
      <w:proofErr w:type="gramEnd"/>
      <w:r w:rsidRPr="00E103B9">
        <w:rPr>
          <w:sz w:val="28"/>
        </w:rPr>
        <w:t xml:space="preserve"> Без учета этих предпосылок консервативный сценарий выглядит неполноценным и является приближенным к </w:t>
      </w:r>
      <w:proofErr w:type="gramStart"/>
      <w:r w:rsidRPr="00E103B9">
        <w:rPr>
          <w:sz w:val="28"/>
        </w:rPr>
        <w:t>базовому</w:t>
      </w:r>
      <w:proofErr w:type="gramEnd"/>
      <w:r w:rsidRPr="00E103B9">
        <w:rPr>
          <w:sz w:val="28"/>
        </w:rPr>
        <w:t>.</w:t>
      </w:r>
    </w:p>
    <w:p w14:paraId="0BB6B27B" w14:textId="531DE766" w:rsidR="0080056C" w:rsidRPr="009F22BB" w:rsidRDefault="009F22BB" w:rsidP="009F22BB">
      <w:pPr>
        <w:ind w:firstLine="709"/>
        <w:jc w:val="both"/>
      </w:pPr>
      <w:r w:rsidRPr="00E103B9">
        <w:rPr>
          <w:sz w:val="28"/>
        </w:rPr>
        <w:t>Представляется более логичным, что прогноз социально-экономического развития РФ для проекта среднесрочного бюджета должен быть построен на гипотезах, соответствующих консервативному сценарию, рассматривающему возможные риски в среднесрочной перспективе.</w:t>
      </w:r>
      <w:r w:rsidR="0080056C" w:rsidRPr="009D5B83">
        <w:rPr>
          <w:rFonts w:eastAsiaTheme="minorEastAsia"/>
          <w:lang w:eastAsia="en-US"/>
        </w:rPr>
        <w:br w:type="page"/>
      </w:r>
    </w:p>
    <w:p w14:paraId="248FD149" w14:textId="77777777" w:rsidR="0080056C" w:rsidRPr="00E103B9" w:rsidRDefault="0080056C" w:rsidP="0080056C">
      <w:pPr>
        <w:pStyle w:val="afc"/>
        <w:keepNext/>
        <w:numPr>
          <w:ilvl w:val="0"/>
          <w:numId w:val="19"/>
        </w:numPr>
        <w:spacing w:before="240" w:after="360"/>
        <w:ind w:left="0" w:firstLine="0"/>
        <w:jc w:val="center"/>
        <w:outlineLvl w:val="0"/>
        <w:rPr>
          <w:b/>
          <w:kern w:val="28"/>
          <w:sz w:val="32"/>
        </w:rPr>
      </w:pPr>
      <w:bookmarkStart w:id="3" w:name="_Toc116593928"/>
      <w:r w:rsidRPr="00E103B9">
        <w:rPr>
          <w:b/>
          <w:kern w:val="28"/>
          <w:sz w:val="32"/>
        </w:rPr>
        <w:lastRenderedPageBreak/>
        <w:t>Общая характеристика основных параметров федерального бюджета</w:t>
      </w:r>
      <w:bookmarkEnd w:id="3"/>
    </w:p>
    <w:p w14:paraId="29FCF006" w14:textId="7AAB1AE2" w:rsidR="001539F7" w:rsidRPr="00E103B9" w:rsidRDefault="001539F7" w:rsidP="001539F7">
      <w:pPr>
        <w:suppressAutoHyphens/>
        <w:spacing w:after="60"/>
        <w:ind w:firstLine="709"/>
        <w:jc w:val="both"/>
        <w:rPr>
          <w:sz w:val="28"/>
        </w:rPr>
      </w:pPr>
      <w:r w:rsidRPr="00E103B9">
        <w:rPr>
          <w:sz w:val="28"/>
          <w:lang w:eastAsia="en-US"/>
        </w:rPr>
        <w:t>Основные характеристики федерального бюджета (далее – ФБ) в 2021-2022 гг. и на плановый период 2023- 2025 гг. в соответствии с Законопроект</w:t>
      </w:r>
      <w:r w:rsidR="00A42B28" w:rsidRPr="00E103B9">
        <w:rPr>
          <w:sz w:val="28"/>
          <w:lang w:eastAsia="en-US"/>
        </w:rPr>
        <w:t>ом</w:t>
      </w:r>
      <w:r w:rsidRPr="00E103B9">
        <w:rPr>
          <w:sz w:val="28"/>
          <w:lang w:eastAsia="en-US"/>
        </w:rPr>
        <w:t xml:space="preserve"> представлены в </w:t>
      </w:r>
      <w:r w:rsidRPr="00E103B9">
        <w:rPr>
          <w:i/>
          <w:sz w:val="28"/>
          <w:lang w:eastAsia="en-US"/>
        </w:rPr>
        <w:t>таблице 2.</w:t>
      </w:r>
    </w:p>
    <w:p w14:paraId="6790E0CE" w14:textId="2DD3667E" w:rsidR="001539F7" w:rsidRPr="009D5B83" w:rsidRDefault="001539F7" w:rsidP="001539F7">
      <w:pPr>
        <w:suppressAutoHyphens/>
        <w:spacing w:after="60"/>
        <w:ind w:firstLine="709"/>
        <w:jc w:val="right"/>
      </w:pPr>
      <w:r w:rsidRPr="009D5B83">
        <w:rPr>
          <w:i/>
          <w:lang w:eastAsia="en-US"/>
        </w:rPr>
        <w:t>Таблица 2</w:t>
      </w:r>
    </w:p>
    <w:p w14:paraId="3C0D3BBE" w14:textId="77777777" w:rsidR="001539F7" w:rsidRPr="009D5B83" w:rsidRDefault="001539F7" w:rsidP="001539F7">
      <w:pPr>
        <w:suppressAutoHyphens/>
        <w:spacing w:before="120"/>
        <w:ind w:right="170" w:firstLine="680"/>
        <w:jc w:val="center"/>
        <w:rPr>
          <w:bCs/>
          <w:iCs/>
          <w:szCs w:val="20"/>
        </w:rPr>
      </w:pPr>
      <w:r w:rsidRPr="009D5B83">
        <w:rPr>
          <w:b/>
          <w:bCs/>
          <w:iCs/>
          <w:color w:val="000000"/>
          <w:szCs w:val="20"/>
          <w:lang w:eastAsia="en-US"/>
        </w:rPr>
        <w:t xml:space="preserve">Основные характеристики федерального бюджета в 2021-2025 гг., </w:t>
      </w:r>
      <w:proofErr w:type="gramStart"/>
      <w:r w:rsidRPr="009D5B83">
        <w:rPr>
          <w:b/>
          <w:bCs/>
          <w:iCs/>
          <w:color w:val="000000"/>
          <w:szCs w:val="20"/>
          <w:lang w:eastAsia="en-US"/>
        </w:rPr>
        <w:t>млрд</w:t>
      </w:r>
      <w:proofErr w:type="gramEnd"/>
      <w:r w:rsidRPr="009D5B83">
        <w:rPr>
          <w:b/>
          <w:bCs/>
          <w:iCs/>
          <w:color w:val="000000"/>
          <w:szCs w:val="20"/>
          <w:lang w:eastAsia="en-US"/>
        </w:rPr>
        <w:t xml:space="preserve"> руб. и в % к ВВП</w:t>
      </w:r>
    </w:p>
    <w:tbl>
      <w:tblPr>
        <w:tblW w:w="5000" w:type="pct"/>
        <w:jc w:val="center"/>
        <w:tblLayout w:type="fixed"/>
        <w:tblLook w:val="04A0" w:firstRow="1" w:lastRow="0" w:firstColumn="1" w:lastColumn="0" w:noHBand="0" w:noVBand="1"/>
      </w:tblPr>
      <w:tblGrid>
        <w:gridCol w:w="3778"/>
        <w:gridCol w:w="1210"/>
        <w:gridCol w:w="1210"/>
        <w:gridCol w:w="1363"/>
        <w:gridCol w:w="1358"/>
        <w:gridCol w:w="1361"/>
      </w:tblGrid>
      <w:tr w:rsidR="001539F7" w:rsidRPr="009D5B83" w14:paraId="300113EA" w14:textId="77777777" w:rsidTr="001B68A1">
        <w:trPr>
          <w:trHeight w:val="153"/>
          <w:tblHeader/>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62B9B9FE" w14:textId="77777777" w:rsidR="001539F7" w:rsidRPr="009D5B83" w:rsidRDefault="001539F7" w:rsidP="001539F7">
            <w:pPr>
              <w:widowControl w:val="0"/>
              <w:suppressAutoHyphens/>
              <w:spacing w:after="60"/>
              <w:jc w:val="center"/>
              <w:rPr>
                <w:b/>
                <w:bCs/>
                <w:spacing w:val="-10"/>
                <w:sz w:val="20"/>
                <w:szCs w:val="20"/>
                <w:lang w:eastAsia="en-US"/>
              </w:rPr>
            </w:pPr>
            <w:r w:rsidRPr="009D5B83">
              <w:rPr>
                <w:b/>
                <w:bCs/>
                <w:spacing w:val="-10"/>
                <w:sz w:val="20"/>
                <w:szCs w:val="20"/>
                <w:lang w:eastAsia="en-US"/>
              </w:rPr>
              <w:t>Показатель</w:t>
            </w:r>
          </w:p>
        </w:tc>
        <w:tc>
          <w:tcPr>
            <w:tcW w:w="1068" w:type="dxa"/>
            <w:tcBorders>
              <w:top w:val="single" w:sz="4" w:space="0" w:color="000000"/>
              <w:left w:val="single" w:sz="4" w:space="0" w:color="000000"/>
              <w:bottom w:val="single" w:sz="4" w:space="0" w:color="000000"/>
            </w:tcBorders>
            <w:vAlign w:val="center"/>
          </w:tcPr>
          <w:p w14:paraId="0A213A8A"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2021 г.</w:t>
            </w:r>
          </w:p>
          <w:p w14:paraId="37CF7DE0"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(факт)</w:t>
            </w:r>
          </w:p>
        </w:tc>
        <w:tc>
          <w:tcPr>
            <w:tcW w:w="1068" w:type="dxa"/>
            <w:tcBorders>
              <w:top w:val="single" w:sz="4" w:space="0" w:color="000000"/>
              <w:left w:val="single" w:sz="4" w:space="0" w:color="000000"/>
              <w:bottom w:val="single" w:sz="4" w:space="0" w:color="000000"/>
              <w:right w:val="single" w:sz="4" w:space="0" w:color="000000"/>
            </w:tcBorders>
            <w:vAlign w:val="center"/>
          </w:tcPr>
          <w:p w14:paraId="2E1CC7A1"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2022 г. (Оценка)</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1232962"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2023 г.</w:t>
            </w:r>
          </w:p>
          <w:p w14:paraId="5CF7496D"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(Законопроект)</w:t>
            </w:r>
          </w:p>
        </w:tc>
        <w:tc>
          <w:tcPr>
            <w:tcW w:w="1198" w:type="dxa"/>
            <w:tcBorders>
              <w:top w:val="single" w:sz="4" w:space="0" w:color="000000"/>
              <w:left w:val="single" w:sz="4" w:space="0" w:color="000000"/>
              <w:bottom w:val="single" w:sz="4" w:space="0" w:color="000000"/>
              <w:right w:val="single" w:sz="4" w:space="0" w:color="000000"/>
            </w:tcBorders>
          </w:tcPr>
          <w:p w14:paraId="15C8B69D"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2024 г.</w:t>
            </w:r>
          </w:p>
          <w:p w14:paraId="50125A9C"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(Законопроект)</w:t>
            </w:r>
          </w:p>
        </w:tc>
        <w:tc>
          <w:tcPr>
            <w:tcW w:w="1201" w:type="dxa"/>
            <w:tcBorders>
              <w:top w:val="single" w:sz="4" w:space="0" w:color="000000"/>
              <w:left w:val="single" w:sz="4" w:space="0" w:color="000000"/>
              <w:bottom w:val="single" w:sz="4" w:space="0" w:color="000000"/>
              <w:right w:val="single" w:sz="4" w:space="0" w:color="000000"/>
            </w:tcBorders>
          </w:tcPr>
          <w:p w14:paraId="6B2AE7A3"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2025 г.</w:t>
            </w:r>
          </w:p>
          <w:p w14:paraId="680557AA"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(Законопроект)</w:t>
            </w:r>
          </w:p>
        </w:tc>
      </w:tr>
      <w:tr w:rsidR="001539F7" w:rsidRPr="009D5B83" w14:paraId="65A35AA9" w14:textId="77777777" w:rsidTr="001B68A1">
        <w:trPr>
          <w:trHeight w:val="308"/>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3465B4DA" w14:textId="77777777" w:rsidR="001539F7" w:rsidRPr="009D5B83" w:rsidRDefault="001539F7" w:rsidP="001539F7">
            <w:pPr>
              <w:widowControl w:val="0"/>
              <w:suppressAutoHyphens/>
              <w:spacing w:after="60"/>
              <w:jc w:val="both"/>
              <w:rPr>
                <w:b/>
                <w:sz w:val="20"/>
                <w:szCs w:val="20"/>
                <w:lang w:eastAsia="en-US"/>
              </w:rPr>
            </w:pPr>
            <w:r w:rsidRPr="009D5B83">
              <w:rPr>
                <w:b/>
                <w:sz w:val="20"/>
                <w:szCs w:val="20"/>
                <w:lang w:eastAsia="en-US"/>
              </w:rPr>
              <w:t xml:space="preserve">Доходы, в </w:t>
            </w:r>
            <w:proofErr w:type="spellStart"/>
            <w:r w:rsidRPr="009D5B83">
              <w:rPr>
                <w:b/>
                <w:sz w:val="20"/>
                <w:szCs w:val="20"/>
                <w:lang w:eastAsia="en-US"/>
              </w:rPr>
              <w:t>т.ч</w:t>
            </w:r>
            <w:proofErr w:type="spellEnd"/>
            <w:r w:rsidRPr="009D5B83">
              <w:rPr>
                <w:b/>
                <w:sz w:val="20"/>
                <w:szCs w:val="20"/>
                <w:lang w:eastAsia="en-US"/>
              </w:rPr>
              <w:t>.:</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3CD7D58E"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25 286,4</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F287191"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27 693,1</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D999E5F"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26 130,3</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5D5C0E"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27 239,8</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DA1721B"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27 979,4</w:t>
            </w:r>
          </w:p>
        </w:tc>
      </w:tr>
      <w:tr w:rsidR="001539F7" w:rsidRPr="009D5B83" w14:paraId="0F169BE7"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46D9F21E" w14:textId="77777777" w:rsidR="001539F7" w:rsidRPr="009D5B83" w:rsidRDefault="001539F7" w:rsidP="001539F7">
            <w:pPr>
              <w:widowControl w:val="0"/>
              <w:suppressAutoHyphens/>
              <w:spacing w:after="60"/>
              <w:jc w:val="both"/>
              <w:rPr>
                <w:i/>
                <w:sz w:val="20"/>
                <w:szCs w:val="20"/>
                <w:lang w:eastAsia="en-US"/>
              </w:rPr>
            </w:pPr>
            <w:proofErr w:type="gramStart"/>
            <w:r w:rsidRPr="009D5B83">
              <w:rPr>
                <w:i/>
                <w:sz w:val="20"/>
                <w:szCs w:val="20"/>
                <w:lang w:eastAsia="en-US"/>
              </w:rPr>
              <w:t>в</w:t>
            </w:r>
            <w:proofErr w:type="gramEnd"/>
            <w:r w:rsidRPr="009D5B83">
              <w:rPr>
                <w:i/>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322A31E1"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19,3</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C85B6F"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19,0</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C686ADE"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17,4</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D8B3AB"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17,1</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0718C0D"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16,4</w:t>
            </w:r>
          </w:p>
        </w:tc>
      </w:tr>
      <w:tr w:rsidR="001539F7" w:rsidRPr="009D5B83" w14:paraId="5F774936"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7167A3D6" w14:textId="77777777" w:rsidR="001539F7" w:rsidRPr="009D5B83" w:rsidRDefault="001539F7" w:rsidP="001539F7">
            <w:pPr>
              <w:widowControl w:val="0"/>
              <w:suppressAutoHyphens/>
              <w:spacing w:after="60"/>
              <w:ind w:left="170"/>
              <w:jc w:val="both"/>
              <w:rPr>
                <w:color w:val="000000"/>
                <w:sz w:val="20"/>
                <w:szCs w:val="20"/>
                <w:lang w:eastAsia="en-US"/>
              </w:rPr>
            </w:pPr>
            <w:r w:rsidRPr="009D5B83">
              <w:rPr>
                <w:color w:val="000000"/>
                <w:sz w:val="20"/>
                <w:szCs w:val="20"/>
                <w:lang w:eastAsia="en-US"/>
              </w:rPr>
              <w:t xml:space="preserve">Нефтегазовые доходы, в </w:t>
            </w:r>
            <w:proofErr w:type="spellStart"/>
            <w:r w:rsidRPr="009D5B83">
              <w:rPr>
                <w:color w:val="000000"/>
                <w:sz w:val="20"/>
                <w:szCs w:val="20"/>
                <w:lang w:eastAsia="en-US"/>
              </w:rPr>
              <w:t>т.ч</w:t>
            </w:r>
            <w:proofErr w:type="spellEnd"/>
            <w:r w:rsidRPr="009D5B83">
              <w:rPr>
                <w:color w:val="000000"/>
                <w:sz w:val="20"/>
                <w:szCs w:val="20"/>
                <w:lang w:eastAsia="en-US"/>
              </w:rPr>
              <w:t>.:</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30054E6A" w14:textId="77777777" w:rsidR="001539F7" w:rsidRPr="009D5B83" w:rsidRDefault="001539F7" w:rsidP="001539F7">
            <w:pPr>
              <w:widowControl w:val="0"/>
              <w:suppressAutoHyphens/>
              <w:jc w:val="center"/>
              <w:rPr>
                <w:iCs/>
                <w:sz w:val="20"/>
                <w:szCs w:val="20"/>
              </w:rPr>
            </w:pPr>
            <w:r w:rsidRPr="009D5B83">
              <w:rPr>
                <w:iCs/>
                <w:sz w:val="20"/>
                <w:szCs w:val="20"/>
              </w:rPr>
              <w:t>9056,5</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9E1425" w14:textId="77777777" w:rsidR="001539F7" w:rsidRPr="009D5B83" w:rsidRDefault="001539F7" w:rsidP="001539F7">
            <w:pPr>
              <w:widowControl w:val="0"/>
              <w:suppressAutoHyphens/>
              <w:jc w:val="center"/>
              <w:rPr>
                <w:iCs/>
                <w:sz w:val="20"/>
                <w:szCs w:val="20"/>
              </w:rPr>
            </w:pPr>
            <w:r w:rsidRPr="009D5B83">
              <w:rPr>
                <w:iCs/>
                <w:sz w:val="20"/>
                <w:szCs w:val="20"/>
              </w:rPr>
              <w:t>11 666,2</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77AEE7" w14:textId="77777777" w:rsidR="001539F7" w:rsidRPr="009D5B83" w:rsidRDefault="001539F7" w:rsidP="001539F7">
            <w:pPr>
              <w:widowControl w:val="0"/>
              <w:suppressAutoHyphens/>
              <w:jc w:val="center"/>
              <w:rPr>
                <w:iCs/>
                <w:sz w:val="20"/>
                <w:szCs w:val="20"/>
              </w:rPr>
            </w:pPr>
            <w:r w:rsidRPr="009D5B83">
              <w:rPr>
                <w:iCs/>
                <w:sz w:val="20"/>
                <w:szCs w:val="20"/>
              </w:rPr>
              <w:t>8 939,0</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7D9721" w14:textId="77777777" w:rsidR="001539F7" w:rsidRPr="009D5B83" w:rsidRDefault="001539F7" w:rsidP="001539F7">
            <w:pPr>
              <w:widowControl w:val="0"/>
              <w:suppressAutoHyphens/>
              <w:jc w:val="center"/>
              <w:rPr>
                <w:iCs/>
                <w:sz w:val="20"/>
                <w:szCs w:val="20"/>
              </w:rPr>
            </w:pPr>
            <w:r w:rsidRPr="009D5B83">
              <w:rPr>
                <w:iCs/>
                <w:sz w:val="20"/>
                <w:szCs w:val="20"/>
              </w:rPr>
              <w:t>8 656,3</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01BA435" w14:textId="77777777" w:rsidR="001539F7" w:rsidRPr="009D5B83" w:rsidRDefault="001539F7" w:rsidP="001539F7">
            <w:pPr>
              <w:widowControl w:val="0"/>
              <w:suppressAutoHyphens/>
              <w:jc w:val="center"/>
              <w:rPr>
                <w:iCs/>
                <w:sz w:val="20"/>
                <w:szCs w:val="20"/>
              </w:rPr>
            </w:pPr>
            <w:r w:rsidRPr="009D5B83">
              <w:rPr>
                <w:iCs/>
                <w:sz w:val="20"/>
                <w:szCs w:val="20"/>
              </w:rPr>
              <w:t>8 488,5</w:t>
            </w:r>
          </w:p>
        </w:tc>
      </w:tr>
      <w:tr w:rsidR="001539F7" w:rsidRPr="009D5B83" w14:paraId="51D2FC59"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7E409326" w14:textId="77777777" w:rsidR="001539F7" w:rsidRPr="009D5B83" w:rsidRDefault="001539F7" w:rsidP="001539F7">
            <w:pPr>
              <w:widowControl w:val="0"/>
              <w:suppressAutoHyphens/>
              <w:spacing w:after="60"/>
              <w:ind w:left="170"/>
              <w:jc w:val="both"/>
              <w:rPr>
                <w:i/>
                <w:color w:val="000000"/>
                <w:sz w:val="20"/>
                <w:szCs w:val="20"/>
                <w:lang w:eastAsia="en-US"/>
              </w:rPr>
            </w:pPr>
            <w:proofErr w:type="gramStart"/>
            <w:r w:rsidRPr="009D5B83">
              <w:rPr>
                <w:i/>
                <w:color w:val="000000"/>
                <w:sz w:val="20"/>
                <w:szCs w:val="20"/>
                <w:lang w:eastAsia="en-US"/>
              </w:rPr>
              <w:t>в</w:t>
            </w:r>
            <w:proofErr w:type="gramEnd"/>
            <w:r w:rsidRPr="009D5B83">
              <w:rPr>
                <w:i/>
                <w:color w:val="000000"/>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0E5A26A6" w14:textId="77777777" w:rsidR="001539F7" w:rsidRPr="009D5B83" w:rsidRDefault="001539F7" w:rsidP="001539F7">
            <w:pPr>
              <w:widowControl w:val="0"/>
              <w:suppressAutoHyphens/>
              <w:jc w:val="center"/>
              <w:rPr>
                <w:i/>
                <w:iCs/>
                <w:sz w:val="20"/>
                <w:szCs w:val="20"/>
              </w:rPr>
            </w:pPr>
            <w:r w:rsidRPr="009D5B83">
              <w:rPr>
                <w:i/>
                <w:iCs/>
                <w:sz w:val="20"/>
                <w:szCs w:val="20"/>
              </w:rPr>
              <w:t>7,0</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3895BF0" w14:textId="77777777" w:rsidR="001539F7" w:rsidRPr="009D5B83" w:rsidRDefault="001539F7" w:rsidP="001539F7">
            <w:pPr>
              <w:widowControl w:val="0"/>
              <w:suppressAutoHyphens/>
              <w:jc w:val="center"/>
              <w:rPr>
                <w:i/>
                <w:iCs/>
                <w:sz w:val="20"/>
                <w:szCs w:val="20"/>
              </w:rPr>
            </w:pPr>
            <w:r w:rsidRPr="009D5B83">
              <w:rPr>
                <w:i/>
                <w:iCs/>
                <w:sz w:val="20"/>
                <w:szCs w:val="20"/>
              </w:rPr>
              <w:t>8,0</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98D16B" w14:textId="228A31C6" w:rsidR="001539F7" w:rsidRPr="009D5B83" w:rsidRDefault="00C81591" w:rsidP="001539F7">
            <w:pPr>
              <w:widowControl w:val="0"/>
              <w:suppressAutoHyphens/>
              <w:jc w:val="center"/>
              <w:rPr>
                <w:i/>
                <w:iCs/>
                <w:sz w:val="20"/>
                <w:szCs w:val="20"/>
              </w:rPr>
            </w:pPr>
            <w:r>
              <w:rPr>
                <w:i/>
                <w:iCs/>
                <w:sz w:val="20"/>
                <w:szCs w:val="20"/>
              </w:rPr>
              <w:t>5,9</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CA6B76E" w14:textId="77777777" w:rsidR="001539F7" w:rsidRPr="009D5B83" w:rsidRDefault="001539F7" w:rsidP="001539F7">
            <w:pPr>
              <w:widowControl w:val="0"/>
              <w:suppressAutoHyphens/>
              <w:jc w:val="center"/>
              <w:rPr>
                <w:i/>
                <w:iCs/>
                <w:sz w:val="20"/>
                <w:szCs w:val="20"/>
              </w:rPr>
            </w:pPr>
            <w:r w:rsidRPr="009D5B83">
              <w:rPr>
                <w:i/>
                <w:iCs/>
                <w:sz w:val="20"/>
                <w:szCs w:val="20"/>
              </w:rPr>
              <w:t>5,4</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D7F4B1" w14:textId="77777777" w:rsidR="001539F7" w:rsidRPr="009D5B83" w:rsidRDefault="001539F7" w:rsidP="001539F7">
            <w:pPr>
              <w:widowControl w:val="0"/>
              <w:suppressAutoHyphens/>
              <w:jc w:val="center"/>
              <w:rPr>
                <w:i/>
                <w:iCs/>
                <w:sz w:val="20"/>
                <w:szCs w:val="20"/>
              </w:rPr>
            </w:pPr>
            <w:r w:rsidRPr="009D5B83">
              <w:rPr>
                <w:i/>
                <w:iCs/>
                <w:sz w:val="20"/>
                <w:szCs w:val="20"/>
              </w:rPr>
              <w:t>5,0</w:t>
            </w:r>
          </w:p>
        </w:tc>
      </w:tr>
      <w:tr w:rsidR="001539F7" w:rsidRPr="009D5B83" w14:paraId="0628605C"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2627B834" w14:textId="77777777" w:rsidR="001539F7" w:rsidRPr="009D5B83" w:rsidRDefault="001539F7" w:rsidP="001539F7">
            <w:pPr>
              <w:widowControl w:val="0"/>
              <w:suppressAutoHyphens/>
              <w:spacing w:after="60"/>
              <w:ind w:left="227"/>
              <w:jc w:val="both"/>
              <w:rPr>
                <w:color w:val="000000"/>
                <w:sz w:val="20"/>
                <w:szCs w:val="20"/>
                <w:lang w:eastAsia="en-US"/>
              </w:rPr>
            </w:pPr>
            <w:r w:rsidRPr="009D5B83">
              <w:rPr>
                <w:color w:val="000000"/>
                <w:sz w:val="20"/>
                <w:szCs w:val="20"/>
                <w:lang w:eastAsia="en-US"/>
              </w:rPr>
              <w:t>Базовые нефтегазовые доходы</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5CD25C82" w14:textId="77777777" w:rsidR="001539F7" w:rsidRPr="009D5B83" w:rsidRDefault="001539F7" w:rsidP="001539F7">
            <w:pPr>
              <w:widowControl w:val="0"/>
              <w:suppressAutoHyphens/>
              <w:contextualSpacing/>
              <w:jc w:val="center"/>
              <w:rPr>
                <w:iCs/>
                <w:sz w:val="20"/>
                <w:szCs w:val="20"/>
              </w:rPr>
            </w:pPr>
            <w:r w:rsidRPr="009D5B83">
              <w:rPr>
                <w:iCs/>
                <w:sz w:val="20"/>
                <w:szCs w:val="20"/>
              </w:rPr>
              <w:t>5 889,5</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D33DB38" w14:textId="77777777" w:rsidR="001539F7" w:rsidRPr="009D5B83" w:rsidRDefault="001539F7" w:rsidP="001539F7">
            <w:pPr>
              <w:widowControl w:val="0"/>
              <w:suppressAutoHyphens/>
              <w:jc w:val="center"/>
              <w:rPr>
                <w:iCs/>
                <w:sz w:val="20"/>
                <w:szCs w:val="20"/>
              </w:rPr>
            </w:pPr>
            <w:r w:rsidRPr="009D5B83">
              <w:rPr>
                <w:iCs/>
                <w:sz w:val="20"/>
                <w:szCs w:val="20"/>
              </w:rPr>
              <w:t>6 145,0</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6DADB7" w14:textId="77777777" w:rsidR="001539F7" w:rsidRPr="009D5B83" w:rsidRDefault="001539F7" w:rsidP="001539F7">
            <w:pPr>
              <w:widowControl w:val="0"/>
              <w:suppressAutoHyphens/>
              <w:jc w:val="center"/>
              <w:rPr>
                <w:iCs/>
                <w:sz w:val="20"/>
                <w:szCs w:val="20"/>
              </w:rPr>
            </w:pPr>
            <w:r w:rsidRPr="009D5B83">
              <w:rPr>
                <w:iCs/>
                <w:sz w:val="20"/>
                <w:szCs w:val="20"/>
              </w:rPr>
              <w:t>8 000,0</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AE0C11" w14:textId="77777777" w:rsidR="001539F7" w:rsidRPr="009D5B83" w:rsidRDefault="001539F7" w:rsidP="001539F7">
            <w:pPr>
              <w:widowControl w:val="0"/>
              <w:suppressAutoHyphens/>
              <w:jc w:val="center"/>
              <w:rPr>
                <w:iCs/>
                <w:sz w:val="20"/>
                <w:szCs w:val="20"/>
              </w:rPr>
            </w:pPr>
            <w:r w:rsidRPr="009D5B83">
              <w:rPr>
                <w:iCs/>
                <w:sz w:val="20"/>
                <w:szCs w:val="20"/>
              </w:rPr>
              <w:t>8 000,0</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119FB2" w14:textId="77777777" w:rsidR="001539F7" w:rsidRPr="009D5B83" w:rsidRDefault="001539F7" w:rsidP="001539F7">
            <w:pPr>
              <w:widowControl w:val="0"/>
              <w:suppressAutoHyphens/>
              <w:jc w:val="center"/>
              <w:rPr>
                <w:iCs/>
                <w:sz w:val="20"/>
                <w:szCs w:val="20"/>
              </w:rPr>
            </w:pPr>
            <w:r w:rsidRPr="009D5B83">
              <w:rPr>
                <w:iCs/>
                <w:sz w:val="20"/>
                <w:szCs w:val="20"/>
              </w:rPr>
              <w:t>8 000,0</w:t>
            </w:r>
          </w:p>
        </w:tc>
      </w:tr>
      <w:tr w:rsidR="001539F7" w:rsidRPr="009D5B83" w14:paraId="211A0989"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56056417" w14:textId="77777777" w:rsidR="001539F7" w:rsidRPr="009D5B83" w:rsidRDefault="001539F7" w:rsidP="001539F7">
            <w:pPr>
              <w:widowControl w:val="0"/>
              <w:suppressAutoHyphens/>
              <w:spacing w:after="60"/>
              <w:ind w:left="227"/>
              <w:jc w:val="both"/>
              <w:rPr>
                <w:i/>
                <w:color w:val="000000"/>
                <w:sz w:val="20"/>
                <w:szCs w:val="20"/>
                <w:lang w:eastAsia="en-US"/>
              </w:rPr>
            </w:pPr>
            <w:proofErr w:type="gramStart"/>
            <w:r w:rsidRPr="009D5B83">
              <w:rPr>
                <w:i/>
                <w:color w:val="000000"/>
                <w:sz w:val="20"/>
                <w:szCs w:val="20"/>
                <w:lang w:eastAsia="en-US"/>
              </w:rPr>
              <w:t>в</w:t>
            </w:r>
            <w:proofErr w:type="gramEnd"/>
            <w:r w:rsidRPr="009D5B83">
              <w:rPr>
                <w:i/>
                <w:color w:val="000000"/>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27DDA8D0" w14:textId="77777777" w:rsidR="001539F7" w:rsidRPr="009D5B83" w:rsidRDefault="001539F7" w:rsidP="001539F7">
            <w:pPr>
              <w:widowControl w:val="0"/>
              <w:suppressAutoHyphens/>
              <w:jc w:val="center"/>
              <w:rPr>
                <w:i/>
                <w:iCs/>
                <w:sz w:val="20"/>
                <w:szCs w:val="20"/>
              </w:rPr>
            </w:pPr>
            <w:r w:rsidRPr="009D5B83">
              <w:rPr>
                <w:i/>
                <w:iCs/>
                <w:sz w:val="20"/>
                <w:szCs w:val="20"/>
              </w:rPr>
              <w:t>4,5</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DA200F6" w14:textId="77777777" w:rsidR="001539F7" w:rsidRPr="009D5B83" w:rsidRDefault="001539F7" w:rsidP="001539F7">
            <w:pPr>
              <w:widowControl w:val="0"/>
              <w:suppressAutoHyphens/>
              <w:jc w:val="center"/>
              <w:rPr>
                <w:i/>
                <w:iCs/>
                <w:sz w:val="20"/>
                <w:szCs w:val="20"/>
              </w:rPr>
            </w:pPr>
            <w:r w:rsidRPr="009D5B83">
              <w:rPr>
                <w:i/>
                <w:iCs/>
                <w:sz w:val="20"/>
                <w:szCs w:val="20"/>
              </w:rPr>
              <w:t>4,2</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B0BCF8F" w14:textId="77777777" w:rsidR="001539F7" w:rsidRPr="009D5B83" w:rsidRDefault="001539F7" w:rsidP="001539F7">
            <w:pPr>
              <w:widowControl w:val="0"/>
              <w:suppressAutoHyphens/>
              <w:jc w:val="center"/>
              <w:rPr>
                <w:i/>
                <w:iCs/>
                <w:sz w:val="20"/>
                <w:szCs w:val="20"/>
              </w:rPr>
            </w:pPr>
            <w:r w:rsidRPr="009D5B83">
              <w:rPr>
                <w:i/>
                <w:iCs/>
                <w:sz w:val="20"/>
                <w:szCs w:val="20"/>
              </w:rPr>
              <w:t>5,3</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2673E6" w14:textId="77777777" w:rsidR="001539F7" w:rsidRPr="009D5B83" w:rsidRDefault="001539F7" w:rsidP="001539F7">
            <w:pPr>
              <w:widowControl w:val="0"/>
              <w:suppressAutoHyphens/>
              <w:jc w:val="center"/>
              <w:rPr>
                <w:i/>
                <w:iCs/>
                <w:sz w:val="20"/>
                <w:szCs w:val="20"/>
              </w:rPr>
            </w:pPr>
            <w:r w:rsidRPr="009D5B83">
              <w:rPr>
                <w:i/>
                <w:iCs/>
                <w:sz w:val="20"/>
                <w:szCs w:val="20"/>
              </w:rPr>
              <w:t>5,0</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138F4F4" w14:textId="77777777" w:rsidR="001539F7" w:rsidRPr="009D5B83" w:rsidRDefault="001539F7" w:rsidP="001539F7">
            <w:pPr>
              <w:widowControl w:val="0"/>
              <w:suppressAutoHyphens/>
              <w:jc w:val="center"/>
              <w:rPr>
                <w:i/>
                <w:iCs/>
                <w:sz w:val="20"/>
                <w:szCs w:val="20"/>
              </w:rPr>
            </w:pPr>
            <w:r w:rsidRPr="009D5B83">
              <w:rPr>
                <w:i/>
                <w:iCs/>
                <w:sz w:val="20"/>
                <w:szCs w:val="20"/>
              </w:rPr>
              <w:t>4,7</w:t>
            </w:r>
          </w:p>
        </w:tc>
      </w:tr>
      <w:tr w:rsidR="001539F7" w:rsidRPr="009D5B83" w14:paraId="38A1AC05"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7EEC9EE3" w14:textId="77777777" w:rsidR="001539F7" w:rsidRPr="009D5B83" w:rsidRDefault="001539F7" w:rsidP="001539F7">
            <w:pPr>
              <w:widowControl w:val="0"/>
              <w:suppressAutoHyphens/>
              <w:spacing w:after="60"/>
              <w:ind w:left="170"/>
              <w:jc w:val="both"/>
              <w:rPr>
                <w:color w:val="000000"/>
                <w:sz w:val="20"/>
                <w:szCs w:val="20"/>
                <w:lang w:eastAsia="en-US"/>
              </w:rPr>
            </w:pPr>
            <w:proofErr w:type="spellStart"/>
            <w:r w:rsidRPr="009D5B83">
              <w:rPr>
                <w:color w:val="000000"/>
                <w:sz w:val="20"/>
                <w:szCs w:val="20"/>
                <w:lang w:eastAsia="en-US"/>
              </w:rPr>
              <w:t>Ненефтегазовые</w:t>
            </w:r>
            <w:proofErr w:type="spellEnd"/>
            <w:r w:rsidRPr="009D5B83">
              <w:rPr>
                <w:color w:val="000000"/>
                <w:sz w:val="20"/>
                <w:szCs w:val="20"/>
                <w:lang w:eastAsia="en-US"/>
              </w:rPr>
              <w:t xml:space="preserve"> доходы</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56986DAA" w14:textId="77777777" w:rsidR="001539F7" w:rsidRPr="009D5B83" w:rsidRDefault="001539F7" w:rsidP="001539F7">
            <w:pPr>
              <w:widowControl w:val="0"/>
              <w:suppressAutoHyphens/>
              <w:contextualSpacing/>
              <w:jc w:val="center"/>
              <w:rPr>
                <w:iCs/>
                <w:sz w:val="20"/>
                <w:szCs w:val="20"/>
              </w:rPr>
            </w:pPr>
            <w:r w:rsidRPr="009D5B83">
              <w:rPr>
                <w:iCs/>
                <w:sz w:val="20"/>
                <w:szCs w:val="20"/>
              </w:rPr>
              <w:t>15 950,9</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0B3EEB2" w14:textId="77777777" w:rsidR="001539F7" w:rsidRPr="009D5B83" w:rsidRDefault="001539F7" w:rsidP="001539F7">
            <w:pPr>
              <w:widowControl w:val="0"/>
              <w:suppressAutoHyphens/>
              <w:jc w:val="center"/>
              <w:rPr>
                <w:iCs/>
                <w:sz w:val="20"/>
                <w:szCs w:val="20"/>
              </w:rPr>
            </w:pPr>
            <w:r w:rsidRPr="009D5B83">
              <w:rPr>
                <w:iCs/>
                <w:sz w:val="20"/>
                <w:szCs w:val="20"/>
              </w:rPr>
              <w:t>16 027,0</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1D8F7A3" w14:textId="77777777" w:rsidR="001539F7" w:rsidRPr="009D5B83" w:rsidRDefault="001539F7" w:rsidP="001539F7">
            <w:pPr>
              <w:widowControl w:val="0"/>
              <w:suppressAutoHyphens/>
              <w:jc w:val="center"/>
              <w:rPr>
                <w:iCs/>
                <w:sz w:val="20"/>
                <w:szCs w:val="20"/>
              </w:rPr>
            </w:pPr>
            <w:r w:rsidRPr="009D5B83">
              <w:rPr>
                <w:iCs/>
                <w:sz w:val="20"/>
                <w:szCs w:val="20"/>
              </w:rPr>
              <w:t>17 191,3</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A0DAF0" w14:textId="77777777" w:rsidR="001539F7" w:rsidRPr="009D5B83" w:rsidRDefault="001539F7" w:rsidP="001539F7">
            <w:pPr>
              <w:widowControl w:val="0"/>
              <w:suppressAutoHyphens/>
              <w:jc w:val="center"/>
              <w:rPr>
                <w:iCs/>
                <w:sz w:val="20"/>
                <w:szCs w:val="20"/>
              </w:rPr>
            </w:pPr>
            <w:r w:rsidRPr="009D5B83">
              <w:rPr>
                <w:iCs/>
                <w:sz w:val="20"/>
                <w:szCs w:val="20"/>
              </w:rPr>
              <w:t>18 583,5</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4FC2844" w14:textId="77777777" w:rsidR="001539F7" w:rsidRPr="009D5B83" w:rsidRDefault="001539F7" w:rsidP="001539F7">
            <w:pPr>
              <w:widowControl w:val="0"/>
              <w:suppressAutoHyphens/>
              <w:jc w:val="center"/>
              <w:rPr>
                <w:iCs/>
                <w:sz w:val="20"/>
                <w:szCs w:val="20"/>
              </w:rPr>
            </w:pPr>
            <w:r w:rsidRPr="009D5B83">
              <w:rPr>
                <w:iCs/>
                <w:sz w:val="20"/>
                <w:szCs w:val="20"/>
              </w:rPr>
              <w:t>19 490,9</w:t>
            </w:r>
          </w:p>
        </w:tc>
      </w:tr>
      <w:tr w:rsidR="001539F7" w:rsidRPr="009D5B83" w14:paraId="14BBC1BE"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2D510433" w14:textId="77777777" w:rsidR="001539F7" w:rsidRPr="009D5B83" w:rsidRDefault="001539F7" w:rsidP="001539F7">
            <w:pPr>
              <w:widowControl w:val="0"/>
              <w:suppressAutoHyphens/>
              <w:spacing w:after="60"/>
              <w:ind w:left="170"/>
              <w:jc w:val="both"/>
              <w:rPr>
                <w:color w:val="000000"/>
                <w:sz w:val="20"/>
                <w:szCs w:val="20"/>
                <w:lang w:eastAsia="en-US"/>
              </w:rPr>
            </w:pPr>
            <w:proofErr w:type="gramStart"/>
            <w:r w:rsidRPr="009D5B83">
              <w:rPr>
                <w:color w:val="000000"/>
                <w:sz w:val="20"/>
                <w:szCs w:val="20"/>
                <w:lang w:eastAsia="en-US"/>
              </w:rPr>
              <w:t>в</w:t>
            </w:r>
            <w:proofErr w:type="gramEnd"/>
            <w:r w:rsidRPr="009D5B83">
              <w:rPr>
                <w:color w:val="000000"/>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181ADDD7" w14:textId="77777777" w:rsidR="001539F7" w:rsidRPr="009D5B83" w:rsidRDefault="001539F7" w:rsidP="001539F7">
            <w:pPr>
              <w:widowControl w:val="0"/>
              <w:suppressAutoHyphens/>
              <w:jc w:val="center"/>
              <w:rPr>
                <w:i/>
                <w:iCs/>
                <w:sz w:val="20"/>
                <w:szCs w:val="20"/>
              </w:rPr>
            </w:pPr>
            <w:r w:rsidRPr="009D5B83">
              <w:rPr>
                <w:i/>
                <w:iCs/>
                <w:sz w:val="20"/>
                <w:szCs w:val="20"/>
              </w:rPr>
              <w:t>12,3</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9BD3541" w14:textId="77777777" w:rsidR="001539F7" w:rsidRPr="009D5B83" w:rsidRDefault="001539F7" w:rsidP="001539F7">
            <w:pPr>
              <w:widowControl w:val="0"/>
              <w:suppressAutoHyphens/>
              <w:jc w:val="center"/>
              <w:rPr>
                <w:i/>
                <w:iCs/>
                <w:sz w:val="20"/>
                <w:szCs w:val="20"/>
              </w:rPr>
            </w:pPr>
            <w:r w:rsidRPr="009D5B83">
              <w:rPr>
                <w:i/>
                <w:iCs/>
                <w:sz w:val="20"/>
                <w:szCs w:val="20"/>
              </w:rPr>
              <w:t>11,0</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B0E8A3" w14:textId="77777777" w:rsidR="001539F7" w:rsidRPr="009D5B83" w:rsidRDefault="001539F7" w:rsidP="001539F7">
            <w:pPr>
              <w:widowControl w:val="0"/>
              <w:suppressAutoHyphens/>
              <w:jc w:val="center"/>
              <w:rPr>
                <w:i/>
                <w:iCs/>
                <w:sz w:val="20"/>
                <w:szCs w:val="20"/>
              </w:rPr>
            </w:pPr>
            <w:r w:rsidRPr="009D5B83">
              <w:rPr>
                <w:i/>
                <w:iCs/>
                <w:sz w:val="20"/>
                <w:szCs w:val="20"/>
              </w:rPr>
              <w:t>11,5</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FD98FE0" w14:textId="77777777" w:rsidR="001539F7" w:rsidRPr="009D5B83" w:rsidRDefault="001539F7" w:rsidP="001539F7">
            <w:pPr>
              <w:widowControl w:val="0"/>
              <w:suppressAutoHyphens/>
              <w:jc w:val="center"/>
              <w:rPr>
                <w:i/>
                <w:iCs/>
                <w:sz w:val="20"/>
                <w:szCs w:val="20"/>
              </w:rPr>
            </w:pPr>
            <w:r w:rsidRPr="009D5B83">
              <w:rPr>
                <w:i/>
                <w:iCs/>
                <w:sz w:val="20"/>
                <w:szCs w:val="20"/>
              </w:rPr>
              <w:t>11,6</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8717C56" w14:textId="77777777" w:rsidR="001539F7" w:rsidRPr="009D5B83" w:rsidRDefault="001539F7" w:rsidP="001539F7">
            <w:pPr>
              <w:widowControl w:val="0"/>
              <w:suppressAutoHyphens/>
              <w:jc w:val="center"/>
              <w:rPr>
                <w:i/>
                <w:iCs/>
                <w:sz w:val="20"/>
                <w:szCs w:val="20"/>
              </w:rPr>
            </w:pPr>
            <w:r w:rsidRPr="009D5B83">
              <w:rPr>
                <w:i/>
                <w:iCs/>
                <w:sz w:val="20"/>
                <w:szCs w:val="20"/>
              </w:rPr>
              <w:t>11,4</w:t>
            </w:r>
          </w:p>
        </w:tc>
      </w:tr>
      <w:tr w:rsidR="001539F7" w:rsidRPr="009D5B83" w14:paraId="23B5731E"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020448FB" w14:textId="2AD3D37F" w:rsidR="001539F7" w:rsidRPr="009D5B83" w:rsidRDefault="001539F7" w:rsidP="001539F7">
            <w:pPr>
              <w:widowControl w:val="0"/>
              <w:suppressAutoHyphens/>
              <w:spacing w:after="60"/>
              <w:jc w:val="both"/>
              <w:rPr>
                <w:b/>
                <w:sz w:val="20"/>
                <w:szCs w:val="20"/>
                <w:lang w:eastAsia="en-US"/>
              </w:rPr>
            </w:pPr>
            <w:r w:rsidRPr="009D5B83">
              <w:rPr>
                <w:b/>
                <w:sz w:val="20"/>
                <w:szCs w:val="20"/>
                <w:lang w:eastAsia="en-US"/>
              </w:rPr>
              <w:t>Расходы</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79706613"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24 762,1</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808DD24"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29 006,2</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71890C2"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29 055,6</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47644C8"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29 432,5</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839927D" w14:textId="77777777" w:rsidR="001539F7" w:rsidRPr="009D5B83" w:rsidRDefault="001539F7" w:rsidP="001539F7">
            <w:pPr>
              <w:widowControl w:val="0"/>
              <w:suppressAutoHyphens/>
              <w:jc w:val="center"/>
              <w:rPr>
                <w:b/>
                <w:sz w:val="20"/>
                <w:szCs w:val="20"/>
                <w:lang w:eastAsia="en-US"/>
              </w:rPr>
            </w:pPr>
            <w:r w:rsidRPr="009D5B83">
              <w:rPr>
                <w:b/>
                <w:sz w:val="20"/>
                <w:szCs w:val="20"/>
                <w:lang w:eastAsia="en-US"/>
              </w:rPr>
              <w:t>29 243,7</w:t>
            </w:r>
          </w:p>
        </w:tc>
      </w:tr>
      <w:tr w:rsidR="001539F7" w:rsidRPr="009D5B83" w14:paraId="756E5032"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030E1819" w14:textId="77777777" w:rsidR="001539F7" w:rsidRPr="009D5B83" w:rsidRDefault="001539F7" w:rsidP="001539F7">
            <w:pPr>
              <w:widowControl w:val="0"/>
              <w:suppressAutoHyphens/>
              <w:spacing w:after="60"/>
              <w:jc w:val="both"/>
              <w:rPr>
                <w:i/>
                <w:sz w:val="20"/>
                <w:szCs w:val="20"/>
                <w:lang w:eastAsia="en-US"/>
              </w:rPr>
            </w:pPr>
            <w:proofErr w:type="gramStart"/>
            <w:r w:rsidRPr="009D5B83">
              <w:rPr>
                <w:i/>
                <w:sz w:val="20"/>
                <w:szCs w:val="20"/>
                <w:lang w:eastAsia="en-US"/>
              </w:rPr>
              <w:t>в</w:t>
            </w:r>
            <w:proofErr w:type="gramEnd"/>
            <w:r w:rsidRPr="009D5B83">
              <w:rPr>
                <w:i/>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4EBF3486"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18,9</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4ED06D"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19,9</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9EA49D"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19,4</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1DEBA9"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18,4</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5E676F5" w14:textId="77777777" w:rsidR="001539F7" w:rsidRPr="009D5B83" w:rsidRDefault="001539F7" w:rsidP="001539F7">
            <w:pPr>
              <w:widowControl w:val="0"/>
              <w:suppressAutoHyphens/>
              <w:jc w:val="center"/>
              <w:rPr>
                <w:i/>
                <w:sz w:val="20"/>
                <w:szCs w:val="20"/>
                <w:lang w:eastAsia="en-US"/>
              </w:rPr>
            </w:pPr>
            <w:r w:rsidRPr="009D5B83">
              <w:rPr>
                <w:i/>
                <w:sz w:val="20"/>
                <w:szCs w:val="20"/>
                <w:lang w:eastAsia="en-US"/>
              </w:rPr>
              <w:t>17,1</w:t>
            </w:r>
          </w:p>
        </w:tc>
      </w:tr>
      <w:tr w:rsidR="001539F7" w:rsidRPr="009D5B83" w14:paraId="708EEA7B"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24077B09" w14:textId="77777777" w:rsidR="001539F7" w:rsidRPr="009D5B83" w:rsidRDefault="001539F7" w:rsidP="001539F7">
            <w:pPr>
              <w:widowControl w:val="0"/>
              <w:suppressAutoHyphens/>
              <w:spacing w:after="60"/>
              <w:jc w:val="both"/>
              <w:rPr>
                <w:b/>
                <w:sz w:val="20"/>
                <w:szCs w:val="20"/>
                <w:lang w:eastAsia="en-US"/>
              </w:rPr>
            </w:pPr>
            <w:r w:rsidRPr="009D5B83">
              <w:rPr>
                <w:b/>
                <w:sz w:val="20"/>
                <w:szCs w:val="20"/>
                <w:lang w:eastAsia="en-US"/>
              </w:rPr>
              <w:t xml:space="preserve"> Дефицит</w:t>
            </w:r>
            <w:proofErr w:type="gramStart"/>
            <w:r w:rsidRPr="009D5B83">
              <w:rPr>
                <w:b/>
                <w:sz w:val="20"/>
                <w:szCs w:val="20"/>
                <w:lang w:eastAsia="en-US"/>
              </w:rPr>
              <w:t xml:space="preserve"> (–) / </w:t>
            </w:r>
            <w:proofErr w:type="gramEnd"/>
            <w:r w:rsidRPr="009D5B83">
              <w:rPr>
                <w:b/>
                <w:sz w:val="20"/>
                <w:szCs w:val="20"/>
                <w:lang w:eastAsia="en-US"/>
              </w:rPr>
              <w:t>Профицит (+)</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4E07DF43" w14:textId="77777777" w:rsidR="001539F7" w:rsidRPr="009D5B83" w:rsidRDefault="001539F7" w:rsidP="001539F7">
            <w:pPr>
              <w:widowControl w:val="0"/>
              <w:suppressAutoHyphens/>
              <w:jc w:val="center"/>
              <w:rPr>
                <w:b/>
                <w:bCs/>
                <w:sz w:val="20"/>
                <w:szCs w:val="20"/>
              </w:rPr>
            </w:pPr>
            <w:r w:rsidRPr="009D5B83">
              <w:rPr>
                <w:b/>
                <w:bCs/>
                <w:sz w:val="20"/>
                <w:szCs w:val="20"/>
              </w:rPr>
              <w:t>524,3</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F0CE2C3" w14:textId="77777777" w:rsidR="001539F7" w:rsidRPr="009D5B83" w:rsidRDefault="001539F7" w:rsidP="001539F7">
            <w:pPr>
              <w:widowControl w:val="0"/>
              <w:suppressAutoHyphens/>
              <w:jc w:val="center"/>
              <w:rPr>
                <w:b/>
                <w:bCs/>
                <w:sz w:val="20"/>
                <w:szCs w:val="20"/>
              </w:rPr>
            </w:pPr>
            <w:r w:rsidRPr="009D5B83">
              <w:rPr>
                <w:b/>
                <w:bCs/>
                <w:sz w:val="20"/>
                <w:szCs w:val="20"/>
              </w:rPr>
              <w:t>- 1 313,1</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640903" w14:textId="77777777" w:rsidR="001539F7" w:rsidRPr="009D5B83" w:rsidRDefault="001539F7" w:rsidP="001539F7">
            <w:pPr>
              <w:widowControl w:val="0"/>
              <w:suppressAutoHyphens/>
              <w:jc w:val="center"/>
              <w:rPr>
                <w:b/>
                <w:bCs/>
                <w:sz w:val="20"/>
                <w:szCs w:val="20"/>
              </w:rPr>
            </w:pPr>
            <w:r w:rsidRPr="009D5B83">
              <w:rPr>
                <w:b/>
                <w:bCs/>
                <w:sz w:val="20"/>
                <w:szCs w:val="20"/>
              </w:rPr>
              <w:t>-2 925,3</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BA9E71" w14:textId="77777777" w:rsidR="001539F7" w:rsidRPr="009D5B83" w:rsidRDefault="001539F7" w:rsidP="001539F7">
            <w:pPr>
              <w:widowControl w:val="0"/>
              <w:suppressAutoHyphens/>
              <w:jc w:val="center"/>
              <w:rPr>
                <w:b/>
                <w:bCs/>
                <w:sz w:val="20"/>
                <w:szCs w:val="20"/>
              </w:rPr>
            </w:pPr>
            <w:r w:rsidRPr="009D5B83">
              <w:rPr>
                <w:b/>
                <w:bCs/>
                <w:sz w:val="20"/>
                <w:szCs w:val="20"/>
              </w:rPr>
              <w:t>-2 192,6</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5D3388" w14:textId="77777777" w:rsidR="001539F7" w:rsidRPr="009D5B83" w:rsidRDefault="001539F7" w:rsidP="001539F7">
            <w:pPr>
              <w:widowControl w:val="0"/>
              <w:suppressAutoHyphens/>
              <w:jc w:val="center"/>
              <w:rPr>
                <w:b/>
                <w:bCs/>
                <w:sz w:val="20"/>
                <w:szCs w:val="20"/>
              </w:rPr>
            </w:pPr>
            <w:r w:rsidRPr="009D5B83">
              <w:rPr>
                <w:b/>
                <w:bCs/>
                <w:sz w:val="20"/>
                <w:szCs w:val="20"/>
              </w:rPr>
              <w:t>-1 264,3</w:t>
            </w:r>
          </w:p>
        </w:tc>
      </w:tr>
      <w:tr w:rsidR="001539F7" w:rsidRPr="009D5B83" w14:paraId="165F8C31"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35C6571D" w14:textId="77777777" w:rsidR="001539F7" w:rsidRPr="009D5B83" w:rsidRDefault="001539F7" w:rsidP="001539F7">
            <w:pPr>
              <w:widowControl w:val="0"/>
              <w:suppressAutoHyphens/>
              <w:spacing w:after="60"/>
              <w:jc w:val="both"/>
              <w:rPr>
                <w:i/>
                <w:sz w:val="20"/>
                <w:szCs w:val="20"/>
                <w:lang w:eastAsia="en-US"/>
              </w:rPr>
            </w:pPr>
            <w:proofErr w:type="gramStart"/>
            <w:r w:rsidRPr="009D5B83">
              <w:rPr>
                <w:i/>
                <w:sz w:val="20"/>
                <w:szCs w:val="20"/>
                <w:lang w:eastAsia="en-US"/>
              </w:rPr>
              <w:t>в</w:t>
            </w:r>
            <w:proofErr w:type="gramEnd"/>
            <w:r w:rsidRPr="009D5B83">
              <w:rPr>
                <w:i/>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1508B2B4" w14:textId="77777777" w:rsidR="001539F7" w:rsidRPr="009D5B83" w:rsidRDefault="001539F7" w:rsidP="001539F7">
            <w:pPr>
              <w:widowControl w:val="0"/>
              <w:suppressAutoHyphens/>
              <w:jc w:val="center"/>
              <w:rPr>
                <w:i/>
                <w:iCs/>
                <w:sz w:val="20"/>
                <w:szCs w:val="20"/>
              </w:rPr>
            </w:pPr>
            <w:r w:rsidRPr="009D5B83">
              <w:rPr>
                <w:i/>
                <w:iCs/>
                <w:sz w:val="20"/>
                <w:szCs w:val="20"/>
              </w:rPr>
              <w:t>0,4</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BC5B97" w14:textId="40DA5738" w:rsidR="001539F7" w:rsidRPr="009D5B83" w:rsidRDefault="00F41EED" w:rsidP="001539F7">
            <w:pPr>
              <w:widowControl w:val="0"/>
              <w:suppressAutoHyphens/>
              <w:jc w:val="center"/>
              <w:rPr>
                <w:i/>
                <w:iCs/>
                <w:sz w:val="20"/>
                <w:szCs w:val="20"/>
              </w:rPr>
            </w:pPr>
            <w:r>
              <w:rPr>
                <w:i/>
                <w:iCs/>
                <w:sz w:val="20"/>
                <w:szCs w:val="20"/>
              </w:rPr>
              <w:t>-</w:t>
            </w:r>
            <w:r w:rsidR="001539F7" w:rsidRPr="009D5B83">
              <w:rPr>
                <w:i/>
                <w:iCs/>
                <w:sz w:val="20"/>
                <w:szCs w:val="20"/>
              </w:rPr>
              <w:t>0,9</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A126C2D" w14:textId="1350C58E" w:rsidR="001539F7" w:rsidRPr="009D5B83" w:rsidRDefault="001539F7" w:rsidP="001539F7">
            <w:pPr>
              <w:widowControl w:val="0"/>
              <w:suppressAutoHyphens/>
              <w:jc w:val="center"/>
              <w:rPr>
                <w:i/>
                <w:iCs/>
                <w:sz w:val="20"/>
                <w:szCs w:val="20"/>
              </w:rPr>
            </w:pPr>
            <w:r w:rsidRPr="009D5B83">
              <w:rPr>
                <w:i/>
                <w:iCs/>
                <w:sz w:val="20"/>
                <w:szCs w:val="20"/>
              </w:rPr>
              <w:t>-2,0</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CCB64A" w14:textId="77777777" w:rsidR="001539F7" w:rsidRPr="009D5B83" w:rsidRDefault="001539F7" w:rsidP="001539F7">
            <w:pPr>
              <w:widowControl w:val="0"/>
              <w:suppressAutoHyphens/>
              <w:jc w:val="center"/>
              <w:rPr>
                <w:i/>
                <w:iCs/>
                <w:sz w:val="20"/>
                <w:szCs w:val="20"/>
              </w:rPr>
            </w:pPr>
            <w:r w:rsidRPr="009D5B83">
              <w:rPr>
                <w:i/>
                <w:iCs/>
                <w:sz w:val="20"/>
                <w:szCs w:val="20"/>
              </w:rPr>
              <w:t>-1,4</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B7A1AB5" w14:textId="77777777" w:rsidR="001539F7" w:rsidRPr="009D5B83" w:rsidRDefault="001539F7" w:rsidP="001539F7">
            <w:pPr>
              <w:widowControl w:val="0"/>
              <w:suppressAutoHyphens/>
              <w:jc w:val="center"/>
              <w:rPr>
                <w:i/>
                <w:iCs/>
                <w:sz w:val="20"/>
                <w:szCs w:val="20"/>
              </w:rPr>
            </w:pPr>
            <w:r w:rsidRPr="009D5B83">
              <w:rPr>
                <w:i/>
                <w:iCs/>
                <w:sz w:val="20"/>
                <w:szCs w:val="20"/>
              </w:rPr>
              <w:t>- 0,7</w:t>
            </w:r>
          </w:p>
        </w:tc>
      </w:tr>
      <w:tr w:rsidR="001539F7" w:rsidRPr="009D5B83" w14:paraId="4B108F03"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6A91DFC8" w14:textId="77777777" w:rsidR="001539F7" w:rsidRPr="009D5B83" w:rsidRDefault="001539F7" w:rsidP="001539F7">
            <w:pPr>
              <w:widowControl w:val="0"/>
              <w:suppressAutoHyphens/>
              <w:spacing w:after="60"/>
              <w:ind w:left="170"/>
              <w:jc w:val="both"/>
              <w:rPr>
                <w:color w:val="000000"/>
                <w:sz w:val="20"/>
                <w:szCs w:val="20"/>
                <w:lang w:eastAsia="en-US"/>
              </w:rPr>
            </w:pPr>
            <w:proofErr w:type="spellStart"/>
            <w:r w:rsidRPr="009D5B83">
              <w:rPr>
                <w:color w:val="000000"/>
                <w:sz w:val="20"/>
                <w:szCs w:val="20"/>
                <w:lang w:eastAsia="en-US"/>
              </w:rPr>
              <w:t>Ненефтегазовый</w:t>
            </w:r>
            <w:proofErr w:type="spellEnd"/>
            <w:r w:rsidRPr="009D5B83">
              <w:rPr>
                <w:color w:val="000000"/>
                <w:sz w:val="20"/>
                <w:szCs w:val="20"/>
                <w:lang w:eastAsia="en-US"/>
              </w:rPr>
              <w:t xml:space="preserve"> дефицит</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7942ED65" w14:textId="77777777" w:rsidR="001539F7" w:rsidRPr="009D5B83" w:rsidRDefault="001539F7" w:rsidP="001539F7">
            <w:pPr>
              <w:widowControl w:val="0"/>
              <w:suppressAutoHyphens/>
              <w:jc w:val="center"/>
              <w:rPr>
                <w:sz w:val="20"/>
                <w:szCs w:val="20"/>
              </w:rPr>
            </w:pPr>
            <w:r w:rsidRPr="009D5B83">
              <w:rPr>
                <w:sz w:val="20"/>
                <w:szCs w:val="20"/>
              </w:rPr>
              <w:t>-8 532,2</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79A318E" w14:textId="77777777" w:rsidR="001539F7" w:rsidRPr="009D5B83" w:rsidRDefault="001539F7" w:rsidP="001539F7">
            <w:pPr>
              <w:widowControl w:val="0"/>
              <w:suppressAutoHyphens/>
              <w:jc w:val="center"/>
              <w:rPr>
                <w:sz w:val="20"/>
                <w:szCs w:val="20"/>
              </w:rPr>
            </w:pPr>
            <w:r w:rsidRPr="009D5B83">
              <w:rPr>
                <w:sz w:val="20"/>
                <w:szCs w:val="20"/>
              </w:rPr>
              <w:t>-12 979,3</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16BE3CA" w14:textId="77777777" w:rsidR="001539F7" w:rsidRPr="009D5B83" w:rsidRDefault="001539F7" w:rsidP="001539F7">
            <w:pPr>
              <w:widowControl w:val="0"/>
              <w:suppressAutoHyphens/>
              <w:jc w:val="center"/>
              <w:rPr>
                <w:sz w:val="20"/>
                <w:szCs w:val="20"/>
              </w:rPr>
            </w:pPr>
            <w:r w:rsidRPr="009D5B83">
              <w:rPr>
                <w:sz w:val="20"/>
                <w:szCs w:val="20"/>
              </w:rPr>
              <w:t>-11 864,3</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0E6FA2" w14:textId="77777777" w:rsidR="001539F7" w:rsidRPr="009D5B83" w:rsidRDefault="001539F7" w:rsidP="001539F7">
            <w:pPr>
              <w:widowControl w:val="0"/>
              <w:suppressAutoHyphens/>
              <w:jc w:val="center"/>
              <w:rPr>
                <w:sz w:val="20"/>
                <w:szCs w:val="20"/>
              </w:rPr>
            </w:pPr>
            <w:r w:rsidRPr="009D5B83">
              <w:rPr>
                <w:sz w:val="20"/>
                <w:szCs w:val="20"/>
              </w:rPr>
              <w:t>-10 849,0</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BDD7CFC" w14:textId="77777777" w:rsidR="001539F7" w:rsidRPr="009D5B83" w:rsidRDefault="001539F7" w:rsidP="001539F7">
            <w:pPr>
              <w:widowControl w:val="0"/>
              <w:suppressAutoHyphens/>
              <w:jc w:val="center"/>
              <w:rPr>
                <w:sz w:val="20"/>
                <w:szCs w:val="20"/>
              </w:rPr>
            </w:pPr>
            <w:r w:rsidRPr="009D5B83">
              <w:rPr>
                <w:sz w:val="20"/>
                <w:szCs w:val="20"/>
              </w:rPr>
              <w:t>-9 752,8</w:t>
            </w:r>
          </w:p>
        </w:tc>
      </w:tr>
      <w:tr w:rsidR="001539F7" w:rsidRPr="009D5B83" w14:paraId="7D85DA97"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554B3A29" w14:textId="77777777" w:rsidR="001539F7" w:rsidRPr="009D5B83" w:rsidRDefault="001539F7" w:rsidP="001539F7">
            <w:pPr>
              <w:widowControl w:val="0"/>
              <w:suppressAutoHyphens/>
              <w:spacing w:after="60"/>
              <w:ind w:left="170"/>
              <w:jc w:val="both"/>
              <w:rPr>
                <w:color w:val="000000"/>
                <w:sz w:val="20"/>
                <w:szCs w:val="20"/>
                <w:lang w:eastAsia="en-US"/>
              </w:rPr>
            </w:pPr>
            <w:proofErr w:type="gramStart"/>
            <w:r w:rsidRPr="009D5B83">
              <w:rPr>
                <w:color w:val="000000"/>
                <w:sz w:val="20"/>
                <w:szCs w:val="20"/>
                <w:lang w:eastAsia="en-US"/>
              </w:rPr>
              <w:t>в</w:t>
            </w:r>
            <w:proofErr w:type="gramEnd"/>
            <w:r w:rsidRPr="009D5B83">
              <w:rPr>
                <w:color w:val="000000"/>
                <w:sz w:val="20"/>
                <w:szCs w:val="20"/>
                <w:lang w:eastAsia="en-US"/>
              </w:rPr>
              <w:t xml:space="preserve"> % к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42030917" w14:textId="5A9DE48E" w:rsidR="001539F7" w:rsidRPr="009D5B83" w:rsidRDefault="00627ADD" w:rsidP="001539F7">
            <w:pPr>
              <w:widowControl w:val="0"/>
              <w:suppressAutoHyphens/>
              <w:jc w:val="center"/>
              <w:rPr>
                <w:i/>
                <w:iCs/>
                <w:sz w:val="20"/>
                <w:szCs w:val="20"/>
              </w:rPr>
            </w:pPr>
            <w:r>
              <w:rPr>
                <w:i/>
                <w:iCs/>
                <w:sz w:val="20"/>
                <w:szCs w:val="20"/>
              </w:rPr>
              <w:t>-</w:t>
            </w:r>
            <w:r w:rsidR="001539F7" w:rsidRPr="009D5B83">
              <w:rPr>
                <w:i/>
                <w:iCs/>
                <w:sz w:val="20"/>
                <w:szCs w:val="20"/>
              </w:rPr>
              <w:t>6,5</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9809B2A" w14:textId="765605FB" w:rsidR="001539F7" w:rsidRPr="009D5B83" w:rsidRDefault="00627ADD" w:rsidP="001539F7">
            <w:pPr>
              <w:widowControl w:val="0"/>
              <w:suppressAutoHyphens/>
              <w:jc w:val="center"/>
              <w:rPr>
                <w:i/>
                <w:iCs/>
                <w:sz w:val="20"/>
                <w:szCs w:val="20"/>
              </w:rPr>
            </w:pPr>
            <w:r>
              <w:rPr>
                <w:i/>
                <w:iCs/>
                <w:sz w:val="20"/>
                <w:szCs w:val="20"/>
              </w:rPr>
              <w:t>-</w:t>
            </w:r>
            <w:r w:rsidR="001539F7" w:rsidRPr="009D5B83">
              <w:rPr>
                <w:i/>
                <w:iCs/>
                <w:sz w:val="20"/>
                <w:szCs w:val="20"/>
              </w:rPr>
              <w:t>8,9</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5CD4BA3" w14:textId="5D306BB0" w:rsidR="001539F7" w:rsidRPr="009D5B83" w:rsidRDefault="00627ADD" w:rsidP="001539F7">
            <w:pPr>
              <w:widowControl w:val="0"/>
              <w:suppressAutoHyphens/>
              <w:jc w:val="center"/>
              <w:rPr>
                <w:i/>
                <w:iCs/>
                <w:sz w:val="20"/>
                <w:szCs w:val="20"/>
              </w:rPr>
            </w:pPr>
            <w:r>
              <w:rPr>
                <w:i/>
                <w:iCs/>
                <w:sz w:val="20"/>
                <w:szCs w:val="20"/>
              </w:rPr>
              <w:t>-</w:t>
            </w:r>
            <w:r w:rsidR="001539F7" w:rsidRPr="009D5B83">
              <w:rPr>
                <w:i/>
                <w:iCs/>
                <w:sz w:val="20"/>
                <w:szCs w:val="20"/>
              </w:rPr>
              <w:t>7,9</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DB7A97" w14:textId="25A0225F" w:rsidR="001539F7" w:rsidRPr="009D5B83" w:rsidRDefault="00627ADD" w:rsidP="001539F7">
            <w:pPr>
              <w:widowControl w:val="0"/>
              <w:suppressAutoHyphens/>
              <w:jc w:val="center"/>
              <w:rPr>
                <w:i/>
                <w:iCs/>
                <w:sz w:val="20"/>
                <w:szCs w:val="20"/>
              </w:rPr>
            </w:pPr>
            <w:r>
              <w:rPr>
                <w:i/>
                <w:iCs/>
                <w:sz w:val="20"/>
                <w:szCs w:val="20"/>
              </w:rPr>
              <w:t>-</w:t>
            </w:r>
            <w:r w:rsidR="001539F7" w:rsidRPr="009D5B83">
              <w:rPr>
                <w:i/>
                <w:iCs/>
                <w:sz w:val="20"/>
                <w:szCs w:val="20"/>
              </w:rPr>
              <w:t>6,8</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FACC8C" w14:textId="0B534B6A" w:rsidR="001539F7" w:rsidRPr="009D5B83" w:rsidRDefault="00627ADD" w:rsidP="001539F7">
            <w:pPr>
              <w:widowControl w:val="0"/>
              <w:suppressAutoHyphens/>
              <w:jc w:val="center"/>
              <w:rPr>
                <w:i/>
                <w:iCs/>
                <w:sz w:val="20"/>
                <w:szCs w:val="20"/>
              </w:rPr>
            </w:pPr>
            <w:r>
              <w:rPr>
                <w:i/>
                <w:iCs/>
                <w:sz w:val="20"/>
                <w:szCs w:val="20"/>
              </w:rPr>
              <w:t>-</w:t>
            </w:r>
            <w:r w:rsidR="001539F7" w:rsidRPr="009D5B83">
              <w:rPr>
                <w:i/>
                <w:iCs/>
                <w:sz w:val="20"/>
                <w:szCs w:val="20"/>
              </w:rPr>
              <w:t>5,7</w:t>
            </w:r>
          </w:p>
        </w:tc>
      </w:tr>
      <w:tr w:rsidR="001539F7" w:rsidRPr="004C7714" w14:paraId="490A332F" w14:textId="77777777" w:rsidTr="001B68A1">
        <w:trPr>
          <w:trHeight w:val="267"/>
          <w:jc w:val="center"/>
        </w:trPr>
        <w:tc>
          <w:tcPr>
            <w:tcW w:w="3333" w:type="dxa"/>
            <w:tcBorders>
              <w:top w:val="single" w:sz="4" w:space="0" w:color="000000"/>
              <w:left w:val="single" w:sz="4" w:space="0" w:color="000000"/>
              <w:bottom w:val="single" w:sz="4" w:space="0" w:color="000000"/>
              <w:right w:val="single" w:sz="4" w:space="0" w:color="000000"/>
            </w:tcBorders>
            <w:vAlign w:val="center"/>
          </w:tcPr>
          <w:p w14:paraId="131FDADA" w14:textId="77777777" w:rsidR="001539F7" w:rsidRPr="004C7714" w:rsidRDefault="001539F7" w:rsidP="001539F7">
            <w:pPr>
              <w:widowControl w:val="0"/>
              <w:suppressAutoHyphens/>
              <w:spacing w:after="60"/>
              <w:jc w:val="both"/>
              <w:rPr>
                <w:i/>
                <w:sz w:val="20"/>
                <w:szCs w:val="20"/>
                <w:lang w:eastAsia="en-US"/>
              </w:rPr>
            </w:pPr>
            <w:proofErr w:type="spellStart"/>
            <w:r w:rsidRPr="004C7714">
              <w:rPr>
                <w:i/>
                <w:sz w:val="20"/>
                <w:szCs w:val="20"/>
                <w:lang w:eastAsia="en-US"/>
              </w:rPr>
              <w:t>Справочно</w:t>
            </w:r>
            <w:proofErr w:type="spellEnd"/>
            <w:r w:rsidRPr="004C7714">
              <w:rPr>
                <w:i/>
                <w:sz w:val="20"/>
                <w:szCs w:val="20"/>
                <w:lang w:eastAsia="en-US"/>
              </w:rPr>
              <w:t>: ВВП</w:t>
            </w:r>
          </w:p>
        </w:tc>
        <w:tc>
          <w:tcPr>
            <w:tcW w:w="1068" w:type="dxa"/>
            <w:tcBorders>
              <w:top w:val="single" w:sz="4" w:space="0" w:color="000000"/>
              <w:left w:val="single" w:sz="4" w:space="0" w:color="000000"/>
              <w:bottom w:val="single" w:sz="4" w:space="0" w:color="000000"/>
            </w:tcBorders>
            <w:tcMar>
              <w:left w:w="57" w:type="dxa"/>
              <w:right w:w="57" w:type="dxa"/>
            </w:tcMar>
            <w:vAlign w:val="center"/>
          </w:tcPr>
          <w:p w14:paraId="481BAABF" w14:textId="77777777" w:rsidR="001539F7" w:rsidRPr="004C7714" w:rsidRDefault="001539F7" w:rsidP="001539F7">
            <w:pPr>
              <w:widowControl w:val="0"/>
              <w:suppressAutoHyphens/>
              <w:jc w:val="center"/>
              <w:rPr>
                <w:i/>
                <w:sz w:val="20"/>
                <w:szCs w:val="20"/>
                <w:lang w:eastAsia="en-US"/>
              </w:rPr>
            </w:pPr>
            <w:r w:rsidRPr="004C7714">
              <w:rPr>
                <w:i/>
                <w:sz w:val="20"/>
                <w:szCs w:val="20"/>
                <w:lang w:eastAsia="en-US"/>
              </w:rPr>
              <w:t>131 015</w:t>
            </w:r>
          </w:p>
        </w:tc>
        <w:tc>
          <w:tcPr>
            <w:tcW w:w="10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8723B26" w14:textId="77777777" w:rsidR="001539F7" w:rsidRPr="004C7714" w:rsidRDefault="001539F7" w:rsidP="001539F7">
            <w:pPr>
              <w:widowControl w:val="0"/>
              <w:suppressAutoHyphens/>
              <w:jc w:val="center"/>
              <w:rPr>
                <w:i/>
                <w:sz w:val="20"/>
                <w:szCs w:val="20"/>
                <w:lang w:eastAsia="en-US"/>
              </w:rPr>
            </w:pPr>
            <w:r w:rsidRPr="004C7714">
              <w:rPr>
                <w:i/>
                <w:sz w:val="20"/>
                <w:szCs w:val="20"/>
                <w:lang w:eastAsia="en-US"/>
              </w:rPr>
              <w:t>146 065</w:t>
            </w:r>
          </w:p>
        </w:tc>
        <w:tc>
          <w:tcPr>
            <w:tcW w:w="120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15411E0" w14:textId="77777777" w:rsidR="001539F7" w:rsidRPr="004C7714" w:rsidRDefault="001539F7" w:rsidP="001539F7">
            <w:pPr>
              <w:widowControl w:val="0"/>
              <w:suppressAutoHyphens/>
              <w:jc w:val="center"/>
              <w:rPr>
                <w:i/>
                <w:sz w:val="20"/>
                <w:szCs w:val="20"/>
                <w:lang w:eastAsia="en-US"/>
              </w:rPr>
            </w:pPr>
            <w:r w:rsidRPr="004C7714">
              <w:rPr>
                <w:i/>
                <w:sz w:val="20"/>
                <w:szCs w:val="20"/>
                <w:lang w:eastAsia="en-US"/>
              </w:rPr>
              <w:t>149 949</w:t>
            </w:r>
          </w:p>
        </w:tc>
        <w:tc>
          <w:tcPr>
            <w:tcW w:w="119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13E7587" w14:textId="77777777" w:rsidR="001539F7" w:rsidRPr="004C7714" w:rsidRDefault="001539F7" w:rsidP="001539F7">
            <w:pPr>
              <w:widowControl w:val="0"/>
              <w:suppressAutoHyphens/>
              <w:jc w:val="center"/>
              <w:rPr>
                <w:i/>
                <w:sz w:val="20"/>
                <w:szCs w:val="20"/>
                <w:lang w:eastAsia="en-US"/>
              </w:rPr>
            </w:pPr>
            <w:r w:rsidRPr="004C7714">
              <w:rPr>
                <w:i/>
                <w:sz w:val="20"/>
                <w:szCs w:val="20"/>
                <w:lang w:eastAsia="en-US"/>
              </w:rPr>
              <w:t>159 714</w:t>
            </w:r>
          </w:p>
        </w:tc>
        <w:tc>
          <w:tcPr>
            <w:tcW w:w="12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42F6389" w14:textId="77777777" w:rsidR="001539F7" w:rsidRPr="004C7714" w:rsidRDefault="001539F7" w:rsidP="001539F7">
            <w:pPr>
              <w:widowControl w:val="0"/>
              <w:suppressAutoHyphens/>
              <w:jc w:val="center"/>
              <w:rPr>
                <w:i/>
                <w:sz w:val="20"/>
                <w:szCs w:val="20"/>
                <w:lang w:eastAsia="en-US"/>
              </w:rPr>
            </w:pPr>
            <w:r w:rsidRPr="004C7714">
              <w:rPr>
                <w:i/>
                <w:sz w:val="20"/>
                <w:szCs w:val="20"/>
                <w:lang w:eastAsia="en-US"/>
              </w:rPr>
              <w:t>170 598</w:t>
            </w:r>
          </w:p>
        </w:tc>
      </w:tr>
    </w:tbl>
    <w:p w14:paraId="275A5AF2" w14:textId="77777777" w:rsidR="001539F7" w:rsidRPr="009D5B83" w:rsidRDefault="001539F7" w:rsidP="001539F7">
      <w:pPr>
        <w:keepLines/>
        <w:suppressAutoHyphens/>
        <w:spacing w:after="120"/>
        <w:ind w:firstLine="708"/>
        <w:jc w:val="both"/>
      </w:pPr>
      <w:r w:rsidRPr="009D5B83">
        <w:rPr>
          <w:i/>
          <w:sz w:val="20"/>
          <w:szCs w:val="20"/>
        </w:rPr>
        <w:t>Источник:</w:t>
      </w:r>
      <w:r w:rsidRPr="009D5B83">
        <w:rPr>
          <w:sz w:val="20"/>
          <w:szCs w:val="20"/>
        </w:rPr>
        <w:t xml:space="preserve"> Федеральное Казначейство, Законопроект, пояснительная записка к проекту федерального закона «О федеральном </w:t>
      </w:r>
      <w:proofErr w:type="gramStart"/>
      <w:r w:rsidRPr="009D5B83">
        <w:rPr>
          <w:sz w:val="20"/>
          <w:szCs w:val="20"/>
        </w:rPr>
        <w:t>бюджете</w:t>
      </w:r>
      <w:proofErr w:type="gramEnd"/>
      <w:r w:rsidRPr="009D5B83">
        <w:rPr>
          <w:sz w:val="20"/>
          <w:szCs w:val="20"/>
        </w:rPr>
        <w:t xml:space="preserve"> на 2023 год и на плановый период 2024 и 2025 годов» (далее – Пояснительная записка).</w:t>
      </w:r>
    </w:p>
    <w:p w14:paraId="505FAF02" w14:textId="0B674C0B" w:rsidR="001539F7" w:rsidRPr="00E103B9" w:rsidRDefault="001539F7" w:rsidP="001539F7">
      <w:pPr>
        <w:suppressAutoHyphens/>
        <w:spacing w:after="60"/>
        <w:ind w:firstLine="709"/>
        <w:jc w:val="both"/>
        <w:rPr>
          <w:sz w:val="28"/>
        </w:rPr>
      </w:pPr>
      <w:r w:rsidRPr="00E103B9">
        <w:rPr>
          <w:sz w:val="28"/>
        </w:rPr>
        <w:t xml:space="preserve">Относительно ВВП динамика доходов федерального бюджета в среднесрочном плановом периоде отрицательна – прогнозируется сокращение до 17,4% ВВП в 2023 г. и далее до 17,1% и 16,4% ВВП в 2024-2025 гг. соответственно. Данное сокращение связано исключительно со снижением нефтегазовых поступлений в рассматриваемом периоде с 8,0% ВВП в 2022 г. до 5,0% ВВП в 2025 г., </w:t>
      </w:r>
      <w:proofErr w:type="gramStart"/>
      <w:r w:rsidRPr="00E103B9">
        <w:rPr>
          <w:sz w:val="28"/>
        </w:rPr>
        <w:t>т.е. практически</w:t>
      </w:r>
      <w:proofErr w:type="gramEnd"/>
      <w:r w:rsidRPr="00E103B9">
        <w:rPr>
          <w:sz w:val="28"/>
        </w:rPr>
        <w:t xml:space="preserve"> до уровня </w:t>
      </w:r>
      <w:proofErr w:type="spellStart"/>
      <w:r w:rsidRPr="00E103B9">
        <w:rPr>
          <w:sz w:val="28"/>
        </w:rPr>
        <w:t>пандемийного</w:t>
      </w:r>
      <w:proofErr w:type="spellEnd"/>
      <w:r w:rsidRPr="00E103B9">
        <w:rPr>
          <w:sz w:val="28"/>
        </w:rPr>
        <w:t xml:space="preserve"> 2020 года (4,6% ВВП). При этом доля </w:t>
      </w:r>
      <w:r w:rsidRPr="00E103B9">
        <w:rPr>
          <w:color w:val="000000"/>
          <w:sz w:val="28"/>
        </w:rPr>
        <w:t>нефтегазовых доходов также сократится – с 42,1% в 2022 г. до 30,3% в 2025 г. Отдельно следует отметить, что на горизонте 2023-2025 гг. объем дополн</w:t>
      </w:r>
      <w:r w:rsidRPr="00E103B9">
        <w:rPr>
          <w:sz w:val="28"/>
        </w:rPr>
        <w:t xml:space="preserve">ительных нефтегазовых доходов прогнозируется на уровне 0,7-0,4-0,3% ВВП, что при реализации данного сценария означает минимальное пополнение </w:t>
      </w:r>
      <w:r w:rsidR="003D5D72" w:rsidRPr="00E103B9">
        <w:rPr>
          <w:sz w:val="28"/>
        </w:rPr>
        <w:t xml:space="preserve">Фонда национального благосостояния (далее – </w:t>
      </w:r>
      <w:r w:rsidRPr="00E103B9">
        <w:rPr>
          <w:sz w:val="28"/>
        </w:rPr>
        <w:t>ФНБ</w:t>
      </w:r>
      <w:r w:rsidR="003D5D72" w:rsidRPr="00E103B9">
        <w:rPr>
          <w:sz w:val="28"/>
        </w:rPr>
        <w:t>)</w:t>
      </w:r>
      <w:r w:rsidRPr="00E103B9">
        <w:rPr>
          <w:sz w:val="28"/>
        </w:rPr>
        <w:t xml:space="preserve">. По </w:t>
      </w:r>
      <w:proofErr w:type="spellStart"/>
      <w:r w:rsidRPr="00E103B9">
        <w:rPr>
          <w:sz w:val="28"/>
        </w:rPr>
        <w:t>ненефтегазовым</w:t>
      </w:r>
      <w:proofErr w:type="spellEnd"/>
      <w:r w:rsidRPr="00E103B9">
        <w:rPr>
          <w:sz w:val="28"/>
        </w:rPr>
        <w:t xml:space="preserve"> доходам в 2023-2024 гг. ожидается рост на 0,5 и 0,1 </w:t>
      </w:r>
      <w:proofErr w:type="spellStart"/>
      <w:r w:rsidRPr="00E103B9">
        <w:rPr>
          <w:sz w:val="28"/>
        </w:rPr>
        <w:t>п.п</w:t>
      </w:r>
      <w:proofErr w:type="spellEnd"/>
      <w:r w:rsidRPr="00E103B9">
        <w:rPr>
          <w:sz w:val="28"/>
        </w:rPr>
        <w:t xml:space="preserve">. ВВП по сравнению с предыдущим годом, и сокращение в 2025 г. на (-) 0,2 </w:t>
      </w:r>
      <w:proofErr w:type="spellStart"/>
      <w:r w:rsidRPr="00E103B9">
        <w:rPr>
          <w:sz w:val="28"/>
        </w:rPr>
        <w:t>п.п</w:t>
      </w:r>
      <w:proofErr w:type="spellEnd"/>
      <w:r w:rsidRPr="00E103B9">
        <w:rPr>
          <w:sz w:val="28"/>
        </w:rPr>
        <w:t xml:space="preserve">. ВВП. В целом поступление </w:t>
      </w:r>
      <w:proofErr w:type="spellStart"/>
      <w:r w:rsidRPr="00E103B9">
        <w:rPr>
          <w:sz w:val="28"/>
        </w:rPr>
        <w:t>ненефтегазовых</w:t>
      </w:r>
      <w:proofErr w:type="spellEnd"/>
      <w:r w:rsidRPr="00E103B9">
        <w:rPr>
          <w:sz w:val="28"/>
        </w:rPr>
        <w:t xml:space="preserve"> доходов в рассматриваемом периоде демонстрируют относительную стабильность, колеблясь в пределах 11,4-11,6% ВВП.</w:t>
      </w:r>
    </w:p>
    <w:p w14:paraId="01C9C94E" w14:textId="1B656C48" w:rsidR="001539F7" w:rsidRPr="00E103B9" w:rsidRDefault="001539F7" w:rsidP="001539F7">
      <w:pPr>
        <w:suppressAutoHyphens/>
        <w:spacing w:after="60"/>
        <w:ind w:firstLine="709"/>
        <w:jc w:val="both"/>
        <w:rPr>
          <w:sz w:val="28"/>
        </w:rPr>
      </w:pPr>
      <w:r w:rsidRPr="00E103B9">
        <w:rPr>
          <w:sz w:val="28"/>
        </w:rPr>
        <w:lastRenderedPageBreak/>
        <w:t xml:space="preserve">В реальном выражении (в ценах 2021 г.) доходы </w:t>
      </w:r>
      <w:r w:rsidR="003D5D72" w:rsidRPr="00E103B9">
        <w:rPr>
          <w:sz w:val="28"/>
        </w:rPr>
        <w:t>ФБ</w:t>
      </w:r>
      <w:r w:rsidRPr="00E103B9">
        <w:rPr>
          <w:sz w:val="28"/>
        </w:rPr>
        <w:t xml:space="preserve"> сокращаются начиная с 2021 г. – с 25,3 </w:t>
      </w:r>
      <w:proofErr w:type="gramStart"/>
      <w:r w:rsidRPr="00E103B9">
        <w:rPr>
          <w:sz w:val="28"/>
        </w:rPr>
        <w:t>трлн</w:t>
      </w:r>
      <w:proofErr w:type="gramEnd"/>
      <w:r w:rsidRPr="00E103B9">
        <w:rPr>
          <w:sz w:val="28"/>
        </w:rPr>
        <w:t xml:space="preserve"> руб. в 2021 г. до 21,8 трлн руб. в 2025 г., т.е. почти на 14%. Наибольший спад прогнозируется по нефтегазовым доходам с 9,0 трлн руб. в 2021 г. до 6,6 трлн руб. в 2025 г. или на (-) 27%, в то время как объем </w:t>
      </w:r>
      <w:proofErr w:type="spellStart"/>
      <w:r w:rsidRPr="00E103B9">
        <w:rPr>
          <w:sz w:val="28"/>
        </w:rPr>
        <w:t>ненефтегазовых</w:t>
      </w:r>
      <w:proofErr w:type="spellEnd"/>
      <w:r w:rsidRPr="00E103B9">
        <w:rPr>
          <w:sz w:val="28"/>
        </w:rPr>
        <w:t xml:space="preserve"> доходов сократится до 15,2 </w:t>
      </w:r>
      <w:proofErr w:type="gramStart"/>
      <w:r w:rsidRPr="00E103B9">
        <w:rPr>
          <w:sz w:val="28"/>
        </w:rPr>
        <w:t>трлн</w:t>
      </w:r>
      <w:proofErr w:type="gramEnd"/>
      <w:r w:rsidRPr="00E103B9">
        <w:rPr>
          <w:sz w:val="28"/>
        </w:rPr>
        <w:t xml:space="preserve"> руб. в 2025 г., т.е. менее чем на 5%.</w:t>
      </w:r>
    </w:p>
    <w:p w14:paraId="353C6631" w14:textId="2918BA3D" w:rsidR="001539F7" w:rsidRPr="00E103B9" w:rsidRDefault="001539F7" w:rsidP="001539F7">
      <w:pPr>
        <w:suppressAutoHyphens/>
        <w:spacing w:after="60"/>
        <w:ind w:firstLine="709"/>
        <w:jc w:val="both"/>
        <w:rPr>
          <w:color w:val="000000"/>
          <w:sz w:val="28"/>
        </w:rPr>
      </w:pPr>
      <w:r w:rsidRPr="00E103B9">
        <w:rPr>
          <w:sz w:val="28"/>
        </w:rPr>
        <w:t xml:space="preserve">Объем расходов федерального бюджета планируется планомерно сокращать с 19,9% ВВП в 2022 г. до 17,1% ВВП в 2025 г., хотя в номинальном выражении расходы федерального бюджета в течение 2022-2025 гг. словно «замирают» на одном и том же уровне в 29 с небольшим </w:t>
      </w:r>
      <w:proofErr w:type="gramStart"/>
      <w:r w:rsidRPr="00E103B9">
        <w:rPr>
          <w:sz w:val="28"/>
        </w:rPr>
        <w:t>трлн</w:t>
      </w:r>
      <w:proofErr w:type="gramEnd"/>
      <w:r w:rsidRPr="00E103B9">
        <w:rPr>
          <w:sz w:val="28"/>
        </w:rPr>
        <w:t xml:space="preserve"> руб</w:t>
      </w:r>
      <w:r w:rsidR="002606E9" w:rsidRPr="00E103B9">
        <w:rPr>
          <w:sz w:val="28"/>
        </w:rPr>
        <w:t>.</w:t>
      </w:r>
      <w:r w:rsidRPr="00E103B9">
        <w:rPr>
          <w:sz w:val="28"/>
        </w:rPr>
        <w:t>, что выглядит несколько искусственно с учетом предыдущей многолетней динамики роста (с начала 2000-х гг.).</w:t>
      </w:r>
    </w:p>
    <w:p w14:paraId="692929C3" w14:textId="15DF0D95" w:rsidR="001539F7" w:rsidRPr="00E103B9" w:rsidRDefault="001539F7" w:rsidP="001539F7">
      <w:pPr>
        <w:suppressAutoHyphens/>
        <w:spacing w:after="120"/>
        <w:ind w:firstLine="709"/>
        <w:jc w:val="both"/>
        <w:rPr>
          <w:bCs/>
          <w:sz w:val="28"/>
        </w:rPr>
      </w:pPr>
      <w:r w:rsidRPr="00E103B9">
        <w:rPr>
          <w:bCs/>
          <w:sz w:val="28"/>
        </w:rPr>
        <w:t xml:space="preserve">В реальном </w:t>
      </w:r>
      <w:proofErr w:type="gramStart"/>
      <w:r w:rsidRPr="00E103B9">
        <w:rPr>
          <w:bCs/>
          <w:sz w:val="28"/>
        </w:rPr>
        <w:t>выражении</w:t>
      </w:r>
      <w:proofErr w:type="gramEnd"/>
      <w:r w:rsidRPr="00E103B9">
        <w:rPr>
          <w:bCs/>
          <w:sz w:val="28"/>
        </w:rPr>
        <w:t xml:space="preserve"> запланированные на 2023-2025 гг. объемы расходов федерального бюджета вполне «укладываются» в сформировавшийся восходящий тренд (</w:t>
      </w:r>
      <w:r w:rsidRPr="00E103B9">
        <w:rPr>
          <w:bCs/>
          <w:i/>
          <w:iCs/>
          <w:sz w:val="28"/>
        </w:rPr>
        <w:t>рисунок 1</w:t>
      </w:r>
      <w:r w:rsidRPr="00E103B9">
        <w:rPr>
          <w:bCs/>
          <w:sz w:val="28"/>
        </w:rPr>
        <w:t xml:space="preserve">). Причем следовавшая за каждым пиком расходов федерального бюджета (например, в 2009 и 2012 гг., выделено на рисунке красным маркером) «условная» оптимизация не переламывала данный тренд, обеспечивая лишь временный откат к </w:t>
      </w:r>
      <w:proofErr w:type="spellStart"/>
      <w:r w:rsidRPr="00E103B9">
        <w:rPr>
          <w:bCs/>
          <w:sz w:val="28"/>
        </w:rPr>
        <w:t>допиковым</w:t>
      </w:r>
      <w:proofErr w:type="spellEnd"/>
      <w:r w:rsidRPr="00E103B9">
        <w:rPr>
          <w:bCs/>
          <w:sz w:val="28"/>
        </w:rPr>
        <w:t xml:space="preserve"> уровням расходов.</w:t>
      </w:r>
    </w:p>
    <w:p w14:paraId="6B340504" w14:textId="77777777" w:rsidR="001539F7" w:rsidRPr="00E103B9" w:rsidRDefault="001539F7" w:rsidP="001539F7">
      <w:pPr>
        <w:suppressAutoHyphens/>
        <w:spacing w:line="360" w:lineRule="auto"/>
        <w:ind w:firstLine="709"/>
        <w:jc w:val="both"/>
        <w:rPr>
          <w:bCs/>
          <w:sz w:val="28"/>
        </w:rPr>
      </w:pPr>
      <w:r w:rsidRPr="00E103B9">
        <w:rPr>
          <w:noProof/>
          <w:sz w:val="28"/>
        </w:rPr>
        <w:drawing>
          <wp:inline distT="0" distB="0" distL="0" distR="0" wp14:anchorId="4ABBCF95" wp14:editId="22176ED5">
            <wp:extent cx="5332491" cy="190881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E2A3B5-4EA2-42B5-8CA1-1FECA0552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51E9CF" w14:textId="06F1302F" w:rsidR="001539F7" w:rsidRPr="00E103B9" w:rsidRDefault="001539F7" w:rsidP="001539F7">
      <w:pPr>
        <w:suppressAutoHyphens/>
        <w:spacing w:line="360" w:lineRule="auto"/>
        <w:ind w:firstLine="709"/>
        <w:jc w:val="both"/>
        <w:rPr>
          <w:sz w:val="22"/>
          <w:szCs w:val="20"/>
        </w:rPr>
      </w:pPr>
      <w:r w:rsidRPr="00E103B9">
        <w:rPr>
          <w:i/>
          <w:iCs/>
          <w:sz w:val="22"/>
          <w:szCs w:val="20"/>
        </w:rPr>
        <w:t>Источник</w:t>
      </w:r>
      <w:r w:rsidRPr="00E103B9">
        <w:rPr>
          <w:sz w:val="22"/>
          <w:szCs w:val="20"/>
        </w:rPr>
        <w:t>: составлено авторами на основе данных Федерального казначейства.</w:t>
      </w:r>
    </w:p>
    <w:p w14:paraId="45B148DD" w14:textId="34AD76F9" w:rsidR="001539F7" w:rsidRPr="00E103B9" w:rsidRDefault="001539F7" w:rsidP="001539F7">
      <w:pPr>
        <w:suppressAutoHyphens/>
        <w:spacing w:line="360" w:lineRule="auto"/>
        <w:jc w:val="center"/>
        <w:rPr>
          <w:sz w:val="28"/>
        </w:rPr>
      </w:pPr>
      <w:r w:rsidRPr="00E103B9">
        <w:rPr>
          <w:b/>
          <w:bCs/>
          <w:i/>
          <w:iCs/>
          <w:sz w:val="28"/>
        </w:rPr>
        <w:t>Рисунок 1</w:t>
      </w:r>
      <w:r w:rsidRPr="00E103B9">
        <w:rPr>
          <w:sz w:val="28"/>
        </w:rPr>
        <w:t xml:space="preserve"> - </w:t>
      </w:r>
      <w:r w:rsidRPr="00E103B9">
        <w:rPr>
          <w:b/>
          <w:bCs/>
          <w:sz w:val="28"/>
        </w:rPr>
        <w:t xml:space="preserve">Динамика расходов федерального бюджета, </w:t>
      </w:r>
      <w:proofErr w:type="gramStart"/>
      <w:r w:rsidRPr="00E103B9">
        <w:rPr>
          <w:b/>
          <w:bCs/>
          <w:sz w:val="28"/>
        </w:rPr>
        <w:t>трлн</w:t>
      </w:r>
      <w:proofErr w:type="gramEnd"/>
      <w:r w:rsidRPr="00E103B9">
        <w:rPr>
          <w:b/>
          <w:bCs/>
          <w:sz w:val="28"/>
        </w:rPr>
        <w:t xml:space="preserve"> руб</w:t>
      </w:r>
      <w:r w:rsidR="002606E9" w:rsidRPr="00E103B9">
        <w:rPr>
          <w:b/>
          <w:bCs/>
          <w:sz w:val="28"/>
        </w:rPr>
        <w:t>.</w:t>
      </w:r>
      <w:r w:rsidRPr="00E103B9">
        <w:rPr>
          <w:b/>
          <w:bCs/>
          <w:sz w:val="28"/>
        </w:rPr>
        <w:t xml:space="preserve"> в ценах 2021 г.</w:t>
      </w:r>
    </w:p>
    <w:p w14:paraId="1F2AC618" w14:textId="61BA4B83" w:rsidR="001539F7" w:rsidRPr="00E103B9" w:rsidRDefault="001539F7" w:rsidP="001539F7">
      <w:pPr>
        <w:suppressAutoHyphens/>
        <w:spacing w:after="120"/>
        <w:ind w:firstLine="709"/>
        <w:jc w:val="both"/>
        <w:rPr>
          <w:sz w:val="28"/>
        </w:rPr>
      </w:pPr>
      <w:r w:rsidRPr="00E103B9">
        <w:rPr>
          <w:sz w:val="28"/>
        </w:rPr>
        <w:t xml:space="preserve">При проведении в 2023-2025 гг. очередной «условной» оптимизации бюджетных расходов крайне важно не допустить сокращения расходов производительного характера в реальном выражении по сравнению с достигнутым в 2020-2022 гг. уровнем, что дополнительно осложняется фактором низкой гибкости структуры расходов федерального бюджета. Дело в том, что основную негибкость структуры расходов создают так называемые условно постоянные (защищенные) расходы. По нашим оценкам, они предопределяют расходы федерального бюджета на сумму до 14,5 </w:t>
      </w:r>
      <w:proofErr w:type="gramStart"/>
      <w:r w:rsidRPr="00E103B9">
        <w:rPr>
          <w:sz w:val="28"/>
        </w:rPr>
        <w:t>трлн</w:t>
      </w:r>
      <w:proofErr w:type="gramEnd"/>
      <w:r w:rsidRPr="00E103B9">
        <w:rPr>
          <w:sz w:val="28"/>
        </w:rPr>
        <w:t xml:space="preserve"> рублей (в условиях 2021 г.) и состоят из расходов на оплату труда госслужащих, военнослужащих и приравненных к ним, сотрудников казенных учреждений, публично-правовых обязательств, трансфертов во внебюджетных фонды, дотаций на выравнивание бюджетной обеспеченности и субвенций, субсидий на выполнение </w:t>
      </w:r>
      <w:proofErr w:type="spellStart"/>
      <w:r w:rsidRPr="00E103B9">
        <w:rPr>
          <w:sz w:val="28"/>
        </w:rPr>
        <w:t>госзаданий</w:t>
      </w:r>
      <w:proofErr w:type="spellEnd"/>
      <w:r w:rsidRPr="00E103B9">
        <w:rPr>
          <w:sz w:val="28"/>
        </w:rPr>
        <w:t xml:space="preserve"> на оказание государственных услуг бюджетными и автономными учреждениями, </w:t>
      </w:r>
      <w:r w:rsidRPr="00E103B9">
        <w:rPr>
          <w:sz w:val="28"/>
        </w:rPr>
        <w:lastRenderedPageBreak/>
        <w:t>компенсационных субсидий юридическим лицам, выполнение международных обязательств и несение расходов на обслуживание госдолга и ряд других статей. Все эти расходы в значительной степени обусловлены высокой долей прямого государственного участия в экономике, с одной стороны, и традиционно высоким спросом на общественные блага, с друго</w:t>
      </w:r>
      <w:r w:rsidR="00B54A9B" w:rsidRPr="00E103B9">
        <w:rPr>
          <w:sz w:val="28"/>
        </w:rPr>
        <w:t>й.</w:t>
      </w:r>
    </w:p>
    <w:p w14:paraId="46FE456F" w14:textId="77777777" w:rsidR="001539F7" w:rsidRPr="00E103B9" w:rsidRDefault="001539F7" w:rsidP="001539F7">
      <w:pPr>
        <w:suppressAutoHyphens/>
        <w:spacing w:after="120"/>
        <w:ind w:firstLine="709"/>
        <w:jc w:val="both"/>
        <w:rPr>
          <w:sz w:val="28"/>
        </w:rPr>
      </w:pPr>
      <w:r w:rsidRPr="00E103B9">
        <w:rPr>
          <w:sz w:val="28"/>
        </w:rPr>
        <w:t xml:space="preserve">В </w:t>
      </w:r>
      <w:proofErr w:type="gramStart"/>
      <w:r w:rsidRPr="00E103B9">
        <w:rPr>
          <w:sz w:val="28"/>
        </w:rPr>
        <w:t>целом</w:t>
      </w:r>
      <w:proofErr w:type="gramEnd"/>
      <w:r w:rsidRPr="00E103B9">
        <w:rPr>
          <w:sz w:val="28"/>
        </w:rPr>
        <w:t xml:space="preserve"> для снижения негативного для экономического роста эффекта от бюджетной консолидации можно предложить следующую тактику ее проведения: </w:t>
      </w:r>
    </w:p>
    <w:p w14:paraId="23BA8E70" w14:textId="77777777" w:rsidR="001539F7" w:rsidRPr="00E103B9" w:rsidRDefault="001539F7" w:rsidP="001539F7">
      <w:pPr>
        <w:numPr>
          <w:ilvl w:val="0"/>
          <w:numId w:val="58"/>
        </w:numPr>
        <w:suppressAutoHyphens/>
        <w:spacing w:after="120"/>
        <w:ind w:left="0" w:firstLine="709"/>
        <w:jc w:val="both"/>
        <w:rPr>
          <w:sz w:val="28"/>
        </w:rPr>
      </w:pPr>
      <w:r w:rsidRPr="00E103B9">
        <w:rPr>
          <w:sz w:val="28"/>
        </w:rPr>
        <w:t>Начинать сокращение расходов следует после начала восстановительного роста экономики, а потому запуск бюджетной консолидации в России оправдан не ранее 2024 г., при этом в 2023 г. сокращение расходов возможно за счет поэтапного отказа от точечных мер антикризисной поддержки экономики и населения.</w:t>
      </w:r>
    </w:p>
    <w:p w14:paraId="46F733BB" w14:textId="77777777" w:rsidR="001539F7" w:rsidRPr="00E103B9" w:rsidRDefault="001539F7" w:rsidP="001539F7">
      <w:pPr>
        <w:numPr>
          <w:ilvl w:val="0"/>
          <w:numId w:val="58"/>
        </w:numPr>
        <w:suppressAutoHyphens/>
        <w:spacing w:after="120"/>
        <w:ind w:left="0" w:firstLine="709"/>
        <w:jc w:val="both"/>
        <w:rPr>
          <w:sz w:val="28"/>
        </w:rPr>
      </w:pPr>
      <w:r w:rsidRPr="00E103B9">
        <w:rPr>
          <w:sz w:val="28"/>
        </w:rPr>
        <w:t xml:space="preserve">Сокращать расходы целесообразно планомерно, растянув во времени, не прибегая к разовому секвестру. В частности, предлагается использовать подход «отложенных выплат» для бюджетных расходов инвестиционного характера (перенос вправо по новым стройкам и инвестиционным закупкам), а также «точечной» консолидации для неприоритетных расходов (в первую очередь, стимулирующих субсидий предприятиям и отраслям, не относимым Правительством РФ </w:t>
      </w:r>
      <w:proofErr w:type="gramStart"/>
      <w:r w:rsidRPr="00E103B9">
        <w:rPr>
          <w:sz w:val="28"/>
        </w:rPr>
        <w:t>к</w:t>
      </w:r>
      <w:proofErr w:type="gramEnd"/>
      <w:r w:rsidRPr="00E103B9">
        <w:rPr>
          <w:sz w:val="28"/>
        </w:rPr>
        <w:t xml:space="preserve"> стратегически важным).</w:t>
      </w:r>
    </w:p>
    <w:p w14:paraId="14886CFF" w14:textId="77777777" w:rsidR="001539F7" w:rsidRPr="00E103B9" w:rsidRDefault="001539F7" w:rsidP="001539F7">
      <w:pPr>
        <w:numPr>
          <w:ilvl w:val="0"/>
          <w:numId w:val="58"/>
        </w:numPr>
        <w:suppressAutoHyphens/>
        <w:spacing w:after="120"/>
        <w:ind w:left="0" w:firstLine="709"/>
        <w:jc w:val="both"/>
        <w:rPr>
          <w:sz w:val="28"/>
        </w:rPr>
      </w:pPr>
      <w:r w:rsidRPr="00E103B9">
        <w:rPr>
          <w:sz w:val="28"/>
        </w:rPr>
        <w:t xml:space="preserve">Определять объем возможной бюджетной экономии исходя из отрицательной разницы между прогнозным и структурным уровнем </w:t>
      </w:r>
      <w:proofErr w:type="spellStart"/>
      <w:r w:rsidRPr="00E103B9">
        <w:rPr>
          <w:sz w:val="28"/>
        </w:rPr>
        <w:t>ненефтегазовых</w:t>
      </w:r>
      <w:proofErr w:type="spellEnd"/>
      <w:r w:rsidRPr="00E103B9">
        <w:rPr>
          <w:sz w:val="28"/>
        </w:rPr>
        <w:t xml:space="preserve"> доходов (чтобы не осуществлять дополнительных долговых заимствований).</w:t>
      </w:r>
    </w:p>
    <w:p w14:paraId="50CA20DE" w14:textId="77777777" w:rsidR="001539F7" w:rsidRPr="00E103B9" w:rsidRDefault="001539F7" w:rsidP="001539F7">
      <w:pPr>
        <w:suppressAutoHyphens/>
        <w:spacing w:after="60"/>
        <w:ind w:firstLine="709"/>
        <w:jc w:val="both"/>
        <w:rPr>
          <w:sz w:val="28"/>
        </w:rPr>
      </w:pPr>
      <w:proofErr w:type="gramStart"/>
      <w:r w:rsidRPr="00E103B9">
        <w:rPr>
          <w:sz w:val="28"/>
        </w:rPr>
        <w:t xml:space="preserve">В течение всего 3-летнего периода планирования прогнозируется дефицит исполнения федерального бюджета с трендом на сокращение с (-) 2,0% ВВП в 2023 г., до (-) 0,7% ВВП в 2025 г.; </w:t>
      </w:r>
      <w:proofErr w:type="spellStart"/>
      <w:r w:rsidRPr="00E103B9">
        <w:rPr>
          <w:sz w:val="28"/>
        </w:rPr>
        <w:t>ненефтегазовый</w:t>
      </w:r>
      <w:proofErr w:type="spellEnd"/>
      <w:r w:rsidRPr="00E103B9">
        <w:rPr>
          <w:sz w:val="28"/>
        </w:rPr>
        <w:t xml:space="preserve"> дефицит планируется сократить с 7,9% ВВП в 2023 г. до 5,7% ВВП в 2025 г. </w:t>
      </w:r>
      <w:proofErr w:type="gramEnd"/>
    </w:p>
    <w:p w14:paraId="755BC142" w14:textId="541A4050" w:rsidR="001539F7" w:rsidRDefault="001539F7" w:rsidP="001539F7">
      <w:pPr>
        <w:suppressAutoHyphens/>
        <w:spacing w:after="60"/>
        <w:ind w:firstLine="709"/>
        <w:jc w:val="both"/>
        <w:rPr>
          <w:sz w:val="28"/>
        </w:rPr>
      </w:pPr>
      <w:r w:rsidRPr="00E103B9">
        <w:rPr>
          <w:sz w:val="28"/>
        </w:rPr>
        <w:t xml:space="preserve">По движению средств, учитываемых в качестве источников финансирования дефицита федерального бюджета, запланирован рост заимствований в 2023 г. в объеме до 1,6 </w:t>
      </w:r>
      <w:proofErr w:type="gramStart"/>
      <w:r w:rsidRPr="00E103B9">
        <w:rPr>
          <w:sz w:val="28"/>
        </w:rPr>
        <w:t>трлн</w:t>
      </w:r>
      <w:proofErr w:type="gramEnd"/>
      <w:r w:rsidRPr="00E103B9">
        <w:rPr>
          <w:sz w:val="28"/>
        </w:rPr>
        <w:t xml:space="preserve"> руб. и до 2 трлн руб. в 2024-2025 гг. Доля заимствований в общем объеме источников финансирования дефицита бюджета составит 54,6% в 2023 г., 90,7% в 2024 г. и в 2025 г. превысит дефицит бюджета в 1,5 раз </w:t>
      </w:r>
      <w:r w:rsidRPr="00E103B9">
        <w:rPr>
          <w:i/>
          <w:sz w:val="28"/>
        </w:rPr>
        <w:t>(таблица</w:t>
      </w:r>
      <w:r w:rsidR="00D67728" w:rsidRPr="00E103B9">
        <w:rPr>
          <w:i/>
          <w:sz w:val="28"/>
        </w:rPr>
        <w:t xml:space="preserve"> 3</w:t>
      </w:r>
      <w:r w:rsidRPr="00E103B9">
        <w:rPr>
          <w:i/>
          <w:sz w:val="28"/>
        </w:rPr>
        <w:t>)</w:t>
      </w:r>
      <w:r w:rsidRPr="00E103B9">
        <w:rPr>
          <w:sz w:val="28"/>
        </w:rPr>
        <w:t xml:space="preserve">. </w:t>
      </w:r>
    </w:p>
    <w:p w14:paraId="588A9904" w14:textId="77777777" w:rsidR="00E103B9" w:rsidRDefault="00E103B9" w:rsidP="001539F7">
      <w:pPr>
        <w:suppressAutoHyphens/>
        <w:spacing w:after="60"/>
        <w:ind w:firstLine="709"/>
        <w:jc w:val="both"/>
        <w:rPr>
          <w:sz w:val="28"/>
        </w:rPr>
      </w:pPr>
    </w:p>
    <w:p w14:paraId="581D200B" w14:textId="77777777" w:rsidR="00E103B9" w:rsidRDefault="00E103B9" w:rsidP="001539F7">
      <w:pPr>
        <w:suppressAutoHyphens/>
        <w:spacing w:after="60"/>
        <w:ind w:firstLine="709"/>
        <w:jc w:val="both"/>
        <w:rPr>
          <w:sz w:val="28"/>
        </w:rPr>
      </w:pPr>
    </w:p>
    <w:p w14:paraId="70632DEB" w14:textId="77777777" w:rsidR="00E103B9" w:rsidRDefault="00E103B9" w:rsidP="001539F7">
      <w:pPr>
        <w:suppressAutoHyphens/>
        <w:spacing w:after="60"/>
        <w:ind w:firstLine="709"/>
        <w:jc w:val="both"/>
        <w:rPr>
          <w:sz w:val="28"/>
        </w:rPr>
      </w:pPr>
    </w:p>
    <w:p w14:paraId="27E58E1A" w14:textId="77777777" w:rsidR="00E103B9" w:rsidRDefault="00E103B9" w:rsidP="001539F7">
      <w:pPr>
        <w:suppressAutoHyphens/>
        <w:spacing w:after="60"/>
        <w:ind w:firstLine="709"/>
        <w:jc w:val="both"/>
        <w:rPr>
          <w:sz w:val="28"/>
        </w:rPr>
      </w:pPr>
    </w:p>
    <w:p w14:paraId="2C894D58" w14:textId="77777777" w:rsidR="00E103B9" w:rsidRDefault="00E103B9" w:rsidP="001539F7">
      <w:pPr>
        <w:suppressAutoHyphens/>
        <w:spacing w:after="60"/>
        <w:ind w:firstLine="709"/>
        <w:jc w:val="both"/>
        <w:rPr>
          <w:sz w:val="28"/>
        </w:rPr>
      </w:pPr>
    </w:p>
    <w:p w14:paraId="2A68F0E7" w14:textId="77777777" w:rsidR="00E103B9" w:rsidRDefault="00E103B9" w:rsidP="001539F7">
      <w:pPr>
        <w:suppressAutoHyphens/>
        <w:spacing w:after="60"/>
        <w:ind w:firstLine="709"/>
        <w:jc w:val="both"/>
        <w:rPr>
          <w:sz w:val="28"/>
        </w:rPr>
      </w:pPr>
    </w:p>
    <w:p w14:paraId="16EE8FC8" w14:textId="77777777" w:rsidR="00E103B9" w:rsidRDefault="00E103B9" w:rsidP="001539F7">
      <w:pPr>
        <w:suppressAutoHyphens/>
        <w:spacing w:after="60"/>
        <w:ind w:firstLine="709"/>
        <w:jc w:val="both"/>
        <w:rPr>
          <w:sz w:val="28"/>
        </w:rPr>
      </w:pPr>
    </w:p>
    <w:p w14:paraId="590EB888" w14:textId="77777777" w:rsidR="00E103B9" w:rsidRDefault="00E103B9" w:rsidP="001539F7">
      <w:pPr>
        <w:suppressAutoHyphens/>
        <w:spacing w:after="60"/>
        <w:ind w:firstLine="709"/>
        <w:jc w:val="both"/>
        <w:rPr>
          <w:sz w:val="28"/>
        </w:rPr>
      </w:pPr>
    </w:p>
    <w:p w14:paraId="24CA212F" w14:textId="77777777" w:rsidR="00E103B9" w:rsidRDefault="00E103B9" w:rsidP="001539F7">
      <w:pPr>
        <w:suppressAutoHyphens/>
        <w:spacing w:after="60"/>
        <w:ind w:firstLine="709"/>
        <w:jc w:val="both"/>
        <w:rPr>
          <w:sz w:val="28"/>
        </w:rPr>
      </w:pPr>
    </w:p>
    <w:p w14:paraId="5C11EE4C" w14:textId="56A9B79C" w:rsidR="001539F7" w:rsidRPr="00E103B9" w:rsidRDefault="001539F7" w:rsidP="001539F7">
      <w:pPr>
        <w:suppressAutoHyphens/>
        <w:spacing w:after="60"/>
        <w:ind w:firstLine="709"/>
        <w:jc w:val="both"/>
        <w:rPr>
          <w:sz w:val="28"/>
        </w:rPr>
      </w:pPr>
      <w:r w:rsidRPr="00E103B9">
        <w:rPr>
          <w:i/>
          <w:iCs/>
          <w:color w:val="000000"/>
          <w:sz w:val="28"/>
        </w:rPr>
        <w:lastRenderedPageBreak/>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r>
      <w:r w:rsidRPr="00E103B9">
        <w:rPr>
          <w:i/>
          <w:iCs/>
          <w:color w:val="000000"/>
          <w:sz w:val="28"/>
        </w:rPr>
        <w:tab/>
        <w:t xml:space="preserve">Таблица </w:t>
      </w:r>
      <w:r w:rsidR="00D67728" w:rsidRPr="00E103B9">
        <w:rPr>
          <w:i/>
          <w:iCs/>
          <w:color w:val="000000"/>
          <w:sz w:val="28"/>
        </w:rPr>
        <w:t>3</w:t>
      </w:r>
    </w:p>
    <w:p w14:paraId="36EFB40C" w14:textId="77777777" w:rsidR="001539F7" w:rsidRPr="009D5B83" w:rsidRDefault="001539F7" w:rsidP="001539F7">
      <w:pPr>
        <w:suppressAutoHyphens/>
        <w:spacing w:before="60" w:after="120"/>
        <w:ind w:firstLine="709"/>
        <w:jc w:val="center"/>
        <w:rPr>
          <w:b/>
          <w:color w:val="000000"/>
        </w:rPr>
      </w:pPr>
      <w:r w:rsidRPr="009D5B83">
        <w:rPr>
          <w:b/>
          <w:color w:val="000000"/>
        </w:rPr>
        <w:t xml:space="preserve">Источники финансирования дефицита федерального бюджета в 2022-2025 гг., </w:t>
      </w:r>
      <w:proofErr w:type="gramStart"/>
      <w:r w:rsidRPr="009D5B83">
        <w:rPr>
          <w:b/>
          <w:color w:val="000000"/>
        </w:rPr>
        <w:t>млрд</w:t>
      </w:r>
      <w:proofErr w:type="gramEnd"/>
      <w:r w:rsidRPr="009D5B83">
        <w:rPr>
          <w:b/>
          <w:color w:val="000000"/>
        </w:rPr>
        <w:t xml:space="preserve"> руб. и % к ВВП</w:t>
      </w:r>
    </w:p>
    <w:tbl>
      <w:tblPr>
        <w:tblW w:w="5000" w:type="pct"/>
        <w:jc w:val="center"/>
        <w:tblLayout w:type="fixed"/>
        <w:tblLook w:val="04A0" w:firstRow="1" w:lastRow="0" w:firstColumn="1" w:lastColumn="0" w:noHBand="0" w:noVBand="1"/>
      </w:tblPr>
      <w:tblGrid>
        <w:gridCol w:w="2890"/>
        <w:gridCol w:w="1847"/>
        <w:gridCol w:w="1848"/>
        <w:gridCol w:w="1847"/>
        <w:gridCol w:w="1848"/>
      </w:tblGrid>
      <w:tr w:rsidR="001539F7" w:rsidRPr="009D5B83" w14:paraId="50F7CA39" w14:textId="77777777" w:rsidTr="007931C8">
        <w:trPr>
          <w:trHeight w:val="209"/>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4DB136B" w14:textId="77777777" w:rsidR="001539F7" w:rsidRPr="009D5B83" w:rsidRDefault="001539F7" w:rsidP="001539F7">
            <w:pPr>
              <w:widowControl w:val="0"/>
              <w:suppressAutoHyphens/>
              <w:jc w:val="center"/>
              <w:rPr>
                <w:b/>
                <w:color w:val="000000"/>
                <w:sz w:val="20"/>
                <w:szCs w:val="20"/>
              </w:rPr>
            </w:pPr>
            <w:r w:rsidRPr="009D5B83">
              <w:rPr>
                <w:b/>
                <w:color w:val="000000"/>
                <w:sz w:val="20"/>
                <w:szCs w:val="20"/>
              </w:rPr>
              <w:t>Показатель</w:t>
            </w:r>
          </w:p>
        </w:tc>
        <w:tc>
          <w:tcPr>
            <w:tcW w:w="1628" w:type="dxa"/>
            <w:tcBorders>
              <w:top w:val="single" w:sz="4" w:space="0" w:color="000000"/>
              <w:left w:val="single" w:sz="4" w:space="0" w:color="000000"/>
              <w:bottom w:val="single" w:sz="4" w:space="0" w:color="000000"/>
              <w:right w:val="single" w:sz="4" w:space="0" w:color="000000"/>
            </w:tcBorders>
            <w:vAlign w:val="center"/>
          </w:tcPr>
          <w:p w14:paraId="0384A84C" w14:textId="77777777" w:rsidR="001539F7" w:rsidRPr="009D5B83" w:rsidRDefault="001539F7" w:rsidP="001539F7">
            <w:pPr>
              <w:widowControl w:val="0"/>
              <w:suppressAutoHyphens/>
              <w:jc w:val="center"/>
              <w:rPr>
                <w:b/>
                <w:color w:val="000000"/>
                <w:sz w:val="20"/>
                <w:szCs w:val="20"/>
              </w:rPr>
            </w:pPr>
            <w:r w:rsidRPr="009D5B83">
              <w:rPr>
                <w:b/>
                <w:color w:val="000000"/>
                <w:sz w:val="20"/>
                <w:szCs w:val="20"/>
              </w:rPr>
              <w:t>2022 г.</w:t>
            </w:r>
          </w:p>
          <w:p w14:paraId="13391679" w14:textId="77777777" w:rsidR="001539F7" w:rsidRPr="009D5B83" w:rsidRDefault="001539F7" w:rsidP="001539F7">
            <w:pPr>
              <w:widowControl w:val="0"/>
              <w:suppressAutoHyphens/>
              <w:jc w:val="center"/>
              <w:rPr>
                <w:b/>
                <w:color w:val="000000"/>
                <w:sz w:val="20"/>
                <w:szCs w:val="20"/>
              </w:rPr>
            </w:pPr>
            <w:r w:rsidRPr="009D5B83">
              <w:rPr>
                <w:b/>
                <w:color w:val="000000"/>
                <w:sz w:val="20"/>
                <w:szCs w:val="20"/>
              </w:rPr>
              <w:t>(Оценка)</w:t>
            </w:r>
          </w:p>
        </w:tc>
        <w:tc>
          <w:tcPr>
            <w:tcW w:w="1629" w:type="dxa"/>
            <w:tcBorders>
              <w:top w:val="single" w:sz="4" w:space="0" w:color="000000"/>
              <w:left w:val="single" w:sz="4" w:space="0" w:color="000000"/>
              <w:bottom w:val="single" w:sz="4" w:space="0" w:color="000000"/>
              <w:right w:val="single" w:sz="4" w:space="0" w:color="000000"/>
            </w:tcBorders>
            <w:vAlign w:val="center"/>
          </w:tcPr>
          <w:p w14:paraId="101FCF8A" w14:textId="77777777" w:rsidR="001539F7" w:rsidRPr="009D5B83" w:rsidRDefault="001539F7" w:rsidP="001539F7">
            <w:pPr>
              <w:widowControl w:val="0"/>
              <w:suppressAutoHyphens/>
              <w:jc w:val="center"/>
            </w:pPr>
            <w:r w:rsidRPr="009D5B83">
              <w:rPr>
                <w:b/>
                <w:color w:val="000000"/>
                <w:sz w:val="20"/>
                <w:szCs w:val="20"/>
              </w:rPr>
              <w:t xml:space="preserve">2023 г. </w:t>
            </w:r>
            <w:r w:rsidRPr="009D5B83">
              <w:rPr>
                <w:b/>
                <w:sz w:val="20"/>
                <w:szCs w:val="20"/>
                <w:lang w:eastAsia="en-US"/>
              </w:rPr>
              <w:t>(Законопроект)</w:t>
            </w:r>
          </w:p>
        </w:tc>
        <w:tc>
          <w:tcPr>
            <w:tcW w:w="1628" w:type="dxa"/>
            <w:tcBorders>
              <w:top w:val="single" w:sz="4" w:space="0" w:color="000000"/>
              <w:left w:val="single" w:sz="4" w:space="0" w:color="000000"/>
              <w:bottom w:val="single" w:sz="4" w:space="0" w:color="000000"/>
              <w:right w:val="single" w:sz="4" w:space="0" w:color="000000"/>
            </w:tcBorders>
          </w:tcPr>
          <w:p w14:paraId="2F69A1B9" w14:textId="77777777" w:rsidR="001539F7" w:rsidRPr="009D5B83" w:rsidRDefault="001539F7" w:rsidP="001539F7">
            <w:pPr>
              <w:widowControl w:val="0"/>
              <w:suppressAutoHyphens/>
              <w:jc w:val="center"/>
            </w:pPr>
            <w:r w:rsidRPr="009D5B83">
              <w:rPr>
                <w:b/>
                <w:color w:val="000000"/>
                <w:sz w:val="20"/>
                <w:szCs w:val="20"/>
              </w:rPr>
              <w:t xml:space="preserve">2024 г. </w:t>
            </w:r>
            <w:r w:rsidRPr="009D5B83">
              <w:rPr>
                <w:b/>
                <w:sz w:val="20"/>
                <w:szCs w:val="20"/>
                <w:lang w:eastAsia="en-US"/>
              </w:rPr>
              <w:t>(Законопроект)</w:t>
            </w:r>
          </w:p>
        </w:tc>
        <w:tc>
          <w:tcPr>
            <w:tcW w:w="1629" w:type="dxa"/>
            <w:tcBorders>
              <w:top w:val="single" w:sz="4" w:space="0" w:color="000000"/>
              <w:left w:val="single" w:sz="4" w:space="0" w:color="000000"/>
              <w:bottom w:val="single" w:sz="4" w:space="0" w:color="000000"/>
              <w:right w:val="single" w:sz="4" w:space="0" w:color="000000"/>
            </w:tcBorders>
          </w:tcPr>
          <w:p w14:paraId="026DFFB7" w14:textId="77777777" w:rsidR="001539F7" w:rsidRPr="009D5B83" w:rsidRDefault="001539F7" w:rsidP="001539F7">
            <w:pPr>
              <w:widowControl w:val="0"/>
              <w:suppressAutoHyphens/>
              <w:jc w:val="center"/>
            </w:pPr>
            <w:r w:rsidRPr="009D5B83">
              <w:rPr>
                <w:b/>
                <w:color w:val="000000"/>
                <w:sz w:val="20"/>
                <w:szCs w:val="20"/>
              </w:rPr>
              <w:t xml:space="preserve">2025 г. </w:t>
            </w:r>
            <w:r w:rsidRPr="009D5B83">
              <w:rPr>
                <w:b/>
                <w:sz w:val="20"/>
                <w:szCs w:val="20"/>
                <w:lang w:eastAsia="en-US"/>
              </w:rPr>
              <w:t>(Законопроект)</w:t>
            </w:r>
          </w:p>
        </w:tc>
      </w:tr>
      <w:tr w:rsidR="001539F7" w:rsidRPr="009D5B83" w14:paraId="7D743795" w14:textId="77777777" w:rsidTr="007931C8">
        <w:trPr>
          <w:trHeight w:val="209"/>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4D15D622" w14:textId="77777777" w:rsidR="001539F7" w:rsidRPr="009D5B83" w:rsidRDefault="001539F7" w:rsidP="001539F7">
            <w:pPr>
              <w:widowControl w:val="0"/>
              <w:suppressAutoHyphens/>
              <w:jc w:val="both"/>
              <w:rPr>
                <w:b/>
                <w:color w:val="000000"/>
                <w:sz w:val="20"/>
                <w:szCs w:val="20"/>
              </w:rPr>
            </w:pPr>
            <w:r w:rsidRPr="009D5B83">
              <w:rPr>
                <w:b/>
                <w:color w:val="000000"/>
                <w:sz w:val="20"/>
                <w:szCs w:val="20"/>
              </w:rPr>
              <w:t>ВСЕГО источников</w:t>
            </w:r>
          </w:p>
        </w:tc>
        <w:tc>
          <w:tcPr>
            <w:tcW w:w="1628" w:type="dxa"/>
            <w:tcBorders>
              <w:top w:val="single" w:sz="4" w:space="0" w:color="000000"/>
              <w:left w:val="single" w:sz="4" w:space="0" w:color="000000"/>
              <w:bottom w:val="single" w:sz="4" w:space="0" w:color="000000"/>
              <w:right w:val="single" w:sz="4" w:space="0" w:color="000000"/>
            </w:tcBorders>
            <w:vAlign w:val="center"/>
          </w:tcPr>
          <w:p w14:paraId="59C4B6A2" w14:textId="77777777" w:rsidR="001539F7" w:rsidRPr="009D5B83" w:rsidRDefault="001539F7" w:rsidP="001539F7">
            <w:pPr>
              <w:widowControl w:val="0"/>
              <w:suppressAutoHyphens/>
              <w:jc w:val="center"/>
              <w:textAlignment w:val="center"/>
              <w:rPr>
                <w:b/>
                <w:sz w:val="20"/>
                <w:szCs w:val="20"/>
              </w:rPr>
            </w:pPr>
            <w:r w:rsidRPr="009D5B83">
              <w:rPr>
                <w:b/>
                <w:sz w:val="20"/>
                <w:szCs w:val="20"/>
              </w:rPr>
              <w:t>1 313,1</w:t>
            </w:r>
          </w:p>
        </w:tc>
        <w:tc>
          <w:tcPr>
            <w:tcW w:w="1629" w:type="dxa"/>
            <w:tcBorders>
              <w:top w:val="single" w:sz="4" w:space="0" w:color="000000"/>
              <w:left w:val="single" w:sz="4" w:space="0" w:color="000000"/>
              <w:bottom w:val="single" w:sz="4" w:space="0" w:color="000000"/>
              <w:right w:val="single" w:sz="4" w:space="0" w:color="000000"/>
            </w:tcBorders>
            <w:vAlign w:val="center"/>
          </w:tcPr>
          <w:p w14:paraId="6A9F4E59" w14:textId="77777777" w:rsidR="001539F7" w:rsidRPr="009D5B83" w:rsidRDefault="001539F7" w:rsidP="001539F7">
            <w:pPr>
              <w:widowControl w:val="0"/>
              <w:suppressAutoHyphens/>
              <w:jc w:val="center"/>
              <w:rPr>
                <w:b/>
                <w:bCs/>
                <w:sz w:val="20"/>
                <w:szCs w:val="20"/>
              </w:rPr>
            </w:pPr>
            <w:r w:rsidRPr="009D5B83">
              <w:rPr>
                <w:b/>
                <w:bCs/>
                <w:sz w:val="20"/>
                <w:szCs w:val="20"/>
              </w:rPr>
              <w:t>2 925,3</w:t>
            </w:r>
          </w:p>
        </w:tc>
        <w:tc>
          <w:tcPr>
            <w:tcW w:w="1628" w:type="dxa"/>
            <w:tcBorders>
              <w:top w:val="single" w:sz="4" w:space="0" w:color="000000"/>
              <w:left w:val="single" w:sz="4" w:space="0" w:color="000000"/>
              <w:bottom w:val="single" w:sz="4" w:space="0" w:color="000000"/>
              <w:right w:val="single" w:sz="4" w:space="0" w:color="000000"/>
            </w:tcBorders>
            <w:vAlign w:val="center"/>
          </w:tcPr>
          <w:p w14:paraId="7C8DA2F1" w14:textId="77777777" w:rsidR="001539F7" w:rsidRPr="009D5B83" w:rsidRDefault="001539F7" w:rsidP="001539F7">
            <w:pPr>
              <w:widowControl w:val="0"/>
              <w:suppressAutoHyphens/>
              <w:jc w:val="center"/>
              <w:rPr>
                <w:b/>
                <w:bCs/>
                <w:sz w:val="20"/>
                <w:szCs w:val="20"/>
              </w:rPr>
            </w:pPr>
            <w:r w:rsidRPr="009D5B83">
              <w:rPr>
                <w:b/>
                <w:bCs/>
                <w:sz w:val="20"/>
                <w:szCs w:val="20"/>
              </w:rPr>
              <w:t>2 192,6</w:t>
            </w:r>
          </w:p>
        </w:tc>
        <w:tc>
          <w:tcPr>
            <w:tcW w:w="1629" w:type="dxa"/>
            <w:tcBorders>
              <w:top w:val="single" w:sz="4" w:space="0" w:color="000000"/>
              <w:left w:val="single" w:sz="4" w:space="0" w:color="000000"/>
              <w:bottom w:val="single" w:sz="4" w:space="0" w:color="000000"/>
              <w:right w:val="single" w:sz="4" w:space="0" w:color="000000"/>
            </w:tcBorders>
            <w:vAlign w:val="center"/>
          </w:tcPr>
          <w:p w14:paraId="60B0E5FE" w14:textId="77777777" w:rsidR="001539F7" w:rsidRPr="009D5B83" w:rsidRDefault="001539F7" w:rsidP="001539F7">
            <w:pPr>
              <w:widowControl w:val="0"/>
              <w:suppressAutoHyphens/>
              <w:jc w:val="center"/>
              <w:rPr>
                <w:b/>
                <w:bCs/>
                <w:sz w:val="20"/>
                <w:szCs w:val="20"/>
              </w:rPr>
            </w:pPr>
            <w:r w:rsidRPr="009D5B83">
              <w:rPr>
                <w:b/>
                <w:bCs/>
                <w:sz w:val="20"/>
                <w:szCs w:val="20"/>
              </w:rPr>
              <w:t>1 264,3</w:t>
            </w:r>
          </w:p>
        </w:tc>
      </w:tr>
      <w:tr w:rsidR="001539F7" w:rsidRPr="009D5B83" w14:paraId="379D77B6" w14:textId="77777777" w:rsidTr="007931C8">
        <w:trPr>
          <w:trHeight w:val="209"/>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6E854810" w14:textId="77777777" w:rsidR="001539F7" w:rsidRPr="009D5B83" w:rsidRDefault="001539F7" w:rsidP="001539F7">
            <w:pPr>
              <w:widowControl w:val="0"/>
              <w:suppressAutoHyphens/>
              <w:jc w:val="both"/>
              <w:rPr>
                <w:iCs/>
              </w:rPr>
            </w:pPr>
            <w:proofErr w:type="gramStart"/>
            <w:r w:rsidRPr="009D5B83">
              <w:rPr>
                <w:i/>
                <w:color w:val="000000"/>
                <w:sz w:val="20"/>
                <w:szCs w:val="20"/>
              </w:rPr>
              <w:t>в</w:t>
            </w:r>
            <w:proofErr w:type="gramEnd"/>
            <w:r w:rsidRPr="009D5B83">
              <w:rPr>
                <w:i/>
                <w:color w:val="000000"/>
                <w:sz w:val="20"/>
                <w:szCs w:val="20"/>
              </w:rPr>
              <w:t xml:space="preserve"> % к ВВП</w:t>
            </w:r>
          </w:p>
        </w:tc>
        <w:tc>
          <w:tcPr>
            <w:tcW w:w="1628" w:type="dxa"/>
            <w:tcBorders>
              <w:top w:val="single" w:sz="4" w:space="0" w:color="000000"/>
              <w:left w:val="single" w:sz="4" w:space="0" w:color="000000"/>
              <w:bottom w:val="single" w:sz="4" w:space="0" w:color="000000"/>
              <w:right w:val="single" w:sz="4" w:space="0" w:color="000000"/>
            </w:tcBorders>
            <w:vAlign w:val="center"/>
          </w:tcPr>
          <w:p w14:paraId="0A2A6E40" w14:textId="77777777" w:rsidR="001539F7" w:rsidRPr="009D5B83" w:rsidRDefault="001539F7" w:rsidP="001539F7">
            <w:pPr>
              <w:widowControl w:val="0"/>
              <w:suppressAutoHyphens/>
              <w:jc w:val="center"/>
              <w:rPr>
                <w:bCs/>
                <w:i/>
                <w:sz w:val="20"/>
                <w:szCs w:val="20"/>
              </w:rPr>
            </w:pPr>
            <w:r w:rsidRPr="009D5B83">
              <w:rPr>
                <w:bCs/>
                <w:i/>
                <w:sz w:val="20"/>
                <w:szCs w:val="20"/>
              </w:rPr>
              <w:t>0,9</w:t>
            </w:r>
          </w:p>
        </w:tc>
        <w:tc>
          <w:tcPr>
            <w:tcW w:w="1629" w:type="dxa"/>
            <w:tcBorders>
              <w:top w:val="single" w:sz="4" w:space="0" w:color="000000"/>
              <w:left w:val="single" w:sz="4" w:space="0" w:color="000000"/>
              <w:bottom w:val="single" w:sz="4" w:space="0" w:color="000000"/>
              <w:right w:val="single" w:sz="4" w:space="0" w:color="000000"/>
            </w:tcBorders>
            <w:vAlign w:val="center"/>
          </w:tcPr>
          <w:p w14:paraId="18D43809" w14:textId="77777777" w:rsidR="001539F7" w:rsidRPr="009D5B83" w:rsidRDefault="001539F7" w:rsidP="001539F7">
            <w:pPr>
              <w:widowControl w:val="0"/>
              <w:suppressAutoHyphens/>
              <w:jc w:val="center"/>
              <w:rPr>
                <w:bCs/>
                <w:i/>
                <w:sz w:val="20"/>
                <w:szCs w:val="20"/>
              </w:rPr>
            </w:pPr>
            <w:r w:rsidRPr="009D5B83">
              <w:rPr>
                <w:bCs/>
                <w:i/>
                <w:sz w:val="20"/>
                <w:szCs w:val="20"/>
              </w:rPr>
              <w:t>2,0</w:t>
            </w:r>
          </w:p>
        </w:tc>
        <w:tc>
          <w:tcPr>
            <w:tcW w:w="1628" w:type="dxa"/>
            <w:tcBorders>
              <w:top w:val="single" w:sz="4" w:space="0" w:color="000000"/>
              <w:left w:val="single" w:sz="4" w:space="0" w:color="000000"/>
              <w:bottom w:val="single" w:sz="4" w:space="0" w:color="000000"/>
              <w:right w:val="single" w:sz="4" w:space="0" w:color="000000"/>
            </w:tcBorders>
            <w:vAlign w:val="center"/>
          </w:tcPr>
          <w:p w14:paraId="2076803F" w14:textId="77777777" w:rsidR="001539F7" w:rsidRPr="009D5B83" w:rsidRDefault="001539F7" w:rsidP="001539F7">
            <w:pPr>
              <w:widowControl w:val="0"/>
              <w:suppressAutoHyphens/>
              <w:jc w:val="center"/>
              <w:rPr>
                <w:bCs/>
                <w:i/>
                <w:sz w:val="20"/>
                <w:szCs w:val="20"/>
              </w:rPr>
            </w:pPr>
            <w:r w:rsidRPr="009D5B83">
              <w:rPr>
                <w:bCs/>
                <w:i/>
                <w:sz w:val="20"/>
                <w:szCs w:val="20"/>
              </w:rPr>
              <w:t>1,4</w:t>
            </w:r>
          </w:p>
        </w:tc>
        <w:tc>
          <w:tcPr>
            <w:tcW w:w="1629" w:type="dxa"/>
            <w:tcBorders>
              <w:top w:val="single" w:sz="4" w:space="0" w:color="000000"/>
              <w:left w:val="single" w:sz="4" w:space="0" w:color="000000"/>
              <w:bottom w:val="single" w:sz="4" w:space="0" w:color="000000"/>
              <w:right w:val="single" w:sz="4" w:space="0" w:color="000000"/>
            </w:tcBorders>
            <w:vAlign w:val="center"/>
          </w:tcPr>
          <w:p w14:paraId="7D22B598" w14:textId="77777777" w:rsidR="001539F7" w:rsidRPr="009D5B83" w:rsidRDefault="001539F7" w:rsidP="001539F7">
            <w:pPr>
              <w:widowControl w:val="0"/>
              <w:suppressAutoHyphens/>
              <w:jc w:val="center"/>
              <w:rPr>
                <w:bCs/>
                <w:i/>
                <w:sz w:val="20"/>
                <w:szCs w:val="20"/>
              </w:rPr>
            </w:pPr>
            <w:r w:rsidRPr="009D5B83">
              <w:rPr>
                <w:bCs/>
                <w:i/>
                <w:sz w:val="20"/>
                <w:szCs w:val="20"/>
              </w:rPr>
              <w:t>0,7</w:t>
            </w:r>
          </w:p>
        </w:tc>
      </w:tr>
      <w:tr w:rsidR="001539F7" w:rsidRPr="009D5B83" w14:paraId="5215B859" w14:textId="77777777" w:rsidTr="007931C8">
        <w:trPr>
          <w:trHeight w:val="188"/>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F0665BF" w14:textId="77777777" w:rsidR="001539F7" w:rsidRPr="009D5B83" w:rsidRDefault="001539F7" w:rsidP="001539F7">
            <w:pPr>
              <w:widowControl w:val="0"/>
              <w:suppressAutoHyphens/>
              <w:jc w:val="both"/>
              <w:rPr>
                <w:iCs/>
                <w:color w:val="000000"/>
                <w:sz w:val="20"/>
                <w:szCs w:val="20"/>
              </w:rPr>
            </w:pPr>
            <w:r w:rsidRPr="009D5B83">
              <w:rPr>
                <w:iCs/>
                <w:color w:val="000000"/>
                <w:sz w:val="20"/>
                <w:szCs w:val="20"/>
              </w:rPr>
              <w:t xml:space="preserve">в </w:t>
            </w:r>
            <w:proofErr w:type="spellStart"/>
            <w:r w:rsidRPr="009D5B83">
              <w:rPr>
                <w:iCs/>
                <w:color w:val="000000"/>
                <w:sz w:val="20"/>
                <w:szCs w:val="20"/>
              </w:rPr>
              <w:t>т.ч</w:t>
            </w:r>
            <w:proofErr w:type="spellEnd"/>
            <w:r w:rsidRPr="009D5B83">
              <w:rPr>
                <w:iCs/>
                <w:color w:val="000000"/>
                <w:sz w:val="20"/>
                <w:szCs w:val="20"/>
              </w:rPr>
              <w:t>.:</w:t>
            </w:r>
          </w:p>
        </w:tc>
        <w:tc>
          <w:tcPr>
            <w:tcW w:w="1628" w:type="dxa"/>
            <w:tcBorders>
              <w:top w:val="single" w:sz="4" w:space="0" w:color="000000"/>
              <w:left w:val="single" w:sz="4" w:space="0" w:color="000000"/>
              <w:bottom w:val="single" w:sz="4" w:space="0" w:color="000000"/>
              <w:right w:val="single" w:sz="4" w:space="0" w:color="000000"/>
            </w:tcBorders>
            <w:vAlign w:val="center"/>
          </w:tcPr>
          <w:p w14:paraId="237A280E" w14:textId="77777777" w:rsidR="001539F7" w:rsidRPr="009D5B83" w:rsidRDefault="001539F7" w:rsidP="001539F7">
            <w:pPr>
              <w:widowControl w:val="0"/>
              <w:suppressAutoHyphens/>
              <w:snapToGrid w:val="0"/>
              <w:jc w:val="center"/>
              <w:textAlignment w:val="center"/>
              <w:rPr>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205F687F" w14:textId="77777777" w:rsidR="001539F7" w:rsidRPr="009D5B83" w:rsidRDefault="001539F7" w:rsidP="001539F7">
            <w:pPr>
              <w:widowControl w:val="0"/>
              <w:suppressAutoHyphens/>
              <w:snapToGrid w:val="0"/>
              <w:jc w:val="center"/>
              <w:textAlignment w:val="center"/>
              <w:rPr>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07388796" w14:textId="77777777" w:rsidR="001539F7" w:rsidRPr="009D5B83" w:rsidRDefault="001539F7" w:rsidP="001539F7">
            <w:pPr>
              <w:widowControl w:val="0"/>
              <w:suppressAutoHyphens/>
              <w:snapToGrid w:val="0"/>
              <w:jc w:val="center"/>
              <w:rPr>
                <w:sz w:val="20"/>
                <w:szCs w:val="20"/>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EB648DB" w14:textId="77777777" w:rsidR="001539F7" w:rsidRPr="009D5B83" w:rsidRDefault="001539F7" w:rsidP="001539F7">
            <w:pPr>
              <w:widowControl w:val="0"/>
              <w:suppressAutoHyphens/>
              <w:snapToGrid w:val="0"/>
              <w:jc w:val="center"/>
              <w:rPr>
                <w:sz w:val="20"/>
                <w:szCs w:val="20"/>
              </w:rPr>
            </w:pPr>
          </w:p>
        </w:tc>
      </w:tr>
      <w:tr w:rsidR="001539F7" w:rsidRPr="009D5B83" w14:paraId="77729572" w14:textId="77777777" w:rsidTr="007931C8">
        <w:trPr>
          <w:trHeight w:val="245"/>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64E106A" w14:textId="77777777" w:rsidR="001539F7" w:rsidRPr="009D5B83" w:rsidRDefault="001539F7" w:rsidP="001539F7">
            <w:pPr>
              <w:widowControl w:val="0"/>
              <w:suppressAutoHyphens/>
              <w:jc w:val="both"/>
              <w:rPr>
                <w:color w:val="000000"/>
                <w:sz w:val="20"/>
                <w:szCs w:val="20"/>
              </w:rPr>
            </w:pPr>
            <w:r w:rsidRPr="009D5B83">
              <w:rPr>
                <w:color w:val="000000"/>
                <w:sz w:val="20"/>
                <w:szCs w:val="20"/>
              </w:rPr>
              <w:t>Государственные заимствования</w:t>
            </w:r>
          </w:p>
        </w:tc>
        <w:tc>
          <w:tcPr>
            <w:tcW w:w="1628" w:type="dxa"/>
            <w:tcBorders>
              <w:top w:val="single" w:sz="4" w:space="0" w:color="000000"/>
              <w:left w:val="single" w:sz="4" w:space="0" w:color="000000"/>
              <w:bottom w:val="single" w:sz="4" w:space="0" w:color="000000"/>
              <w:right w:val="single" w:sz="4" w:space="0" w:color="000000"/>
            </w:tcBorders>
            <w:vAlign w:val="center"/>
          </w:tcPr>
          <w:p w14:paraId="1BD8836F" w14:textId="77777777" w:rsidR="001539F7" w:rsidRPr="009D5B83" w:rsidRDefault="001539F7" w:rsidP="001539F7">
            <w:pPr>
              <w:widowControl w:val="0"/>
              <w:suppressAutoHyphens/>
              <w:jc w:val="center"/>
              <w:textAlignment w:val="center"/>
              <w:rPr>
                <w:kern w:val="2"/>
                <w:sz w:val="20"/>
                <w:szCs w:val="20"/>
              </w:rPr>
            </w:pPr>
            <w:r w:rsidRPr="009D5B83">
              <w:rPr>
                <w:kern w:val="2"/>
                <w:sz w:val="20"/>
                <w:szCs w:val="20"/>
              </w:rPr>
              <w:t>-1 123,5</w:t>
            </w:r>
          </w:p>
        </w:tc>
        <w:tc>
          <w:tcPr>
            <w:tcW w:w="1629" w:type="dxa"/>
            <w:tcBorders>
              <w:top w:val="single" w:sz="4" w:space="0" w:color="000000"/>
              <w:left w:val="single" w:sz="4" w:space="0" w:color="000000"/>
              <w:bottom w:val="single" w:sz="4" w:space="0" w:color="000000"/>
              <w:right w:val="single" w:sz="4" w:space="0" w:color="000000"/>
            </w:tcBorders>
            <w:vAlign w:val="center"/>
          </w:tcPr>
          <w:p w14:paraId="5C36F364" w14:textId="77777777" w:rsidR="001539F7" w:rsidRPr="009D5B83" w:rsidRDefault="001539F7" w:rsidP="001539F7">
            <w:pPr>
              <w:widowControl w:val="0"/>
              <w:suppressAutoHyphens/>
              <w:jc w:val="center"/>
              <w:rPr>
                <w:bCs/>
                <w:sz w:val="20"/>
                <w:szCs w:val="20"/>
              </w:rPr>
            </w:pPr>
            <w:r w:rsidRPr="009D5B83">
              <w:rPr>
                <w:bCs/>
                <w:sz w:val="20"/>
                <w:szCs w:val="20"/>
              </w:rPr>
              <w:t>1 597,8</w:t>
            </w:r>
          </w:p>
        </w:tc>
        <w:tc>
          <w:tcPr>
            <w:tcW w:w="1628" w:type="dxa"/>
            <w:tcBorders>
              <w:top w:val="single" w:sz="4" w:space="0" w:color="000000"/>
              <w:left w:val="single" w:sz="4" w:space="0" w:color="000000"/>
              <w:bottom w:val="single" w:sz="4" w:space="0" w:color="000000"/>
              <w:right w:val="single" w:sz="4" w:space="0" w:color="000000"/>
            </w:tcBorders>
            <w:vAlign w:val="center"/>
          </w:tcPr>
          <w:p w14:paraId="43243AC4" w14:textId="77777777" w:rsidR="001539F7" w:rsidRPr="009D5B83" w:rsidRDefault="001539F7" w:rsidP="001539F7">
            <w:pPr>
              <w:widowControl w:val="0"/>
              <w:suppressAutoHyphens/>
              <w:jc w:val="center"/>
              <w:rPr>
                <w:bCs/>
                <w:sz w:val="20"/>
                <w:szCs w:val="20"/>
              </w:rPr>
            </w:pPr>
            <w:r w:rsidRPr="009D5B83">
              <w:rPr>
                <w:bCs/>
                <w:sz w:val="20"/>
                <w:szCs w:val="20"/>
              </w:rPr>
              <w:t>1 989,4</w:t>
            </w:r>
          </w:p>
        </w:tc>
        <w:tc>
          <w:tcPr>
            <w:tcW w:w="1629" w:type="dxa"/>
            <w:tcBorders>
              <w:top w:val="single" w:sz="4" w:space="0" w:color="000000"/>
              <w:left w:val="single" w:sz="4" w:space="0" w:color="000000"/>
              <w:bottom w:val="single" w:sz="4" w:space="0" w:color="000000"/>
              <w:right w:val="single" w:sz="4" w:space="0" w:color="000000"/>
            </w:tcBorders>
            <w:vAlign w:val="center"/>
          </w:tcPr>
          <w:p w14:paraId="5FEF3935" w14:textId="77777777" w:rsidR="001539F7" w:rsidRPr="009D5B83" w:rsidRDefault="001539F7" w:rsidP="001539F7">
            <w:pPr>
              <w:widowControl w:val="0"/>
              <w:suppressAutoHyphens/>
              <w:jc w:val="center"/>
              <w:rPr>
                <w:bCs/>
                <w:sz w:val="20"/>
                <w:szCs w:val="20"/>
              </w:rPr>
            </w:pPr>
            <w:r w:rsidRPr="009D5B83">
              <w:rPr>
                <w:bCs/>
                <w:sz w:val="20"/>
                <w:szCs w:val="20"/>
              </w:rPr>
              <w:t>1 932,2</w:t>
            </w:r>
          </w:p>
        </w:tc>
      </w:tr>
      <w:tr w:rsidR="001539F7" w:rsidRPr="009D5B83" w14:paraId="4402142C" w14:textId="77777777" w:rsidTr="007931C8">
        <w:trPr>
          <w:trHeight w:val="245"/>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01DC2589" w14:textId="77777777" w:rsidR="001539F7" w:rsidRPr="009D5B83" w:rsidRDefault="001539F7" w:rsidP="001539F7">
            <w:pPr>
              <w:widowControl w:val="0"/>
              <w:suppressAutoHyphens/>
              <w:jc w:val="both"/>
              <w:rPr>
                <w:color w:val="000000"/>
                <w:sz w:val="20"/>
                <w:szCs w:val="20"/>
              </w:rPr>
            </w:pPr>
            <w:r w:rsidRPr="009D5B83">
              <w:rPr>
                <w:color w:val="000000"/>
                <w:sz w:val="20"/>
                <w:szCs w:val="20"/>
              </w:rPr>
              <w:t>Средства ФНБ</w:t>
            </w:r>
          </w:p>
        </w:tc>
        <w:tc>
          <w:tcPr>
            <w:tcW w:w="1628" w:type="dxa"/>
            <w:tcBorders>
              <w:top w:val="single" w:sz="4" w:space="0" w:color="000000"/>
              <w:left w:val="single" w:sz="4" w:space="0" w:color="000000"/>
              <w:bottom w:val="single" w:sz="4" w:space="0" w:color="000000"/>
              <w:right w:val="single" w:sz="4" w:space="0" w:color="000000"/>
            </w:tcBorders>
            <w:vAlign w:val="center"/>
          </w:tcPr>
          <w:p w14:paraId="7598BAA1" w14:textId="77777777" w:rsidR="001539F7" w:rsidRPr="009D5B83" w:rsidRDefault="001539F7" w:rsidP="001539F7">
            <w:pPr>
              <w:widowControl w:val="0"/>
              <w:suppressAutoHyphens/>
              <w:jc w:val="center"/>
              <w:textAlignment w:val="center"/>
              <w:rPr>
                <w:color w:val="000000"/>
                <w:kern w:val="2"/>
                <w:sz w:val="20"/>
                <w:szCs w:val="20"/>
              </w:rPr>
            </w:pPr>
            <w:r w:rsidRPr="009D5B83">
              <w:rPr>
                <w:color w:val="000000"/>
                <w:kern w:val="2"/>
                <w:sz w:val="20"/>
                <w:szCs w:val="20"/>
              </w:rPr>
              <w:t>3 196,6</w:t>
            </w:r>
          </w:p>
        </w:tc>
        <w:tc>
          <w:tcPr>
            <w:tcW w:w="1629" w:type="dxa"/>
            <w:tcBorders>
              <w:top w:val="single" w:sz="4" w:space="0" w:color="000000"/>
              <w:left w:val="single" w:sz="4" w:space="0" w:color="000000"/>
              <w:bottom w:val="single" w:sz="4" w:space="0" w:color="000000"/>
              <w:right w:val="single" w:sz="4" w:space="0" w:color="000000"/>
            </w:tcBorders>
            <w:vAlign w:val="center"/>
          </w:tcPr>
          <w:p w14:paraId="7F3CA5BA" w14:textId="77777777" w:rsidR="001539F7" w:rsidRPr="009D5B83" w:rsidRDefault="001539F7" w:rsidP="001539F7">
            <w:pPr>
              <w:widowControl w:val="0"/>
              <w:suppressAutoHyphens/>
              <w:jc w:val="center"/>
              <w:rPr>
                <w:sz w:val="20"/>
                <w:szCs w:val="20"/>
              </w:rPr>
            </w:pPr>
            <w:r w:rsidRPr="009D5B83">
              <w:rPr>
                <w:sz w:val="20"/>
                <w:szCs w:val="20"/>
              </w:rPr>
              <w:t>2 902,6</w:t>
            </w:r>
          </w:p>
        </w:tc>
        <w:tc>
          <w:tcPr>
            <w:tcW w:w="1628" w:type="dxa"/>
            <w:tcBorders>
              <w:top w:val="single" w:sz="4" w:space="0" w:color="000000"/>
              <w:left w:val="single" w:sz="4" w:space="0" w:color="000000"/>
              <w:bottom w:val="single" w:sz="4" w:space="0" w:color="000000"/>
              <w:right w:val="single" w:sz="4" w:space="0" w:color="000000"/>
            </w:tcBorders>
            <w:vAlign w:val="center"/>
          </w:tcPr>
          <w:p w14:paraId="54AECF6C" w14:textId="77777777" w:rsidR="001539F7" w:rsidRPr="009D5B83" w:rsidRDefault="001539F7" w:rsidP="001539F7">
            <w:pPr>
              <w:widowControl w:val="0"/>
              <w:suppressAutoHyphens/>
              <w:jc w:val="center"/>
              <w:rPr>
                <w:sz w:val="20"/>
                <w:szCs w:val="20"/>
              </w:rPr>
            </w:pPr>
            <w:r w:rsidRPr="009D5B83">
              <w:rPr>
                <w:sz w:val="20"/>
                <w:szCs w:val="20"/>
              </w:rPr>
              <w:t>1 302,5</w:t>
            </w:r>
          </w:p>
        </w:tc>
        <w:tc>
          <w:tcPr>
            <w:tcW w:w="1629" w:type="dxa"/>
            <w:tcBorders>
              <w:top w:val="single" w:sz="4" w:space="0" w:color="000000"/>
              <w:left w:val="single" w:sz="4" w:space="0" w:color="000000"/>
              <w:bottom w:val="single" w:sz="4" w:space="0" w:color="000000"/>
              <w:right w:val="single" w:sz="4" w:space="0" w:color="000000"/>
            </w:tcBorders>
            <w:vAlign w:val="center"/>
          </w:tcPr>
          <w:p w14:paraId="51585001" w14:textId="77777777" w:rsidR="001539F7" w:rsidRPr="009D5B83" w:rsidRDefault="001539F7" w:rsidP="001539F7">
            <w:pPr>
              <w:widowControl w:val="0"/>
              <w:suppressAutoHyphens/>
              <w:jc w:val="center"/>
              <w:rPr>
                <w:sz w:val="20"/>
                <w:szCs w:val="20"/>
              </w:rPr>
            </w:pPr>
            <w:r w:rsidRPr="009D5B83">
              <w:rPr>
                <w:sz w:val="20"/>
                <w:szCs w:val="20"/>
              </w:rPr>
              <w:t>2,4</w:t>
            </w:r>
          </w:p>
        </w:tc>
      </w:tr>
      <w:tr w:rsidR="001539F7" w:rsidRPr="009D5B83" w14:paraId="5380A582" w14:textId="77777777" w:rsidTr="007931C8">
        <w:trPr>
          <w:trHeight w:val="336"/>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1ECCC5B6" w14:textId="77777777" w:rsidR="001539F7" w:rsidRPr="009D5B83" w:rsidRDefault="001539F7" w:rsidP="001539F7">
            <w:pPr>
              <w:widowControl w:val="0"/>
              <w:suppressAutoHyphens/>
              <w:jc w:val="both"/>
              <w:rPr>
                <w:color w:val="000000"/>
                <w:sz w:val="20"/>
                <w:szCs w:val="20"/>
              </w:rPr>
            </w:pPr>
            <w:r w:rsidRPr="009D5B83">
              <w:rPr>
                <w:color w:val="000000"/>
                <w:sz w:val="20"/>
                <w:szCs w:val="20"/>
              </w:rPr>
              <w:t>Приватизация</w:t>
            </w:r>
          </w:p>
        </w:tc>
        <w:tc>
          <w:tcPr>
            <w:tcW w:w="1628" w:type="dxa"/>
            <w:tcBorders>
              <w:top w:val="single" w:sz="4" w:space="0" w:color="000000"/>
              <w:left w:val="single" w:sz="4" w:space="0" w:color="000000"/>
              <w:bottom w:val="single" w:sz="4" w:space="0" w:color="000000"/>
              <w:right w:val="single" w:sz="4" w:space="0" w:color="000000"/>
            </w:tcBorders>
            <w:vAlign w:val="center"/>
          </w:tcPr>
          <w:p w14:paraId="30C995E9" w14:textId="77777777" w:rsidR="001539F7" w:rsidRPr="009D5B83" w:rsidRDefault="001539F7" w:rsidP="001539F7">
            <w:pPr>
              <w:widowControl w:val="0"/>
              <w:suppressAutoHyphens/>
              <w:jc w:val="center"/>
              <w:textAlignment w:val="center"/>
              <w:rPr>
                <w:color w:val="000000"/>
                <w:sz w:val="20"/>
                <w:szCs w:val="20"/>
              </w:rPr>
            </w:pPr>
            <w:r w:rsidRPr="009D5B83">
              <w:rPr>
                <w:color w:val="000000"/>
                <w:sz w:val="20"/>
                <w:szCs w:val="20"/>
              </w:rPr>
              <w:t>7,4</w:t>
            </w:r>
          </w:p>
        </w:tc>
        <w:tc>
          <w:tcPr>
            <w:tcW w:w="1629" w:type="dxa"/>
            <w:tcBorders>
              <w:top w:val="single" w:sz="4" w:space="0" w:color="000000"/>
              <w:left w:val="single" w:sz="4" w:space="0" w:color="000000"/>
              <w:bottom w:val="single" w:sz="4" w:space="0" w:color="000000"/>
              <w:right w:val="single" w:sz="4" w:space="0" w:color="000000"/>
            </w:tcBorders>
            <w:vAlign w:val="center"/>
          </w:tcPr>
          <w:p w14:paraId="4088C75D" w14:textId="77777777" w:rsidR="001539F7" w:rsidRPr="009D5B83" w:rsidRDefault="001539F7" w:rsidP="001539F7">
            <w:pPr>
              <w:widowControl w:val="0"/>
              <w:suppressAutoHyphens/>
              <w:jc w:val="center"/>
              <w:rPr>
                <w:color w:val="000000"/>
                <w:sz w:val="20"/>
                <w:szCs w:val="20"/>
              </w:rPr>
            </w:pPr>
            <w:r w:rsidRPr="009D5B83">
              <w:rPr>
                <w:color w:val="000000"/>
                <w:sz w:val="20"/>
                <w:szCs w:val="20"/>
              </w:rPr>
              <w:t>1,5</w:t>
            </w:r>
          </w:p>
        </w:tc>
        <w:tc>
          <w:tcPr>
            <w:tcW w:w="1628" w:type="dxa"/>
            <w:tcBorders>
              <w:top w:val="single" w:sz="4" w:space="0" w:color="000000"/>
              <w:left w:val="single" w:sz="4" w:space="0" w:color="000000"/>
              <w:bottom w:val="single" w:sz="4" w:space="0" w:color="000000"/>
              <w:right w:val="single" w:sz="4" w:space="0" w:color="000000"/>
            </w:tcBorders>
            <w:vAlign w:val="center"/>
          </w:tcPr>
          <w:p w14:paraId="5A550BB5" w14:textId="77777777" w:rsidR="001539F7" w:rsidRPr="009D5B83" w:rsidRDefault="001539F7" w:rsidP="001539F7">
            <w:pPr>
              <w:widowControl w:val="0"/>
              <w:suppressAutoHyphens/>
              <w:jc w:val="center"/>
              <w:rPr>
                <w:color w:val="000000"/>
                <w:sz w:val="20"/>
                <w:szCs w:val="20"/>
              </w:rPr>
            </w:pPr>
            <w:r w:rsidRPr="009D5B83">
              <w:rPr>
                <w:color w:val="000000"/>
                <w:sz w:val="20"/>
                <w:szCs w:val="20"/>
              </w:rPr>
              <w:t>1,5</w:t>
            </w:r>
          </w:p>
        </w:tc>
        <w:tc>
          <w:tcPr>
            <w:tcW w:w="1629" w:type="dxa"/>
            <w:tcBorders>
              <w:top w:val="single" w:sz="4" w:space="0" w:color="000000"/>
              <w:left w:val="single" w:sz="4" w:space="0" w:color="000000"/>
              <w:bottom w:val="single" w:sz="4" w:space="0" w:color="000000"/>
              <w:right w:val="single" w:sz="4" w:space="0" w:color="000000"/>
            </w:tcBorders>
            <w:vAlign w:val="center"/>
          </w:tcPr>
          <w:p w14:paraId="0BAEFF31" w14:textId="77777777" w:rsidR="001539F7" w:rsidRPr="009D5B83" w:rsidRDefault="001539F7" w:rsidP="001539F7">
            <w:pPr>
              <w:widowControl w:val="0"/>
              <w:suppressAutoHyphens/>
              <w:jc w:val="center"/>
              <w:rPr>
                <w:color w:val="000000"/>
                <w:sz w:val="20"/>
                <w:szCs w:val="20"/>
              </w:rPr>
            </w:pPr>
            <w:r w:rsidRPr="009D5B83">
              <w:rPr>
                <w:color w:val="000000"/>
                <w:sz w:val="20"/>
                <w:szCs w:val="20"/>
              </w:rPr>
              <w:t>1,5</w:t>
            </w:r>
          </w:p>
        </w:tc>
      </w:tr>
      <w:tr w:rsidR="001539F7" w:rsidRPr="009D5B83" w14:paraId="3F6AAAD9" w14:textId="77777777" w:rsidTr="007931C8">
        <w:trPr>
          <w:trHeight w:val="214"/>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095A5A99" w14:textId="77777777" w:rsidR="001539F7" w:rsidRPr="009D5B83" w:rsidRDefault="001539F7" w:rsidP="001539F7">
            <w:pPr>
              <w:widowControl w:val="0"/>
              <w:suppressAutoHyphens/>
              <w:jc w:val="both"/>
              <w:rPr>
                <w:color w:val="000000"/>
                <w:sz w:val="20"/>
                <w:szCs w:val="20"/>
              </w:rPr>
            </w:pPr>
            <w:r w:rsidRPr="009D5B83">
              <w:rPr>
                <w:color w:val="000000"/>
                <w:sz w:val="20"/>
                <w:szCs w:val="20"/>
              </w:rPr>
              <w:t>Прочие источники</w:t>
            </w:r>
          </w:p>
        </w:tc>
        <w:tc>
          <w:tcPr>
            <w:tcW w:w="1628" w:type="dxa"/>
            <w:tcBorders>
              <w:top w:val="single" w:sz="4" w:space="0" w:color="000000"/>
              <w:left w:val="single" w:sz="4" w:space="0" w:color="000000"/>
              <w:bottom w:val="single" w:sz="4" w:space="0" w:color="000000"/>
              <w:right w:val="single" w:sz="4" w:space="0" w:color="000000"/>
            </w:tcBorders>
          </w:tcPr>
          <w:p w14:paraId="6A526869" w14:textId="77777777" w:rsidR="001539F7" w:rsidRPr="009D5B83" w:rsidRDefault="001539F7" w:rsidP="001539F7">
            <w:pPr>
              <w:widowControl w:val="0"/>
              <w:suppressAutoHyphens/>
              <w:jc w:val="center"/>
              <w:rPr>
                <w:sz w:val="20"/>
                <w:szCs w:val="20"/>
              </w:rPr>
            </w:pPr>
            <w:r w:rsidRPr="009D5B83">
              <w:fldChar w:fldCharType="begin"/>
            </w:r>
            <w:r w:rsidRPr="009D5B83">
              <w:rPr>
                <w:sz w:val="20"/>
                <w:szCs w:val="20"/>
              </w:rPr>
              <w:instrText xml:space="preserve"> =B2-B5-B6-B7</w:instrText>
            </w:r>
            <w:r w:rsidRPr="009D5B83">
              <w:rPr>
                <w:sz w:val="20"/>
                <w:szCs w:val="20"/>
              </w:rPr>
              <w:fldChar w:fldCharType="separate"/>
            </w:r>
            <w:r w:rsidRPr="009D5B83">
              <w:rPr>
                <w:sz w:val="20"/>
                <w:szCs w:val="20"/>
              </w:rPr>
              <w:t>-767,4</w:t>
            </w:r>
            <w:r w:rsidRPr="009D5B83">
              <w:rPr>
                <w:sz w:val="20"/>
                <w:szCs w:val="20"/>
              </w:rP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767C7343" w14:textId="77777777" w:rsidR="001539F7" w:rsidRPr="009D5B83" w:rsidRDefault="001539F7" w:rsidP="001539F7">
            <w:pPr>
              <w:widowControl w:val="0"/>
              <w:suppressAutoHyphens/>
              <w:jc w:val="center"/>
              <w:rPr>
                <w:sz w:val="20"/>
                <w:szCs w:val="20"/>
              </w:rPr>
            </w:pPr>
            <w:r w:rsidRPr="009D5B83">
              <w:fldChar w:fldCharType="begin"/>
            </w:r>
            <w:r w:rsidRPr="009D5B83">
              <w:rPr>
                <w:sz w:val="20"/>
                <w:szCs w:val="20"/>
              </w:rPr>
              <w:instrText xml:space="preserve"> =C2-C5-C6-C7</w:instrText>
            </w:r>
            <w:r w:rsidRPr="009D5B83">
              <w:rPr>
                <w:sz w:val="20"/>
                <w:szCs w:val="20"/>
              </w:rPr>
              <w:fldChar w:fldCharType="separate"/>
            </w:r>
            <w:r w:rsidRPr="009D5B83">
              <w:rPr>
                <w:sz w:val="20"/>
                <w:szCs w:val="20"/>
              </w:rPr>
              <w:t>-1 576,6</w:t>
            </w:r>
            <w:r w:rsidRPr="009D5B83">
              <w:rPr>
                <w:sz w:val="20"/>
                <w:szCs w:val="20"/>
              </w:rPr>
              <w:fldChar w:fldCharType="end"/>
            </w:r>
          </w:p>
        </w:tc>
        <w:tc>
          <w:tcPr>
            <w:tcW w:w="1628" w:type="dxa"/>
            <w:tcBorders>
              <w:top w:val="single" w:sz="4" w:space="0" w:color="000000"/>
              <w:left w:val="single" w:sz="4" w:space="0" w:color="000000"/>
              <w:bottom w:val="single" w:sz="4" w:space="0" w:color="000000"/>
              <w:right w:val="single" w:sz="4" w:space="0" w:color="000000"/>
            </w:tcBorders>
          </w:tcPr>
          <w:p w14:paraId="1F5EB97E" w14:textId="77777777" w:rsidR="001539F7" w:rsidRPr="009D5B83" w:rsidRDefault="001539F7" w:rsidP="001539F7">
            <w:pPr>
              <w:widowControl w:val="0"/>
              <w:suppressAutoHyphens/>
              <w:jc w:val="center"/>
              <w:rPr>
                <w:sz w:val="20"/>
                <w:szCs w:val="20"/>
              </w:rPr>
            </w:pPr>
            <w:r w:rsidRPr="009D5B83">
              <w:fldChar w:fldCharType="begin"/>
            </w:r>
            <w:r w:rsidRPr="009D5B83">
              <w:rPr>
                <w:sz w:val="20"/>
                <w:szCs w:val="20"/>
              </w:rPr>
              <w:instrText xml:space="preserve"> =D2-D5-D6-D7</w:instrText>
            </w:r>
            <w:r w:rsidRPr="009D5B83">
              <w:rPr>
                <w:sz w:val="20"/>
                <w:szCs w:val="20"/>
              </w:rPr>
              <w:fldChar w:fldCharType="separate"/>
            </w:r>
            <w:r w:rsidRPr="009D5B83">
              <w:rPr>
                <w:sz w:val="20"/>
                <w:szCs w:val="20"/>
              </w:rPr>
              <w:t>-1 100,8</w:t>
            </w:r>
            <w:r w:rsidRPr="009D5B83">
              <w:rPr>
                <w:sz w:val="20"/>
                <w:szCs w:val="20"/>
              </w:rP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0FFEDCD6" w14:textId="77777777" w:rsidR="001539F7" w:rsidRPr="009D5B83" w:rsidRDefault="001539F7" w:rsidP="001539F7">
            <w:pPr>
              <w:widowControl w:val="0"/>
              <w:suppressAutoHyphens/>
              <w:jc w:val="center"/>
              <w:rPr>
                <w:sz w:val="20"/>
                <w:szCs w:val="20"/>
              </w:rPr>
            </w:pPr>
            <w:r w:rsidRPr="009D5B83">
              <w:fldChar w:fldCharType="begin"/>
            </w:r>
            <w:r w:rsidRPr="009D5B83">
              <w:rPr>
                <w:sz w:val="20"/>
                <w:szCs w:val="20"/>
              </w:rPr>
              <w:instrText xml:space="preserve"> =E2-E5-E6-E7</w:instrText>
            </w:r>
            <w:r w:rsidRPr="009D5B83">
              <w:rPr>
                <w:sz w:val="20"/>
                <w:szCs w:val="20"/>
              </w:rPr>
              <w:fldChar w:fldCharType="separate"/>
            </w:r>
            <w:r w:rsidRPr="009D5B83">
              <w:rPr>
                <w:sz w:val="20"/>
                <w:szCs w:val="20"/>
              </w:rPr>
              <w:t>-671,8</w:t>
            </w:r>
            <w:r w:rsidRPr="009D5B83">
              <w:rPr>
                <w:sz w:val="20"/>
                <w:szCs w:val="20"/>
              </w:rPr>
              <w:fldChar w:fldCharType="end"/>
            </w:r>
          </w:p>
        </w:tc>
      </w:tr>
    </w:tbl>
    <w:p w14:paraId="7A292E01" w14:textId="77777777" w:rsidR="001539F7" w:rsidRPr="009D5B83" w:rsidRDefault="001539F7" w:rsidP="001539F7">
      <w:pPr>
        <w:keepLines/>
        <w:suppressAutoHyphens/>
        <w:spacing w:after="120"/>
        <w:ind w:firstLine="708"/>
        <w:jc w:val="both"/>
      </w:pPr>
      <w:r w:rsidRPr="009D5B83">
        <w:rPr>
          <w:i/>
          <w:color w:val="000000"/>
          <w:sz w:val="20"/>
        </w:rPr>
        <w:t>Источник:</w:t>
      </w:r>
      <w:r w:rsidRPr="009D5B83">
        <w:rPr>
          <w:color w:val="000000"/>
          <w:sz w:val="20"/>
        </w:rPr>
        <w:t xml:space="preserve"> Пояснительная записка, расчеты авторов.</w:t>
      </w:r>
    </w:p>
    <w:p w14:paraId="18D6E124" w14:textId="5BC224DB" w:rsidR="001539F7" w:rsidRPr="00E103B9" w:rsidRDefault="001539F7" w:rsidP="001539F7">
      <w:pPr>
        <w:suppressAutoHyphens/>
        <w:spacing w:after="60"/>
        <w:ind w:firstLine="709"/>
        <w:jc w:val="both"/>
        <w:rPr>
          <w:sz w:val="28"/>
        </w:rPr>
      </w:pPr>
      <w:r w:rsidRPr="00E103B9">
        <w:rPr>
          <w:sz w:val="28"/>
        </w:rPr>
        <w:t xml:space="preserve">При этом объем государственного долга хотя и возрастет с 16,0% ВВП в 2022 г. до 17,5% ВВП в 2025 г., остается на безопасном уровне как по размеру, так и </w:t>
      </w:r>
      <w:proofErr w:type="gramStart"/>
      <w:r w:rsidRPr="00E103B9">
        <w:rPr>
          <w:sz w:val="28"/>
        </w:rPr>
        <w:t>структуре</w:t>
      </w:r>
      <w:proofErr w:type="gramEnd"/>
      <w:r w:rsidRPr="00E103B9">
        <w:rPr>
          <w:sz w:val="28"/>
        </w:rPr>
        <w:t xml:space="preserve"> в том числе благодаря низкой доле внешнего долга, которая продолжит сокращаться – с 19,3% до 16,5% соответственно.</w:t>
      </w:r>
    </w:p>
    <w:p w14:paraId="0687D076" w14:textId="5F4E27FB" w:rsidR="001539F7" w:rsidRPr="00E103B9" w:rsidRDefault="001539F7" w:rsidP="001539F7">
      <w:pPr>
        <w:suppressAutoHyphens/>
        <w:spacing w:after="60"/>
        <w:ind w:firstLine="709"/>
        <w:jc w:val="both"/>
        <w:rPr>
          <w:sz w:val="28"/>
        </w:rPr>
      </w:pPr>
      <w:r w:rsidRPr="00E103B9">
        <w:rPr>
          <w:color w:val="111111"/>
          <w:sz w:val="28"/>
        </w:rPr>
        <w:t xml:space="preserve">Средства ФНБ планируется активно использовать для погашения дефицита бюджета в 2023-2024 гг. в объеме 2,9 и 1,3 </w:t>
      </w:r>
      <w:proofErr w:type="gramStart"/>
      <w:r w:rsidRPr="00E103B9">
        <w:rPr>
          <w:color w:val="111111"/>
          <w:sz w:val="28"/>
        </w:rPr>
        <w:t>трлн</w:t>
      </w:r>
      <w:proofErr w:type="gramEnd"/>
      <w:r w:rsidRPr="00E103B9">
        <w:rPr>
          <w:color w:val="111111"/>
          <w:sz w:val="28"/>
        </w:rPr>
        <w:t xml:space="preserve"> руб. соответственно. В 2023 г. пополнение средств </w:t>
      </w:r>
      <w:r w:rsidR="00AF2049" w:rsidRPr="00E103B9">
        <w:rPr>
          <w:color w:val="111111"/>
          <w:sz w:val="28"/>
        </w:rPr>
        <w:t>ФНБ</w:t>
      </w:r>
      <w:r w:rsidRPr="00E103B9">
        <w:rPr>
          <w:color w:val="111111"/>
          <w:sz w:val="28"/>
        </w:rPr>
        <w:t xml:space="preserve"> за счет дополнительных нефтегазовых доходов предыдущего года не планируется; в 2024-2025 гг. предполагается перечислить дополнительные нефтегазовые доходы в полном объеме предыдущего года (</w:t>
      </w:r>
      <w:r w:rsidR="00AF2049" w:rsidRPr="00E103B9">
        <w:rPr>
          <w:i/>
          <w:iCs/>
          <w:color w:val="111111"/>
          <w:sz w:val="28"/>
        </w:rPr>
        <w:t>т</w:t>
      </w:r>
      <w:r w:rsidRPr="00E103B9">
        <w:rPr>
          <w:i/>
          <w:iCs/>
          <w:color w:val="111111"/>
          <w:sz w:val="28"/>
        </w:rPr>
        <w:t xml:space="preserve">аблица </w:t>
      </w:r>
      <w:r w:rsidR="00AF2049" w:rsidRPr="00E103B9">
        <w:rPr>
          <w:i/>
          <w:iCs/>
          <w:color w:val="111111"/>
          <w:sz w:val="28"/>
        </w:rPr>
        <w:t>2</w:t>
      </w:r>
      <w:r w:rsidRPr="00E103B9">
        <w:rPr>
          <w:color w:val="111111"/>
          <w:sz w:val="28"/>
        </w:rPr>
        <w:t xml:space="preserve">). Прогнозируемый объем остатков средств ФНБ на конец 2025 г. должен составить 6,6 </w:t>
      </w:r>
      <w:proofErr w:type="gramStart"/>
      <w:r w:rsidRPr="00E103B9">
        <w:rPr>
          <w:color w:val="111111"/>
          <w:sz w:val="28"/>
        </w:rPr>
        <w:t>трлн</w:t>
      </w:r>
      <w:proofErr w:type="gramEnd"/>
      <w:r w:rsidRPr="00E103B9">
        <w:rPr>
          <w:color w:val="111111"/>
          <w:sz w:val="28"/>
        </w:rPr>
        <w:t xml:space="preserve"> руб. (3,9% ВВП) против 9,0 трлн руб. (6,2% ВВП) на конец 2022 г.</w:t>
      </w:r>
    </w:p>
    <w:p w14:paraId="2355030E" w14:textId="77777777" w:rsidR="001539F7" w:rsidRPr="00E103B9" w:rsidRDefault="001539F7" w:rsidP="001539F7">
      <w:pPr>
        <w:suppressAutoHyphens/>
        <w:spacing w:after="60"/>
        <w:ind w:firstLine="709"/>
        <w:jc w:val="both"/>
        <w:rPr>
          <w:sz w:val="28"/>
        </w:rPr>
      </w:pPr>
      <w:proofErr w:type="gramStart"/>
      <w:r w:rsidRPr="00E103B9">
        <w:rPr>
          <w:sz w:val="28"/>
        </w:rPr>
        <w:t>В целом динамика основных параметров федерального бюджета, объемов заимствований и государственного долга свидетельствует о сохранении бюджетной устойчивости в предстоящий трехлетний период, однако при дальнейшем сжатии доходов (в отсутствии мер по увеличению налоговой нагрузки) бюджет может стать хронически дефицитным вне зависимости от стадии экономического цикла.</w:t>
      </w:r>
      <w:proofErr w:type="gramEnd"/>
    </w:p>
    <w:p w14:paraId="0F62EECE" w14:textId="77777777" w:rsidR="001539F7" w:rsidRPr="00E103B9" w:rsidRDefault="001539F7" w:rsidP="001539F7">
      <w:pPr>
        <w:suppressAutoHyphens/>
        <w:spacing w:after="60"/>
        <w:ind w:firstLine="709"/>
        <w:jc w:val="both"/>
        <w:rPr>
          <w:sz w:val="28"/>
        </w:rPr>
      </w:pPr>
    </w:p>
    <w:p w14:paraId="6448AC3B" w14:textId="77777777" w:rsidR="001539F7" w:rsidRPr="00E103B9" w:rsidRDefault="001539F7">
      <w:pPr>
        <w:rPr>
          <w:rFonts w:eastAsiaTheme="minorEastAsia"/>
          <w:sz w:val="28"/>
          <w:lang w:eastAsia="en-US"/>
        </w:rPr>
      </w:pPr>
      <w:r w:rsidRPr="00E103B9">
        <w:rPr>
          <w:rFonts w:eastAsiaTheme="minorEastAsia"/>
          <w:sz w:val="28"/>
          <w:lang w:eastAsia="en-US"/>
        </w:rPr>
        <w:br w:type="page"/>
      </w:r>
    </w:p>
    <w:p w14:paraId="42711149" w14:textId="7319CEC1" w:rsidR="006B103B" w:rsidRPr="00E103B9" w:rsidRDefault="006B103B" w:rsidP="00B70D0F">
      <w:pPr>
        <w:pStyle w:val="afc"/>
        <w:keepNext/>
        <w:numPr>
          <w:ilvl w:val="0"/>
          <w:numId w:val="19"/>
        </w:numPr>
        <w:spacing w:before="240" w:after="360"/>
        <w:jc w:val="center"/>
        <w:outlineLvl w:val="0"/>
        <w:rPr>
          <w:b/>
          <w:kern w:val="28"/>
          <w:sz w:val="32"/>
        </w:rPr>
      </w:pPr>
      <w:bookmarkStart w:id="4" w:name="_Toc116593929"/>
      <w:r w:rsidRPr="00E103B9">
        <w:rPr>
          <w:b/>
          <w:kern w:val="28"/>
          <w:sz w:val="32"/>
        </w:rPr>
        <w:lastRenderedPageBreak/>
        <w:t>Структура и динамика доходов бюджета</w:t>
      </w:r>
      <w:bookmarkEnd w:id="4"/>
      <w:r w:rsidRPr="00E103B9">
        <w:rPr>
          <w:b/>
          <w:kern w:val="28"/>
          <w:sz w:val="32"/>
        </w:rPr>
        <w:t xml:space="preserve"> </w:t>
      </w:r>
    </w:p>
    <w:p w14:paraId="7C0E679C" w14:textId="77777777" w:rsidR="006B103B" w:rsidRPr="00E103B9" w:rsidRDefault="006B103B" w:rsidP="006B103B">
      <w:pPr>
        <w:pStyle w:val="afc"/>
        <w:rPr>
          <w:b/>
          <w:kern w:val="28"/>
          <w:sz w:val="32"/>
        </w:rPr>
      </w:pPr>
    </w:p>
    <w:p w14:paraId="03375040" w14:textId="23810A6A" w:rsidR="006B103B" w:rsidRPr="00E103B9" w:rsidRDefault="006B103B" w:rsidP="006B103B">
      <w:pPr>
        <w:keepNext/>
        <w:spacing w:after="240"/>
        <w:jc w:val="center"/>
        <w:outlineLvl w:val="1"/>
        <w:rPr>
          <w:b/>
          <w:sz w:val="28"/>
          <w:szCs w:val="20"/>
        </w:rPr>
      </w:pPr>
      <w:bookmarkStart w:id="5" w:name="_Toc116593930"/>
      <w:r w:rsidRPr="00E103B9">
        <w:rPr>
          <w:b/>
          <w:sz w:val="28"/>
          <w:szCs w:val="20"/>
        </w:rPr>
        <w:t>3.1 Налоговые новации на 2023-2025 гг.</w:t>
      </w:r>
      <w:bookmarkEnd w:id="5"/>
    </w:p>
    <w:p w14:paraId="6A983B88" w14:textId="77777777" w:rsidR="002F7347" w:rsidRPr="00E103B9" w:rsidRDefault="002F7347" w:rsidP="00A35722">
      <w:pPr>
        <w:spacing w:after="60"/>
        <w:ind w:firstLine="709"/>
        <w:jc w:val="both"/>
        <w:rPr>
          <w:rFonts w:eastAsia="MS Mincho"/>
          <w:b/>
          <w:bCs/>
          <w:i/>
          <w:sz w:val="28"/>
          <w:szCs w:val="20"/>
          <w:lang w:eastAsia="ja-JP"/>
        </w:rPr>
      </w:pPr>
      <w:bookmarkStart w:id="6" w:name="_Toc84838241"/>
      <w:r w:rsidRPr="00E103B9">
        <w:rPr>
          <w:rFonts w:eastAsia="MS Mincho"/>
          <w:b/>
          <w:bCs/>
          <w:i/>
          <w:sz w:val="28"/>
          <w:szCs w:val="20"/>
          <w:lang w:eastAsia="ja-JP"/>
        </w:rPr>
        <w:t>Налогообложение сырьевого сектора</w:t>
      </w:r>
    </w:p>
    <w:p w14:paraId="6D30CF8F"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w:t>
      </w:r>
      <w:proofErr w:type="gramStart"/>
      <w:r w:rsidRPr="00E103B9">
        <w:rPr>
          <w:rFonts w:eastAsia="MS Mincho"/>
          <w:iCs/>
          <w:sz w:val="28"/>
          <w:szCs w:val="20"/>
          <w:lang w:eastAsia="ja-JP"/>
        </w:rPr>
        <w:t>Законопроекте</w:t>
      </w:r>
      <w:proofErr w:type="gramEnd"/>
      <w:r w:rsidRPr="00E103B9">
        <w:rPr>
          <w:rFonts w:eastAsia="MS Mincho"/>
          <w:iCs/>
          <w:sz w:val="28"/>
          <w:szCs w:val="20"/>
          <w:lang w:eastAsia="ja-JP"/>
        </w:rPr>
        <w:t xml:space="preserve"> предусмотрены следующие важные изменения, касающиеся налогообложения нефтегазового сектора:</w:t>
      </w:r>
    </w:p>
    <w:p w14:paraId="04978429" w14:textId="77777777" w:rsidR="002F7347" w:rsidRPr="00E103B9" w:rsidRDefault="002F7347" w:rsidP="00A35722">
      <w:pPr>
        <w:numPr>
          <w:ilvl w:val="1"/>
          <w:numId w:val="26"/>
        </w:numPr>
        <w:snapToGrid w:val="0"/>
        <w:spacing w:after="60"/>
        <w:ind w:left="0" w:firstLine="709"/>
        <w:jc w:val="both"/>
        <w:rPr>
          <w:rFonts w:eastAsia="MS Mincho"/>
          <w:iCs/>
          <w:sz w:val="28"/>
          <w:szCs w:val="20"/>
          <w:lang w:eastAsia="ja-JP"/>
        </w:rPr>
      </w:pPr>
      <w:r w:rsidRPr="00E103B9">
        <w:rPr>
          <w:rFonts w:eastAsia="MS Mincho"/>
          <w:iCs/>
          <w:sz w:val="28"/>
          <w:szCs w:val="20"/>
          <w:lang w:eastAsia="ja-JP"/>
        </w:rPr>
        <w:t xml:space="preserve">повышена ставка НДПИ на газ природный, что увеличит поступления в бюджет в 2023 г. на 30,6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(за 2023–2025 гг. доход составит 170,6 млрд руб.);</w:t>
      </w:r>
    </w:p>
    <w:p w14:paraId="43B5B8E4" w14:textId="77777777" w:rsidR="002F7347" w:rsidRPr="00E103B9" w:rsidRDefault="002F7347" w:rsidP="00A35722">
      <w:pPr>
        <w:numPr>
          <w:ilvl w:val="1"/>
          <w:numId w:val="26"/>
        </w:numPr>
        <w:snapToGrid w:val="0"/>
        <w:spacing w:after="60"/>
        <w:ind w:left="0" w:firstLine="709"/>
        <w:jc w:val="both"/>
        <w:rPr>
          <w:rFonts w:eastAsia="MS Mincho"/>
          <w:iCs/>
          <w:sz w:val="28"/>
          <w:szCs w:val="20"/>
          <w:lang w:eastAsia="ja-JP"/>
        </w:rPr>
      </w:pPr>
      <w:r w:rsidRPr="00E103B9">
        <w:rPr>
          <w:rFonts w:eastAsia="MS Mincho"/>
          <w:iCs/>
          <w:sz w:val="28"/>
          <w:szCs w:val="20"/>
          <w:lang w:eastAsia="ja-JP"/>
        </w:rPr>
        <w:t xml:space="preserve">повышена ставка НДПИ на нефть за счет введения повышающего коэффициента </w:t>
      </w:r>
      <w:proofErr w:type="spellStart"/>
      <w:r w:rsidRPr="00E103B9">
        <w:rPr>
          <w:rFonts w:eastAsia="MS Mincho"/>
          <w:iCs/>
          <w:sz w:val="28"/>
          <w:szCs w:val="20"/>
          <w:lang w:eastAsia="ja-JP"/>
        </w:rPr>
        <w:t>К</w:t>
      </w:r>
      <w:r w:rsidRPr="00E103B9">
        <w:rPr>
          <w:rFonts w:eastAsia="MS Mincho"/>
          <w:iCs/>
          <w:sz w:val="28"/>
          <w:szCs w:val="20"/>
          <w:vertAlign w:val="subscript"/>
          <w:lang w:eastAsia="ja-JP"/>
        </w:rPr>
        <w:t>нв</w:t>
      </w:r>
      <w:proofErr w:type="spellEnd"/>
      <w:r w:rsidRPr="00E103B9">
        <w:rPr>
          <w:rFonts w:eastAsia="MS Mincho"/>
          <w:iCs/>
          <w:sz w:val="28"/>
          <w:szCs w:val="20"/>
          <w:lang w:eastAsia="ja-JP"/>
        </w:rPr>
        <w:t xml:space="preserve"> (косвенно влияет на коэффициент особенности добычи нефти, используемый при расчете ставки НДПИ), что увеличит поступления в бюджет в 2023 г. на 234,6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w:t>
      </w:r>
    </w:p>
    <w:p w14:paraId="2D82CBCF" w14:textId="77777777" w:rsidR="002F7347" w:rsidRPr="00E103B9" w:rsidRDefault="002F7347" w:rsidP="00A35722">
      <w:pPr>
        <w:numPr>
          <w:ilvl w:val="1"/>
          <w:numId w:val="26"/>
        </w:numPr>
        <w:snapToGrid w:val="0"/>
        <w:spacing w:after="60"/>
        <w:ind w:left="0" w:firstLine="709"/>
        <w:jc w:val="both"/>
        <w:rPr>
          <w:rFonts w:eastAsia="MS Mincho"/>
          <w:iCs/>
          <w:sz w:val="28"/>
          <w:szCs w:val="20"/>
          <w:lang w:eastAsia="ja-JP"/>
        </w:rPr>
      </w:pPr>
      <w:r w:rsidRPr="00E103B9">
        <w:rPr>
          <w:rFonts w:eastAsia="MS Mincho"/>
          <w:iCs/>
          <w:sz w:val="28"/>
          <w:szCs w:val="20"/>
          <w:lang w:eastAsia="ja-JP"/>
        </w:rPr>
        <w:t>продлена корректировка демпфирующей компоненты акциза в отношении автомобильного бензина за счет учета в средней цене экспортной альтернативы (</w:t>
      </w:r>
      <w:proofErr w:type="spellStart"/>
      <w:r w:rsidRPr="00E103B9">
        <w:rPr>
          <w:rFonts w:eastAsia="MS Mincho"/>
          <w:iCs/>
          <w:sz w:val="28"/>
          <w:szCs w:val="20"/>
          <w:lang w:eastAsia="ja-JP"/>
        </w:rPr>
        <w:t>Цабэксп</w:t>
      </w:r>
      <w:proofErr w:type="spellEnd"/>
      <w:r w:rsidRPr="00E103B9">
        <w:rPr>
          <w:rFonts w:eastAsia="MS Mincho"/>
          <w:iCs/>
          <w:sz w:val="28"/>
          <w:szCs w:val="20"/>
          <w:lang w:eastAsia="ja-JP"/>
        </w:rPr>
        <w:t xml:space="preserve">) скидки на сорт нефти марки </w:t>
      </w:r>
      <w:proofErr w:type="spellStart"/>
      <w:r w:rsidRPr="00E103B9">
        <w:rPr>
          <w:rFonts w:eastAsia="MS Mincho"/>
          <w:iCs/>
          <w:sz w:val="28"/>
          <w:szCs w:val="20"/>
          <w:lang w:eastAsia="ja-JP"/>
        </w:rPr>
        <w:t>Urals</w:t>
      </w:r>
      <w:proofErr w:type="spellEnd"/>
      <w:r w:rsidRPr="00E103B9">
        <w:rPr>
          <w:rFonts w:eastAsia="MS Mincho"/>
          <w:iCs/>
          <w:sz w:val="28"/>
          <w:szCs w:val="20"/>
          <w:lang w:eastAsia="ja-JP"/>
        </w:rPr>
        <w:t xml:space="preserve"> к сорту нефти </w:t>
      </w:r>
      <w:proofErr w:type="spellStart"/>
      <w:r w:rsidRPr="00E103B9">
        <w:rPr>
          <w:rFonts w:eastAsia="MS Mincho"/>
          <w:iCs/>
          <w:sz w:val="28"/>
          <w:szCs w:val="20"/>
          <w:lang w:eastAsia="ja-JP"/>
        </w:rPr>
        <w:t>North</w:t>
      </w:r>
      <w:proofErr w:type="spellEnd"/>
      <w:r w:rsidRPr="00E103B9">
        <w:rPr>
          <w:rFonts w:eastAsia="MS Mincho"/>
          <w:iCs/>
          <w:sz w:val="28"/>
          <w:szCs w:val="20"/>
          <w:lang w:eastAsia="ja-JP"/>
        </w:rPr>
        <w:t xml:space="preserve"> </w:t>
      </w:r>
      <w:proofErr w:type="spellStart"/>
      <w:r w:rsidRPr="00E103B9">
        <w:rPr>
          <w:rFonts w:eastAsia="MS Mincho"/>
          <w:iCs/>
          <w:sz w:val="28"/>
          <w:szCs w:val="20"/>
          <w:lang w:eastAsia="ja-JP"/>
        </w:rPr>
        <w:t>Sea</w:t>
      </w:r>
      <w:proofErr w:type="spellEnd"/>
      <w:r w:rsidRPr="00E103B9">
        <w:rPr>
          <w:rFonts w:eastAsia="MS Mincho"/>
          <w:iCs/>
          <w:sz w:val="28"/>
          <w:szCs w:val="20"/>
          <w:lang w:eastAsia="ja-JP"/>
        </w:rPr>
        <w:t xml:space="preserve"> </w:t>
      </w:r>
      <w:proofErr w:type="spellStart"/>
      <w:r w:rsidRPr="00E103B9">
        <w:rPr>
          <w:rFonts w:eastAsia="MS Mincho"/>
          <w:iCs/>
          <w:sz w:val="28"/>
          <w:szCs w:val="20"/>
          <w:lang w:eastAsia="ja-JP"/>
        </w:rPr>
        <w:t>Dated</w:t>
      </w:r>
      <w:proofErr w:type="spellEnd"/>
      <w:r w:rsidRPr="00E103B9">
        <w:rPr>
          <w:rFonts w:eastAsia="MS Mincho"/>
          <w:iCs/>
          <w:sz w:val="28"/>
          <w:szCs w:val="20"/>
          <w:lang w:eastAsia="ja-JP"/>
        </w:rPr>
        <w:t xml:space="preserve">, что сократит бюджет на 87,1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в 2023 г. (за 2023-2025 гг. убыток составит 116,4 млрд руб.);</w:t>
      </w:r>
    </w:p>
    <w:p w14:paraId="0DD19AE5" w14:textId="77777777" w:rsidR="002F7347" w:rsidRPr="00E103B9" w:rsidRDefault="002F7347" w:rsidP="00A35722">
      <w:pPr>
        <w:numPr>
          <w:ilvl w:val="1"/>
          <w:numId w:val="26"/>
        </w:numPr>
        <w:snapToGrid w:val="0"/>
        <w:spacing w:after="60"/>
        <w:ind w:left="0" w:firstLine="709"/>
        <w:jc w:val="both"/>
        <w:rPr>
          <w:rFonts w:eastAsia="MS Mincho"/>
          <w:iCs/>
          <w:sz w:val="28"/>
          <w:szCs w:val="20"/>
          <w:lang w:eastAsia="ja-JP"/>
        </w:rPr>
      </w:pPr>
      <w:r w:rsidRPr="00E103B9">
        <w:rPr>
          <w:rFonts w:eastAsia="MS Mincho"/>
          <w:iCs/>
          <w:sz w:val="28"/>
          <w:szCs w:val="20"/>
          <w:lang w:eastAsia="ja-JP"/>
        </w:rPr>
        <w:t xml:space="preserve">введена дифференцированная ставка экспортной пошлины на природный газ: 30% по цене на газ ниже 300 $/м3 и 50% по цене на газ выше 300 $/м3, что увеличит бюджет в 2023 г. на 461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w:t>
      </w:r>
    </w:p>
    <w:p w14:paraId="3D2FFCBD" w14:textId="77777777" w:rsidR="002F7347" w:rsidRPr="00E103B9" w:rsidRDefault="002F7347" w:rsidP="00A35722">
      <w:pPr>
        <w:numPr>
          <w:ilvl w:val="1"/>
          <w:numId w:val="26"/>
        </w:numPr>
        <w:snapToGrid w:val="0"/>
        <w:spacing w:after="60"/>
        <w:ind w:left="0" w:firstLine="709"/>
        <w:jc w:val="both"/>
        <w:rPr>
          <w:rFonts w:eastAsia="MS Mincho"/>
          <w:iCs/>
          <w:sz w:val="28"/>
          <w:szCs w:val="20"/>
          <w:lang w:eastAsia="ja-JP"/>
        </w:rPr>
      </w:pPr>
      <w:r w:rsidRPr="00E103B9">
        <w:rPr>
          <w:rFonts w:eastAsia="MS Mincho"/>
          <w:iCs/>
          <w:sz w:val="28"/>
          <w:szCs w:val="20"/>
          <w:lang w:eastAsia="ja-JP"/>
        </w:rPr>
        <w:t xml:space="preserve">повышена налоговая ставка для организаций, производящих газ природный в сжиженном состоянии из газа природного в газообразном состоянии, что увеличит бюджет на 150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в 2023 г.</w:t>
      </w:r>
    </w:p>
    <w:p w14:paraId="74FFA551"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Также в Законопроекте предусмотрены изменения, касающиеся других сырьевых отраслей:</w:t>
      </w:r>
    </w:p>
    <w:p w14:paraId="0E75F948" w14:textId="77777777" w:rsidR="002F7347" w:rsidRPr="00E103B9" w:rsidRDefault="002F7347" w:rsidP="00A35722">
      <w:pPr>
        <w:numPr>
          <w:ilvl w:val="0"/>
          <w:numId w:val="28"/>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увеличена ставка вывозной таможенной пошлины на уголь и удобрения, что увеличит бюджет на 135,6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по сравнению с 2022 г.;</w:t>
      </w:r>
    </w:p>
    <w:p w14:paraId="5EE90583" w14:textId="77777777" w:rsidR="002F7347" w:rsidRPr="00E103B9" w:rsidRDefault="002F7347" w:rsidP="00A35722">
      <w:pPr>
        <w:numPr>
          <w:ilvl w:val="0"/>
          <w:numId w:val="28"/>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увеличена ставка НДПИ на уголь (за исключением угля бурого) с 1 января по 31 марта 2023 года, что увеличит бюджет на 14,4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по сравнению с 2022 г.;</w:t>
      </w:r>
    </w:p>
    <w:p w14:paraId="2C8561EF" w14:textId="7DBA0CDD" w:rsidR="002F7347" w:rsidRPr="00E103B9" w:rsidRDefault="002F7347" w:rsidP="00A35722">
      <w:pPr>
        <w:numPr>
          <w:ilvl w:val="0"/>
          <w:numId w:val="28"/>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увеличена ставка НДПИ для щебня с 5,5% от стоимости добываемого сырья на 16,5 руб./т, что увеличит бюджет в 2023 г. на 1,2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по сравнению с 2022 г;</w:t>
      </w:r>
    </w:p>
    <w:p w14:paraId="140AE485" w14:textId="77777777" w:rsidR="002F7347" w:rsidRPr="00E103B9" w:rsidRDefault="002F7347" w:rsidP="00A35722">
      <w:pPr>
        <w:numPr>
          <w:ilvl w:val="0"/>
          <w:numId w:val="28"/>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введен налоговый вычет по НДПИ на многокомпонентную комплексную руду, содержащую молибден и медь, на некоторых участках недр, что сократит бюджет на 415 </w:t>
      </w:r>
      <w:proofErr w:type="gramStart"/>
      <w:r w:rsidRPr="00E103B9">
        <w:rPr>
          <w:rFonts w:eastAsia="MS Mincho"/>
          <w:iCs/>
          <w:sz w:val="28"/>
          <w:szCs w:val="20"/>
          <w:lang w:eastAsia="ja-JP"/>
        </w:rPr>
        <w:t>млн</w:t>
      </w:r>
      <w:proofErr w:type="gramEnd"/>
      <w:r w:rsidRPr="00E103B9">
        <w:rPr>
          <w:rFonts w:eastAsia="MS Mincho"/>
          <w:iCs/>
          <w:sz w:val="28"/>
          <w:szCs w:val="20"/>
          <w:lang w:eastAsia="ja-JP"/>
        </w:rPr>
        <w:t xml:space="preserve"> руб. в 2023 г. по сравнению с 2022 г.</w:t>
      </w:r>
    </w:p>
    <w:p w14:paraId="00ED7BDE"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Запланированный рост налогообложения в нефтяной, </w:t>
      </w:r>
      <w:proofErr w:type="gramStart"/>
      <w:r w:rsidRPr="00E103B9">
        <w:rPr>
          <w:rFonts w:eastAsia="MS Mincho"/>
          <w:iCs/>
          <w:sz w:val="28"/>
          <w:szCs w:val="20"/>
          <w:lang w:eastAsia="ja-JP"/>
        </w:rPr>
        <w:t>газовой</w:t>
      </w:r>
      <w:proofErr w:type="gramEnd"/>
      <w:r w:rsidRPr="00E103B9">
        <w:rPr>
          <w:rFonts w:eastAsia="MS Mincho"/>
          <w:iCs/>
          <w:sz w:val="28"/>
          <w:szCs w:val="20"/>
          <w:lang w:eastAsia="ja-JP"/>
        </w:rPr>
        <w:t xml:space="preserve"> и угольной отраслях в 2023–2025 гг. может столкнуться с рядом потенциальных проблем:</w:t>
      </w:r>
    </w:p>
    <w:p w14:paraId="31B593F2" w14:textId="3060E929" w:rsidR="002F7347" w:rsidRPr="00E103B9" w:rsidRDefault="002F7347" w:rsidP="00632B25">
      <w:pPr>
        <w:numPr>
          <w:ilvl w:val="0"/>
          <w:numId w:val="69"/>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Сверхдоходы, которые Правительство </w:t>
      </w:r>
      <w:r w:rsidR="00632B25" w:rsidRPr="00E103B9">
        <w:rPr>
          <w:rFonts w:eastAsia="MS Mincho"/>
          <w:iCs/>
          <w:sz w:val="28"/>
          <w:szCs w:val="20"/>
          <w:lang w:eastAsia="ja-JP"/>
        </w:rPr>
        <w:t>РФ</w:t>
      </w:r>
      <w:r w:rsidRPr="00E103B9">
        <w:rPr>
          <w:rFonts w:eastAsia="MS Mincho"/>
          <w:iCs/>
          <w:sz w:val="28"/>
          <w:szCs w:val="20"/>
          <w:lang w:eastAsia="ja-JP"/>
        </w:rPr>
        <w:t xml:space="preserve"> планирует изъять путем повышения НДПИ, были получены по итогам 2022 г. Однако в 2023 г. будет </w:t>
      </w:r>
      <w:r w:rsidRPr="00E103B9">
        <w:rPr>
          <w:rFonts w:eastAsia="MS Mincho"/>
          <w:iCs/>
          <w:sz w:val="28"/>
          <w:szCs w:val="20"/>
          <w:lang w:eastAsia="ja-JP"/>
        </w:rPr>
        <w:lastRenderedPageBreak/>
        <w:t>реализован отложенный эффект от введенных санкций против России, что может создать трудности по выплатам повышенных налогов в рассматриваемый период.</w:t>
      </w:r>
    </w:p>
    <w:p w14:paraId="1DF96968" w14:textId="77777777" w:rsidR="002F7347" w:rsidRPr="00E103B9" w:rsidRDefault="002F7347" w:rsidP="00632B25">
      <w:pPr>
        <w:numPr>
          <w:ilvl w:val="0"/>
          <w:numId w:val="69"/>
        </w:numPr>
        <w:spacing w:after="60"/>
        <w:ind w:left="0" w:firstLine="709"/>
        <w:jc w:val="both"/>
        <w:rPr>
          <w:rFonts w:eastAsia="MS Mincho"/>
          <w:iCs/>
          <w:sz w:val="28"/>
          <w:szCs w:val="20"/>
          <w:lang w:eastAsia="ja-JP"/>
        </w:rPr>
      </w:pPr>
      <w:r w:rsidRPr="00E103B9">
        <w:rPr>
          <w:rFonts w:eastAsia="MS Mincho"/>
          <w:iCs/>
          <w:sz w:val="28"/>
          <w:szCs w:val="20"/>
          <w:lang w:eastAsia="ja-JP"/>
        </w:rPr>
        <w:t>Рост НДПИ закладывается в цены ресурсов, которые являются сырьем для промышленных отраслей. Рост затрат будет увеличивать стоимость производимой продукции и соответственно инфляцию.</w:t>
      </w:r>
    </w:p>
    <w:p w14:paraId="044D8C7F" w14:textId="77777777" w:rsidR="002F7347" w:rsidRPr="00E103B9" w:rsidRDefault="002F7347" w:rsidP="00632B25">
      <w:pPr>
        <w:numPr>
          <w:ilvl w:val="0"/>
          <w:numId w:val="69"/>
        </w:numPr>
        <w:spacing w:after="60"/>
        <w:ind w:left="0" w:firstLine="709"/>
        <w:jc w:val="both"/>
        <w:rPr>
          <w:rFonts w:eastAsia="MS Mincho"/>
          <w:iCs/>
          <w:sz w:val="28"/>
          <w:szCs w:val="20"/>
          <w:lang w:eastAsia="ja-JP"/>
        </w:rPr>
      </w:pPr>
      <w:r w:rsidRPr="00E103B9">
        <w:rPr>
          <w:rFonts w:eastAsia="MS Mincho"/>
          <w:iCs/>
          <w:sz w:val="28"/>
          <w:szCs w:val="20"/>
          <w:lang w:eastAsia="ja-JP"/>
        </w:rPr>
        <w:t>Изъятие дополнительных доходов через повышение НДПИ и экспортной пошлины на газ ставит под вопрос выплаты дивидендов в 2023 г., а также направление инвестиций в новые проекты развития, в частности развитие инфраструктуры транспортировки СПГ для диверсификации направлений экспортных потоков газовой отрасли в условиях санкций.</w:t>
      </w:r>
    </w:p>
    <w:p w14:paraId="2E138778" w14:textId="77777777" w:rsidR="002F7347" w:rsidRPr="00E103B9" w:rsidRDefault="002F7347" w:rsidP="00632B25">
      <w:pPr>
        <w:numPr>
          <w:ilvl w:val="0"/>
          <w:numId w:val="69"/>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Для производителей СПГ одним из основных драйверов развития являются льготы, рост цен на газ за счет повышения налогообложения может поставить под вопрос реализацию заложенных в государственную энергетическую стратегию вызовов: к концу 2035 г. производить 80–140 </w:t>
      </w:r>
      <w:proofErr w:type="gramStart"/>
      <w:r w:rsidRPr="00E103B9">
        <w:rPr>
          <w:rFonts w:eastAsia="MS Mincho"/>
          <w:iCs/>
          <w:sz w:val="28"/>
          <w:szCs w:val="20"/>
          <w:lang w:eastAsia="ja-JP"/>
        </w:rPr>
        <w:t>млн</w:t>
      </w:r>
      <w:proofErr w:type="gramEnd"/>
      <w:r w:rsidRPr="00E103B9">
        <w:rPr>
          <w:rFonts w:eastAsia="MS Mincho"/>
          <w:iCs/>
          <w:sz w:val="28"/>
          <w:szCs w:val="20"/>
          <w:lang w:eastAsia="ja-JP"/>
        </w:rPr>
        <w:t xml:space="preserve"> т СПГ</w:t>
      </w:r>
      <w:r w:rsidRPr="00E103B9">
        <w:rPr>
          <w:rFonts w:eastAsia="MS Mincho"/>
          <w:iCs/>
          <w:sz w:val="28"/>
          <w:szCs w:val="20"/>
          <w:vertAlign w:val="superscript"/>
          <w:lang w:eastAsia="ja-JP"/>
        </w:rPr>
        <w:footnoteReference w:id="4"/>
      </w:r>
      <w:r w:rsidRPr="00E103B9">
        <w:rPr>
          <w:rFonts w:eastAsia="MS Mincho"/>
          <w:iCs/>
          <w:sz w:val="28"/>
          <w:szCs w:val="20"/>
          <w:lang w:eastAsia="ja-JP"/>
        </w:rPr>
        <w:t>.</w:t>
      </w:r>
    </w:p>
    <w:p w14:paraId="3E40BF94" w14:textId="4AA7DE1B" w:rsidR="002F7347" w:rsidRPr="00E103B9" w:rsidRDefault="002F7347" w:rsidP="00632B25">
      <w:pPr>
        <w:numPr>
          <w:ilvl w:val="0"/>
          <w:numId w:val="69"/>
        </w:numPr>
        <w:spacing w:after="60"/>
        <w:ind w:left="0" w:firstLine="709"/>
        <w:jc w:val="both"/>
        <w:rPr>
          <w:rFonts w:eastAsia="MS Mincho"/>
          <w:iCs/>
          <w:sz w:val="28"/>
          <w:szCs w:val="20"/>
          <w:lang w:eastAsia="ja-JP"/>
        </w:rPr>
      </w:pPr>
      <w:r w:rsidRPr="00E103B9">
        <w:rPr>
          <w:rFonts w:eastAsia="MS Mincho"/>
          <w:iCs/>
          <w:sz w:val="28"/>
          <w:szCs w:val="20"/>
          <w:lang w:eastAsia="ja-JP"/>
        </w:rPr>
        <w:t>Субсидировани</w:t>
      </w:r>
      <w:r w:rsidR="00DF6ED1" w:rsidRPr="00E103B9">
        <w:rPr>
          <w:rFonts w:eastAsia="MS Mincho"/>
          <w:iCs/>
          <w:sz w:val="28"/>
          <w:szCs w:val="20"/>
          <w:lang w:eastAsia="ja-JP"/>
        </w:rPr>
        <w:t>е</w:t>
      </w:r>
      <w:r w:rsidRPr="00E103B9">
        <w:rPr>
          <w:rFonts w:eastAsia="MS Mincho"/>
          <w:iCs/>
          <w:sz w:val="28"/>
          <w:szCs w:val="20"/>
          <w:lang w:eastAsia="ja-JP"/>
        </w:rPr>
        <w:t xml:space="preserve"> нефтеперерабатывающей отрасли через механизм обратного акциза на нефтяное сырье в текущих условиях имеет недостатки: во-первых, значительная доля производителей является </w:t>
      </w:r>
      <w:r w:rsidR="00DF6ED1" w:rsidRPr="00E103B9">
        <w:rPr>
          <w:rFonts w:eastAsia="MS Mincho"/>
          <w:iCs/>
          <w:sz w:val="28"/>
          <w:szCs w:val="20"/>
          <w:lang w:eastAsia="ja-JP"/>
        </w:rPr>
        <w:t>вертикально-интегрированными нефтяными компаниями (ВИНК)</w:t>
      </w:r>
      <w:r w:rsidR="004C7714" w:rsidRPr="00E103B9">
        <w:rPr>
          <w:rFonts w:eastAsia="MS Mincho"/>
          <w:iCs/>
          <w:sz w:val="28"/>
          <w:szCs w:val="20"/>
          <w:lang w:eastAsia="ja-JP"/>
        </w:rPr>
        <w:t>, имеющими собственные месторождения</w:t>
      </w:r>
      <w:r w:rsidRPr="00E103B9">
        <w:rPr>
          <w:rFonts w:eastAsia="MS Mincho"/>
          <w:iCs/>
          <w:sz w:val="28"/>
          <w:szCs w:val="20"/>
          <w:lang w:eastAsia="ja-JP"/>
        </w:rPr>
        <w:t xml:space="preserve">, </w:t>
      </w:r>
      <w:proofErr w:type="gramStart"/>
      <w:r w:rsidRPr="00E103B9">
        <w:rPr>
          <w:rFonts w:eastAsia="MS Mincho"/>
          <w:iCs/>
          <w:sz w:val="28"/>
          <w:szCs w:val="20"/>
          <w:lang w:eastAsia="ja-JP"/>
        </w:rPr>
        <w:t>т.е. оказываются</w:t>
      </w:r>
      <w:proofErr w:type="gramEnd"/>
      <w:r w:rsidRPr="00E103B9">
        <w:rPr>
          <w:rFonts w:eastAsia="MS Mincho"/>
          <w:iCs/>
          <w:sz w:val="28"/>
          <w:szCs w:val="20"/>
          <w:lang w:eastAsia="ja-JP"/>
        </w:rPr>
        <w:t xml:space="preserve"> под влиянием увеличения издержек добычи за счет роста ставки НДПИ на нефть, а также имеют возможность получить субсидию на производство нефтепродуктов; во-вторых, отсутствует период окончания субсидирования, что снижает стимулы модернизировать производство. Целесообразно в данном случае не повышать налоговую нагрузку, а сократить субсидирование неэффективной нефтепереработки.</w:t>
      </w:r>
    </w:p>
    <w:p w14:paraId="55025CB4" w14:textId="77777777" w:rsidR="002F7347" w:rsidRPr="00E103B9" w:rsidRDefault="002F7347" w:rsidP="00632B25">
      <w:pPr>
        <w:numPr>
          <w:ilvl w:val="0"/>
          <w:numId w:val="69"/>
        </w:numPr>
        <w:spacing w:after="60"/>
        <w:ind w:left="0" w:firstLine="709"/>
        <w:jc w:val="both"/>
        <w:rPr>
          <w:rFonts w:eastAsia="MS Mincho"/>
          <w:iCs/>
          <w:sz w:val="28"/>
          <w:szCs w:val="20"/>
          <w:lang w:eastAsia="ja-JP"/>
        </w:rPr>
      </w:pPr>
      <w:bookmarkStart w:id="7" w:name="_Hlk116031252"/>
      <w:proofErr w:type="gramStart"/>
      <w:r w:rsidRPr="00E103B9">
        <w:rPr>
          <w:rFonts w:eastAsia="MS Mincho"/>
          <w:iCs/>
          <w:sz w:val="28"/>
          <w:szCs w:val="20"/>
          <w:lang w:eastAsia="ja-JP"/>
        </w:rPr>
        <w:t xml:space="preserve">Рост налогообложения для угольной отрасли может усугубить </w:t>
      </w:r>
      <w:bookmarkEnd w:id="7"/>
      <w:r w:rsidRPr="00E103B9">
        <w:rPr>
          <w:rFonts w:eastAsia="MS Mincho"/>
          <w:iCs/>
          <w:sz w:val="28"/>
          <w:szCs w:val="20"/>
          <w:lang w:eastAsia="ja-JP"/>
        </w:rPr>
        <w:t>проблему перекрестного субсидирования грузовых перевозок железнодорожным видом транспорта</w:t>
      </w:r>
      <w:r w:rsidRPr="00E103B9">
        <w:rPr>
          <w:rFonts w:eastAsia="MS Mincho"/>
          <w:iCs/>
          <w:sz w:val="28"/>
          <w:szCs w:val="20"/>
          <w:vertAlign w:val="superscript"/>
          <w:lang w:eastAsia="ja-JP"/>
        </w:rPr>
        <w:footnoteReference w:id="5"/>
      </w:r>
      <w:r w:rsidRPr="00E103B9">
        <w:rPr>
          <w:rFonts w:eastAsia="MS Mincho"/>
          <w:iCs/>
          <w:sz w:val="28"/>
          <w:szCs w:val="20"/>
          <w:lang w:eastAsia="ja-JP"/>
        </w:rPr>
        <w:t>, в случае если рост НДПИ будет продлен на весь рассматриваемый период, а не только на 2023 г. Целесообразно было бы сохранить условия налогообложения на текущем уровне для развития экспортных поставок на развивающиеся рынки, доля которых в потреблении угля составляет 80% (страны АТР, Ближний Восток, Африка</w:t>
      </w:r>
      <w:proofErr w:type="gramEnd"/>
      <w:r w:rsidRPr="00E103B9">
        <w:rPr>
          <w:rFonts w:eastAsia="MS Mincho"/>
          <w:iCs/>
          <w:sz w:val="28"/>
          <w:szCs w:val="20"/>
          <w:lang w:eastAsia="ja-JP"/>
        </w:rPr>
        <w:t xml:space="preserve">, </w:t>
      </w:r>
      <w:proofErr w:type="gramStart"/>
      <w:r w:rsidRPr="00E103B9">
        <w:rPr>
          <w:rFonts w:eastAsia="MS Mincho"/>
          <w:iCs/>
          <w:sz w:val="28"/>
          <w:szCs w:val="20"/>
          <w:lang w:eastAsia="ja-JP"/>
        </w:rPr>
        <w:t>Индия)</w:t>
      </w:r>
      <w:r w:rsidRPr="00E103B9">
        <w:rPr>
          <w:rFonts w:eastAsia="MS Mincho"/>
          <w:iCs/>
          <w:sz w:val="28"/>
          <w:szCs w:val="20"/>
          <w:vertAlign w:val="superscript"/>
          <w:lang w:eastAsia="ja-JP"/>
        </w:rPr>
        <w:footnoteReference w:id="6"/>
      </w:r>
      <w:r w:rsidRPr="00E103B9">
        <w:rPr>
          <w:rFonts w:eastAsia="MS Mincho"/>
          <w:iCs/>
          <w:sz w:val="28"/>
          <w:szCs w:val="20"/>
          <w:lang w:eastAsia="ja-JP"/>
        </w:rPr>
        <w:t xml:space="preserve">. В краткосрочной перспективе представляется целесообразным сохранение перекрестного субсидирования между высокодоходными и низкодоходными грузами при </w:t>
      </w:r>
      <w:proofErr w:type="spellStart"/>
      <w:r w:rsidRPr="00E103B9">
        <w:rPr>
          <w:rFonts w:eastAsia="MS Mincho"/>
          <w:iCs/>
          <w:sz w:val="28"/>
          <w:szCs w:val="20"/>
          <w:lang w:eastAsia="ja-JP"/>
        </w:rPr>
        <w:t>тарифообразовании</w:t>
      </w:r>
      <w:proofErr w:type="spellEnd"/>
      <w:r w:rsidRPr="00E103B9">
        <w:rPr>
          <w:rFonts w:eastAsia="MS Mincho"/>
          <w:iCs/>
          <w:sz w:val="28"/>
          <w:szCs w:val="20"/>
          <w:lang w:eastAsia="ja-JP"/>
        </w:rPr>
        <w:t xml:space="preserve"> на грузовых перевозках РЖД, так как это обеспечивает конкурентное преимущество в стоимости российских углей на мировом рынке</w:t>
      </w:r>
      <w:r w:rsidRPr="00E103B9">
        <w:rPr>
          <w:rFonts w:eastAsia="MS Mincho"/>
          <w:iCs/>
          <w:sz w:val="28"/>
          <w:szCs w:val="20"/>
          <w:vertAlign w:val="superscript"/>
          <w:lang w:eastAsia="ja-JP"/>
        </w:rPr>
        <w:footnoteReference w:id="7"/>
      </w:r>
      <w:r w:rsidRPr="00E103B9">
        <w:rPr>
          <w:rFonts w:eastAsia="MS Mincho"/>
          <w:iCs/>
          <w:sz w:val="28"/>
          <w:szCs w:val="20"/>
          <w:lang w:eastAsia="ja-JP"/>
        </w:rPr>
        <w:t xml:space="preserve">, а также позволяет окупить </w:t>
      </w:r>
      <w:r w:rsidRPr="00E103B9">
        <w:rPr>
          <w:rFonts w:eastAsia="MS Mincho"/>
          <w:iCs/>
          <w:sz w:val="28"/>
          <w:szCs w:val="20"/>
          <w:lang w:eastAsia="ja-JP"/>
        </w:rPr>
        <w:lastRenderedPageBreak/>
        <w:t>проекты по развитию транспортной инфраструктуры (показатель окупаемости зависит от объемов перевозок, которые в свою очередь зависят от тарифа).</w:t>
      </w:r>
      <w:proofErr w:type="gramEnd"/>
      <w:r w:rsidRPr="00E103B9">
        <w:rPr>
          <w:rFonts w:eastAsia="MS Mincho"/>
          <w:iCs/>
          <w:sz w:val="28"/>
          <w:szCs w:val="20"/>
          <w:lang w:eastAsia="ja-JP"/>
        </w:rPr>
        <w:t xml:space="preserve"> Однако, в среднесрочной перспективе необходимо пересмотреть систему формирования тарифов РЖД и отменить перекрестное субсидирование, предложив механизм прямой субсидии на транспортировку угля (возможно, других товарных групп) железнодорожным видом транспорта из государственного бюджета, а не за счет производителей из других отраслей промышленности.</w:t>
      </w:r>
    </w:p>
    <w:p w14:paraId="56AB55EF" w14:textId="6F8D1C07" w:rsidR="002F7347" w:rsidRPr="00E103B9" w:rsidRDefault="002F7347" w:rsidP="00632B25">
      <w:pPr>
        <w:numPr>
          <w:ilvl w:val="0"/>
          <w:numId w:val="69"/>
        </w:numPr>
        <w:spacing w:after="60"/>
        <w:ind w:left="0" w:firstLine="709"/>
        <w:jc w:val="both"/>
        <w:rPr>
          <w:rFonts w:eastAsia="MS Mincho"/>
          <w:iCs/>
          <w:sz w:val="28"/>
          <w:szCs w:val="20"/>
          <w:lang w:eastAsia="ja-JP"/>
        </w:rPr>
      </w:pPr>
      <w:r w:rsidRPr="00E103B9">
        <w:rPr>
          <w:rFonts w:eastAsia="MS Mincho"/>
          <w:iCs/>
          <w:sz w:val="28"/>
          <w:szCs w:val="20"/>
          <w:lang w:eastAsia="ja-JP"/>
        </w:rPr>
        <w:t>Существенные отклонения инфляции от базового варианта Прогноза мо</w:t>
      </w:r>
      <w:r w:rsidR="00DF6ED1" w:rsidRPr="00E103B9">
        <w:rPr>
          <w:rFonts w:eastAsia="MS Mincho"/>
          <w:iCs/>
          <w:sz w:val="28"/>
          <w:szCs w:val="20"/>
          <w:lang w:eastAsia="ja-JP"/>
        </w:rPr>
        <w:t>гут</w:t>
      </w:r>
      <w:r w:rsidRPr="00E103B9">
        <w:rPr>
          <w:rFonts w:eastAsia="MS Mincho"/>
          <w:iCs/>
          <w:sz w:val="28"/>
          <w:szCs w:val="20"/>
          <w:lang w:eastAsia="ja-JP"/>
        </w:rPr>
        <w:t xml:space="preserve"> повлиять на пересмотр условных цен оптового рынка на моторное топливо, используемые при расчете демпфирующей компоненты акциза на нефтяное сырье, направленное на переработку.</w:t>
      </w:r>
    </w:p>
    <w:p w14:paraId="060C84EC"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Акцизы</w:t>
      </w:r>
    </w:p>
    <w:p w14:paraId="29541612"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К числу наиболее значимых налоговых новаций следует отнести введение акциза на сахаросодержащие напитки. Это предложение в свое время было выдвинуто Минздравом России с тем обоснованием, что новый акциз ограничит потребление данных напитков среди населения страны. </w:t>
      </w:r>
    </w:p>
    <w:p w14:paraId="19DF7D32"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w:t>
      </w:r>
      <w:proofErr w:type="gramStart"/>
      <w:r w:rsidRPr="00E103B9">
        <w:rPr>
          <w:rFonts w:eastAsia="MS Mincho"/>
          <w:iCs/>
          <w:sz w:val="28"/>
          <w:szCs w:val="20"/>
          <w:lang w:eastAsia="ja-JP"/>
        </w:rPr>
        <w:t>рамках</w:t>
      </w:r>
      <w:proofErr w:type="gramEnd"/>
      <w:r w:rsidRPr="00E103B9">
        <w:rPr>
          <w:rFonts w:eastAsia="MS Mincho"/>
          <w:iCs/>
          <w:sz w:val="28"/>
          <w:szCs w:val="20"/>
          <w:lang w:eastAsia="ja-JP"/>
        </w:rPr>
        <w:t xml:space="preserve"> планового периода 2023-2025 гг. его введение рассматривается в качестве планируемой к реализации меры на том основании, что собранные с помощью акциза средства пойдут на финансирование мероприятий по борьбе с таким заболеванием, как сахарный диабет. Вместе с тем, увеличение налоговой нагрузки на граждан в нынешних условиях нельзя признать рациональным решением, так как отрицательных последствий от акциза на газировку будет больше, чем положительных изменений для экономики и здоровья общества. Прежде </w:t>
      </w:r>
      <w:proofErr w:type="gramStart"/>
      <w:r w:rsidRPr="00E103B9">
        <w:rPr>
          <w:rFonts w:eastAsia="MS Mincho"/>
          <w:iCs/>
          <w:sz w:val="28"/>
          <w:szCs w:val="20"/>
          <w:lang w:eastAsia="ja-JP"/>
        </w:rPr>
        <w:t>всего</w:t>
      </w:r>
      <w:proofErr w:type="gramEnd"/>
      <w:r w:rsidRPr="00E103B9">
        <w:rPr>
          <w:rFonts w:eastAsia="MS Mincho"/>
          <w:iCs/>
          <w:sz w:val="28"/>
          <w:szCs w:val="20"/>
          <w:lang w:eastAsia="ja-JP"/>
        </w:rPr>
        <w:t xml:space="preserve"> вырастут цены на продукцию, ставшую подакцизной, что само по себе нежелательно ввиду высокой инфляции и невысоких доходов большинства населения, которые, по данным Росстата, в первом полугодии 2022</w:t>
      </w:r>
      <w:r w:rsidRPr="00E103B9">
        <w:rPr>
          <w:rFonts w:eastAsia="MS Mincho"/>
          <w:iCs/>
          <w:sz w:val="28"/>
          <w:szCs w:val="20"/>
          <w:lang w:val="en-US" w:eastAsia="ja-JP"/>
        </w:rPr>
        <w:t> </w:t>
      </w:r>
      <w:r w:rsidRPr="00E103B9">
        <w:rPr>
          <w:rFonts w:eastAsia="MS Mincho"/>
          <w:iCs/>
          <w:sz w:val="28"/>
          <w:szCs w:val="20"/>
          <w:lang w:eastAsia="ja-JP"/>
        </w:rPr>
        <w:t>г. снизились на 0,8% в сравнении с аналогичным периодом 2021 г.</w:t>
      </w:r>
      <w:r w:rsidRPr="00E103B9">
        <w:rPr>
          <w:rFonts w:eastAsia="MS Mincho"/>
          <w:iCs/>
          <w:sz w:val="28"/>
          <w:szCs w:val="20"/>
          <w:vertAlign w:val="superscript"/>
          <w:lang w:eastAsia="ja-JP"/>
        </w:rPr>
        <w:footnoteReference w:id="8"/>
      </w:r>
      <w:r w:rsidRPr="00E103B9">
        <w:rPr>
          <w:rFonts w:eastAsia="MS Mincho"/>
          <w:iCs/>
          <w:sz w:val="28"/>
          <w:szCs w:val="20"/>
          <w:lang w:eastAsia="ja-JP"/>
        </w:rPr>
        <w:t xml:space="preserve"> и продолжат снижение согласно Прогнозу. </w:t>
      </w:r>
    </w:p>
    <w:p w14:paraId="2DD293AC" w14:textId="137919BA"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Сокращение спроса как очевидная реакция населения на </w:t>
      </w:r>
      <w:r w:rsidR="00AC197F" w:rsidRPr="00E103B9">
        <w:rPr>
          <w:rFonts w:eastAsia="MS Mincho"/>
          <w:iCs/>
          <w:sz w:val="28"/>
          <w:szCs w:val="20"/>
          <w:lang w:eastAsia="ja-JP"/>
        </w:rPr>
        <w:t xml:space="preserve">повышение </w:t>
      </w:r>
      <w:r w:rsidRPr="00E103B9">
        <w:rPr>
          <w:rFonts w:eastAsia="MS Mincho"/>
          <w:iCs/>
          <w:sz w:val="28"/>
          <w:szCs w:val="20"/>
          <w:lang w:eastAsia="ja-JP"/>
        </w:rPr>
        <w:t xml:space="preserve">цен неизбежно приведет к некоторому снижению объемов производства или даже перемещению отдельных производителей в теневой сектор, что не только не принесет в бюджет дополнительных доходов, но и может негативно отразиться на суммах начислений НДС на фактически реализуемую продукцию. </w:t>
      </w:r>
    </w:p>
    <w:p w14:paraId="02780348" w14:textId="37DA0C64"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lastRenderedPageBreak/>
        <w:t xml:space="preserve">Более того, калорийные безалкогольные газированные напитки являются далеко не единственным видом сахаросодержащей продукции, потребление которой наносит вред здоровью граждан, а потому вполне возможно, что за введением самого акциза последует расширение облагаемой им продукции, к которой по критерию содержания сахара могут быть отнесены соки, нектары, конфеты, шоколад и прочие кондитерские изделия. Но такой вектор налоговой политики, увеличив потребительские цены, ограничит покупательную способность денежных доходов населения в части указанных благ. Более того, есть основание полагать, что данный акциз станет «акцизом на бедных», что противоречит одной из основных целей </w:t>
      </w:r>
      <w:r w:rsidR="00154B03" w:rsidRPr="00E103B9">
        <w:rPr>
          <w:rFonts w:eastAsia="MS Mincho"/>
          <w:iCs/>
          <w:sz w:val="28"/>
          <w:szCs w:val="20"/>
          <w:lang w:eastAsia="ja-JP"/>
        </w:rPr>
        <w:t xml:space="preserve">Основных направлений бюджетной, налоговой и таможенно-тарифной политики (далее – </w:t>
      </w:r>
      <w:r w:rsidRPr="00E103B9">
        <w:rPr>
          <w:rFonts w:eastAsia="MS Mincho"/>
          <w:iCs/>
          <w:sz w:val="28"/>
          <w:szCs w:val="20"/>
          <w:lang w:eastAsia="ja-JP"/>
        </w:rPr>
        <w:t>ОНБНТТП</w:t>
      </w:r>
      <w:r w:rsidR="00154B03" w:rsidRPr="00E103B9">
        <w:rPr>
          <w:rFonts w:eastAsia="MS Mincho"/>
          <w:iCs/>
          <w:sz w:val="28"/>
          <w:szCs w:val="20"/>
          <w:lang w:eastAsia="ja-JP"/>
        </w:rPr>
        <w:t>)</w:t>
      </w:r>
      <w:r w:rsidRPr="00E103B9">
        <w:rPr>
          <w:rFonts w:eastAsia="MS Mincho"/>
          <w:iCs/>
          <w:sz w:val="28"/>
          <w:szCs w:val="20"/>
          <w:lang w:eastAsia="ja-JP"/>
        </w:rPr>
        <w:t xml:space="preserve"> – это финансовая и ценовая стабилизация (в </w:t>
      </w:r>
      <w:proofErr w:type="spellStart"/>
      <w:r w:rsidRPr="00E103B9">
        <w:rPr>
          <w:rFonts w:eastAsia="MS Mincho"/>
          <w:iCs/>
          <w:sz w:val="28"/>
          <w:szCs w:val="20"/>
          <w:lang w:eastAsia="ja-JP"/>
        </w:rPr>
        <w:t>т.ч</w:t>
      </w:r>
      <w:proofErr w:type="spellEnd"/>
      <w:r w:rsidRPr="00E103B9">
        <w:rPr>
          <w:rFonts w:eastAsia="MS Mincho"/>
          <w:iCs/>
          <w:sz w:val="28"/>
          <w:szCs w:val="20"/>
          <w:lang w:eastAsia="ja-JP"/>
        </w:rPr>
        <w:t>. предотвращение инфляционной спирали) при поддержке доходов уязвимых категорий граждан.</w:t>
      </w:r>
    </w:p>
    <w:p w14:paraId="512293CF"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С 2023 г. вводится особый порядок обложения акцизом синтетического каучука и содержащих этот продукт товаров в зависимости от биржевых цен. В </w:t>
      </w:r>
      <w:proofErr w:type="gramStart"/>
      <w:r w:rsidRPr="00E103B9">
        <w:rPr>
          <w:rFonts w:eastAsia="MS Mincho"/>
          <w:iCs/>
          <w:sz w:val="28"/>
          <w:szCs w:val="20"/>
          <w:lang w:eastAsia="ja-JP"/>
        </w:rPr>
        <w:t>случае</w:t>
      </w:r>
      <w:proofErr w:type="gramEnd"/>
      <w:r w:rsidRPr="00E103B9">
        <w:rPr>
          <w:rFonts w:eastAsia="MS Mincho"/>
          <w:iCs/>
          <w:sz w:val="28"/>
          <w:szCs w:val="20"/>
          <w:lang w:eastAsia="ja-JP"/>
        </w:rPr>
        <w:t xml:space="preserve"> неблагоприятных биржевых цен на натуральный каучук (либо на сырье для производства синтетического каучука) будет применяться «обратный акциз» на произведенный синтетической каучук, возмещаемый из бюджетных средств. И, наоборот, в случае благоприятных биржевых цен налогоплательщик должен уплачивать акциз в пределах ранее возмещенных сумм с учетом их индексации.</w:t>
      </w:r>
    </w:p>
    <w:p w14:paraId="368D3DF3"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НДФЛ</w:t>
      </w:r>
    </w:p>
    <w:p w14:paraId="638E6446"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части налогообложения личных доходов будет продолжена политика усиления ее социальной составляющей. Прежде </w:t>
      </w:r>
      <w:proofErr w:type="gramStart"/>
      <w:r w:rsidRPr="00E103B9">
        <w:rPr>
          <w:rFonts w:eastAsia="MS Mincho"/>
          <w:iCs/>
          <w:sz w:val="28"/>
          <w:szCs w:val="20"/>
          <w:lang w:eastAsia="ja-JP"/>
        </w:rPr>
        <w:t>всего</w:t>
      </w:r>
      <w:proofErr w:type="gramEnd"/>
      <w:r w:rsidRPr="00E103B9">
        <w:rPr>
          <w:rFonts w:eastAsia="MS Mincho"/>
          <w:iCs/>
          <w:sz w:val="28"/>
          <w:szCs w:val="20"/>
          <w:lang w:eastAsia="ja-JP"/>
        </w:rPr>
        <w:t xml:space="preserve"> планируется расширить права на применение стандартных и социальных налоговых вычетов по НДФЛ в отношении детей (подопечных) налогоплательщика, признанных недееспособными, путем отмены ограничений по возрасту в случае уменьшения налогооблагаемого дохода как на фиксированную величину, так и на сумму расходов на лечение. Несмотря на то, что эти меры налоговой политики ведут к возникновению выпадающих доходов, их величина не будет существенной ввиду узкой категории потенциальных бенефициаров, что исключает какие-либо риски для сбалансированности бюджетной системы на уровне субъектов РФ. Отмена возрастного критерия соответствует, в свою очередь, логике налоговой поддержки населения (которая сохраняется, пока для нее есть объективные основания).</w:t>
      </w:r>
    </w:p>
    <w:p w14:paraId="68A9B8D4" w14:textId="5A8BBEF9"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Между тем, достаточно спорной является инициатива освободить от налогообложения все выплаты, которые получает физическ</w:t>
      </w:r>
      <w:r w:rsidR="00AC197F" w:rsidRPr="00E103B9">
        <w:rPr>
          <w:rFonts w:eastAsia="MS Mincho"/>
          <w:iCs/>
          <w:sz w:val="28"/>
          <w:szCs w:val="20"/>
          <w:lang w:eastAsia="ja-JP"/>
        </w:rPr>
        <w:t>о</w:t>
      </w:r>
      <w:r w:rsidRPr="00E103B9">
        <w:rPr>
          <w:rFonts w:eastAsia="MS Mincho"/>
          <w:iCs/>
          <w:sz w:val="28"/>
          <w:szCs w:val="20"/>
          <w:lang w:eastAsia="ja-JP"/>
        </w:rPr>
        <w:t xml:space="preserve">е лицо при увольнении. На сегодняшний день сумма необлагаемых выплат нормируется и составляет в общем случае трехкратный размер среднего месячного заработка. Суть инициативы состоит в том, чтобы отказаться от данного ограничения. С одной стороны, в условиях рисков потери работы, возросших из-за </w:t>
      </w:r>
      <w:proofErr w:type="spellStart"/>
      <w:r w:rsidRPr="00E103B9">
        <w:rPr>
          <w:rFonts w:eastAsia="MS Mincho"/>
          <w:iCs/>
          <w:sz w:val="28"/>
          <w:szCs w:val="20"/>
          <w:lang w:eastAsia="ja-JP"/>
        </w:rPr>
        <w:t>санкционного</w:t>
      </w:r>
      <w:proofErr w:type="spellEnd"/>
      <w:r w:rsidRPr="00E103B9">
        <w:rPr>
          <w:rFonts w:eastAsia="MS Mincho"/>
          <w:iCs/>
          <w:sz w:val="28"/>
          <w:szCs w:val="20"/>
          <w:lang w:eastAsia="ja-JP"/>
        </w:rPr>
        <w:t xml:space="preserve"> давления, ухода зарубежных инвесторов и закрытия предприятий, мера по высвобождению дополнительных сре</w:t>
      </w:r>
      <w:proofErr w:type="gramStart"/>
      <w:r w:rsidRPr="00E103B9">
        <w:rPr>
          <w:rFonts w:eastAsia="MS Mincho"/>
          <w:iCs/>
          <w:sz w:val="28"/>
          <w:szCs w:val="20"/>
          <w:lang w:eastAsia="ja-JP"/>
        </w:rPr>
        <w:t>дств в п</w:t>
      </w:r>
      <w:proofErr w:type="gramEnd"/>
      <w:r w:rsidRPr="00E103B9">
        <w:rPr>
          <w:rFonts w:eastAsia="MS Mincho"/>
          <w:iCs/>
          <w:sz w:val="28"/>
          <w:szCs w:val="20"/>
          <w:lang w:eastAsia="ja-JP"/>
        </w:rPr>
        <w:t xml:space="preserve">ользу теряющих работу граждан выглядит адекватной сложившейся ситуации. С другой стороны, предоставление подобной льготы не имеет обоснования с точки зрения экономической природы выплат при увольнении, которые проистекают из трудовых отношений (их </w:t>
      </w:r>
      <w:r w:rsidRPr="00E103B9">
        <w:rPr>
          <w:rFonts w:eastAsia="MS Mincho"/>
          <w:iCs/>
          <w:sz w:val="28"/>
          <w:szCs w:val="20"/>
          <w:lang w:eastAsia="ja-JP"/>
        </w:rPr>
        <w:lastRenderedPageBreak/>
        <w:t xml:space="preserve">неотъемлемым компонентом является уплата НДФЛ). В этой связи инициативу следует рассматривать как тактическое решение, допустимое в нынешних условиях в качестве компенсаторного механизма, применение которого не ухудшит состояние региональных бюджетов, так как, по данным ФНС </w:t>
      </w:r>
      <w:r w:rsidR="00154B03" w:rsidRPr="00E103B9">
        <w:rPr>
          <w:rFonts w:eastAsia="MS Mincho"/>
          <w:iCs/>
          <w:sz w:val="28"/>
          <w:szCs w:val="20"/>
          <w:lang w:eastAsia="ja-JP"/>
        </w:rPr>
        <w:t>России</w:t>
      </w:r>
      <w:r w:rsidRPr="00E103B9">
        <w:rPr>
          <w:rFonts w:eastAsia="MS Mincho"/>
          <w:iCs/>
          <w:sz w:val="28"/>
          <w:szCs w:val="20"/>
          <w:lang w:eastAsia="ja-JP"/>
        </w:rPr>
        <w:t>, ежегодное количество физических лиц, получающих доходы свыше указанного норматива, с 2019 г. не превышает 90 тыс. чел.</w:t>
      </w:r>
    </w:p>
    <w:p w14:paraId="52249054"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Рычаги подоходного налогообложения будут также задействованы для привлечения в российскую экономику сбережений граждан. </w:t>
      </w:r>
      <w:proofErr w:type="gramStart"/>
      <w:r w:rsidRPr="00E103B9">
        <w:rPr>
          <w:rFonts w:eastAsia="MS Mincho"/>
          <w:iCs/>
          <w:sz w:val="28"/>
          <w:szCs w:val="20"/>
          <w:lang w:eastAsia="ja-JP"/>
        </w:rPr>
        <w:t>Достижение экономической устойчивости здесь связывается с модернизацией индивидуальных инвестиционных счетов, а именно внедрением их нового типа, рассчитанного на долгосрочные вложения денежных средств (не менее чем на 10 лет) при расширении практики налоговой поддержки: инвестиционные налоговые вычеты планируется предоставлять как на этапе инвестирования (при открытии счета на фиксированную сумму), так и на «выходе» инвестиций (в виде освобождения от НДФЛ полученного с</w:t>
      </w:r>
      <w:proofErr w:type="gramEnd"/>
      <w:r w:rsidRPr="00E103B9">
        <w:rPr>
          <w:rFonts w:eastAsia="MS Mincho"/>
          <w:iCs/>
          <w:sz w:val="28"/>
          <w:szCs w:val="20"/>
          <w:lang w:eastAsia="ja-JP"/>
        </w:rPr>
        <w:t xml:space="preserve"> инвестиций дохода). Такая комбинация вычетов призвана усилить влияние налоговой системы на долгосрочные инвестиционные решения физических лиц. Вместе с тем, для большинства населения страны инвестиционные налоговые вычеты в той или другой форме остаются либо недоступными ввиду низкого уровня доходов (формируемых главным образом из заработной платы), либо сопряженными с риском потери денежных сре</w:t>
      </w:r>
      <w:proofErr w:type="gramStart"/>
      <w:r w:rsidRPr="00E103B9">
        <w:rPr>
          <w:rFonts w:eastAsia="MS Mincho"/>
          <w:iCs/>
          <w:sz w:val="28"/>
          <w:szCs w:val="20"/>
          <w:lang w:eastAsia="ja-JP"/>
        </w:rPr>
        <w:t>дств пр</w:t>
      </w:r>
      <w:proofErr w:type="gramEnd"/>
      <w:r w:rsidRPr="00E103B9">
        <w:rPr>
          <w:rFonts w:eastAsia="MS Mincho"/>
          <w:iCs/>
          <w:sz w:val="28"/>
          <w:szCs w:val="20"/>
          <w:lang w:eastAsia="ja-JP"/>
        </w:rPr>
        <w:t>и отсутствии резервов покрытия возможных убытков. Таким образом, стимулирование инвестиций в обновленном формате не создает угрозы для доходной части бюджета, но в то же время оставляет в налоговой системе РФ элемент регрессивного налогообложения (как ввиду отсутствия необлагаемого минимума по бедности при отсутствии детей, так и по причине низкой величины стандартных налоговых вычетов).</w:t>
      </w:r>
    </w:p>
    <w:p w14:paraId="5FC1D542"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Отдельное внимание уделено вопросам налогообложения физических лиц, работающих удаленно (в дистанционном режиме) у российского работодателя, но на территории другого государства. На сегодняшний день налоговыми резидентами России в календарном году признаются физические лица, которые в течение этого года находятся в России не менее 183 дней, что приводит к возможности для утраты статуса российского налогового резидента при целенаправленном нахождении в России менее 183 дней в течение календарного года. Наличие таких формальных критериев, устанавливающих налоговую связь физического лица со страной, не отвечает текущим социально-экономическим условиям и может приводить к необоснованным налоговым потерям, в том числе, в случае осуществления физическими лицами удаленной трудовой деятельности. Одним из решений является отнесение к доходам от источника в Российской Федерации выплачиваемое российскими организациями - работодателями вознаграждения за исполнение трудовых обязанностей. Данный подход направлен на устранение диспропорций в условиях налогообложения доходов (в зависимости от формы осуществления трудовой деятельности), а также исключение практик неуплаты (оптимизации) НДФЛ с выплат дистанционным работникам, которые не получают статус налогового резидента ни в одном государстве или получают такой </w:t>
      </w:r>
      <w:r w:rsidRPr="00E103B9">
        <w:rPr>
          <w:rFonts w:eastAsia="MS Mincho"/>
          <w:iCs/>
          <w:sz w:val="28"/>
          <w:szCs w:val="20"/>
          <w:lang w:eastAsia="ja-JP"/>
        </w:rPr>
        <w:lastRenderedPageBreak/>
        <w:t xml:space="preserve">статус в низконалоговой юрисдикции. Следование такой стратегии можно признать оптимальным, однако достижение заявленной цели также должно сопровождаться формированием отдельной ставки для трудовых доходов-нерезидентов (отличной от ставки 30%, применяемой ко всем «прочим доходам физических лиц-нерезидентов»). </w:t>
      </w:r>
    </w:p>
    <w:p w14:paraId="2A1F30A6"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Решением смежного вопроса является наделение иностранных юридических лиц функциями налоговых агентов по НДФЛ в отношении доходов, выплачиваемых физическим лицам, выполняющим работы и услуги на территории Российской Федерации, в том числе в области информационных технологий, с использованием сети «Интернет». На сегодняшний день иностранные юридические лица не признаются налоговыми агентами по НДФЛ. Следование такому подходу связано с тем, что налоговое администрирование иностранных компаний (в отсутствие у них физического присутствия на территории России) является крайне сложным процессом для налоговых органов. Не до конца ясным, на наш взгляд, является и то, как такая мера отразится на удобстве российской налоговой системы для самих иностранных компаний, которым для корректного перечисления налогов в бюджетную систему России необходимым станет сбор данных о налоговом статусе работников.</w:t>
      </w:r>
    </w:p>
    <w:p w14:paraId="099A2AD2"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Налог на прибыль организаций</w:t>
      </w:r>
    </w:p>
    <w:p w14:paraId="7A697DF2" w14:textId="3E2A454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Основным вектором изменений налога на прибыль в настоящее время является корректировка размера изъятий для отдельных категорий бизнеса, исходя из стратегической потребности в развитии отраслей и территорий. Значительное внимание уделяется вопросам стимулирования ИТ-компаний, которые продолжают получать от государства налоговые преференции, из допущения о том, что ИТ-сектор создает условия для структурных преобразований экономики и обладает потенциалом технологического лидерства. Это направление налоговой политики осуществляется последовательно, отражая стремление государства обеспечить высококвалифицированным кадрам и инвесторам конкурентоспособные условия деятельности в РФ. Поэтому с 1 января 2022 г. на основан</w:t>
      </w:r>
      <w:proofErr w:type="gramStart"/>
      <w:r w:rsidRPr="00E103B9">
        <w:rPr>
          <w:rFonts w:eastAsia="MS Mincho"/>
          <w:iCs/>
          <w:sz w:val="28"/>
          <w:szCs w:val="20"/>
          <w:lang w:eastAsia="ja-JP"/>
        </w:rPr>
        <w:t>ии ию</w:t>
      </w:r>
      <w:proofErr w:type="gramEnd"/>
      <w:r w:rsidRPr="00E103B9">
        <w:rPr>
          <w:rFonts w:eastAsia="MS Mincho"/>
          <w:iCs/>
          <w:sz w:val="28"/>
          <w:szCs w:val="20"/>
          <w:lang w:eastAsia="ja-JP"/>
        </w:rPr>
        <w:t xml:space="preserve">льских поправок в ст. 284 </w:t>
      </w:r>
      <w:r w:rsidR="004D3664" w:rsidRPr="00E103B9">
        <w:rPr>
          <w:rFonts w:eastAsia="MS Mincho"/>
          <w:iCs/>
          <w:sz w:val="28"/>
          <w:szCs w:val="20"/>
          <w:lang w:eastAsia="ja-JP"/>
        </w:rPr>
        <w:t xml:space="preserve">Налогового кодекса </w:t>
      </w:r>
      <w:r w:rsidRPr="00E103B9">
        <w:rPr>
          <w:rFonts w:eastAsia="MS Mincho"/>
          <w:iCs/>
          <w:sz w:val="28"/>
          <w:szCs w:val="20"/>
          <w:lang w:eastAsia="ja-JP"/>
        </w:rPr>
        <w:t xml:space="preserve">РФ </w:t>
      </w:r>
      <w:r w:rsidR="004D3664" w:rsidRPr="00E103B9">
        <w:rPr>
          <w:rFonts w:eastAsia="MS Mincho"/>
          <w:iCs/>
          <w:sz w:val="28"/>
          <w:szCs w:val="20"/>
          <w:lang w:eastAsia="ja-JP"/>
        </w:rPr>
        <w:t xml:space="preserve">(далее – НК РФ) </w:t>
      </w:r>
      <w:r w:rsidRPr="00E103B9">
        <w:rPr>
          <w:rFonts w:eastAsia="MS Mincho"/>
          <w:iCs/>
          <w:sz w:val="28"/>
          <w:szCs w:val="20"/>
          <w:lang w:eastAsia="ja-JP"/>
        </w:rPr>
        <w:t>элиминированы барьеры доступа к налоговым льготам для малого ИТ-бизнеса: отменено условие о минимальной численности работников софтверного бизнеса, составлявшее 7 человек; снижен порог минимальной доли доходов от реализации прав на программное обеспечение с 90% до 70%, что в совокупности должно помочь российской ИТ-отрасли повысить показатели своей устойчивости и рентабельности. До 2025 г. ставка налога на прибыль будет составлять 0%; на этот же срок запланировано предоставить ИТ-компаниям новый пакет налоговых преференций, включая инвестиционный налоговый вычет и ускоренную амортизацию с повышающим коэффициентом 3. Они начнут действовать с 1 января 2023 г.</w:t>
      </w:r>
      <w:r w:rsidRPr="00E103B9">
        <w:rPr>
          <w:rFonts w:eastAsia="MS Mincho"/>
          <w:iCs/>
          <w:sz w:val="28"/>
          <w:szCs w:val="20"/>
          <w:vertAlign w:val="superscript"/>
          <w:lang w:eastAsia="ja-JP"/>
        </w:rPr>
        <w:footnoteReference w:id="9"/>
      </w:r>
    </w:p>
    <w:p w14:paraId="3C11ADF1" w14:textId="6499C8F0"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lastRenderedPageBreak/>
        <w:t xml:space="preserve">На ближайшую перспективу рассчитано введение нового преференциального режима деятельности организаций, которые поставляют на рынок высокотехнологичные товары (работы, услуги), но не подпадают под действие налоговых преференций, установленных в ИТ-отрасли и радиоэлектронной промышленности. Тем самым в налоговых целях планируется выделить новый класс инновационных компаний. </w:t>
      </w:r>
      <w:proofErr w:type="gramStart"/>
      <w:r w:rsidRPr="00E103B9">
        <w:rPr>
          <w:rFonts w:eastAsia="MS Mincho"/>
          <w:iCs/>
          <w:sz w:val="28"/>
          <w:szCs w:val="20"/>
          <w:lang w:eastAsia="ja-JP"/>
        </w:rPr>
        <w:t>Хотя в ОНБНТТП параметры снижения фискальной нагрузки не уточняются, известно, что данная инициатива принадлежит Минэкономразвития России и строится на освобождении от уплаты налога на прибыль и налога на имущество при одновременном снижении тарифа страховых взносов до 7,6%</w:t>
      </w:r>
      <w:r w:rsidRPr="00E103B9">
        <w:rPr>
          <w:rFonts w:eastAsia="MS Mincho"/>
          <w:iCs/>
          <w:sz w:val="28"/>
          <w:szCs w:val="20"/>
          <w:vertAlign w:val="superscript"/>
          <w:lang w:eastAsia="ja-JP"/>
        </w:rPr>
        <w:footnoteReference w:id="10"/>
      </w:r>
      <w:r w:rsidRPr="00E103B9">
        <w:rPr>
          <w:rFonts w:eastAsia="MS Mincho"/>
          <w:iCs/>
          <w:sz w:val="28"/>
          <w:szCs w:val="20"/>
          <w:lang w:eastAsia="ja-JP"/>
        </w:rPr>
        <w:t>. Предполагается, что пакет этих налоговых льгот будет действовать в течение 10 лет при соблюдении компанией ряда условий, одним из которых является достаточно высокий</w:t>
      </w:r>
      <w:proofErr w:type="gramEnd"/>
      <w:r w:rsidRPr="00E103B9">
        <w:rPr>
          <w:rFonts w:eastAsia="MS Mincho"/>
          <w:iCs/>
          <w:sz w:val="28"/>
          <w:szCs w:val="20"/>
          <w:lang w:eastAsia="ja-JP"/>
        </w:rPr>
        <w:t xml:space="preserve"> оборот деятельности (не менее 1 </w:t>
      </w:r>
      <w:proofErr w:type="gramStart"/>
      <w:r w:rsidRPr="00E103B9">
        <w:rPr>
          <w:rFonts w:eastAsia="MS Mincho"/>
          <w:iCs/>
          <w:sz w:val="28"/>
          <w:szCs w:val="20"/>
          <w:lang w:eastAsia="ja-JP"/>
        </w:rPr>
        <w:t>млрд</w:t>
      </w:r>
      <w:proofErr w:type="gramEnd"/>
      <w:r w:rsidRPr="00E103B9">
        <w:rPr>
          <w:rFonts w:eastAsia="MS Mincho"/>
          <w:iCs/>
          <w:sz w:val="28"/>
          <w:szCs w:val="20"/>
          <w:lang w:eastAsia="ja-JP"/>
        </w:rPr>
        <w:t xml:space="preserve"> руб.). Реализация данных подходов будет способствовать улучшению условий проведения политики </w:t>
      </w:r>
      <w:proofErr w:type="spellStart"/>
      <w:r w:rsidRPr="00E103B9">
        <w:rPr>
          <w:rFonts w:eastAsia="MS Mincho"/>
          <w:iCs/>
          <w:sz w:val="28"/>
          <w:szCs w:val="20"/>
          <w:lang w:eastAsia="ja-JP"/>
        </w:rPr>
        <w:t>импортозамещения</w:t>
      </w:r>
      <w:proofErr w:type="spellEnd"/>
      <w:r w:rsidRPr="00E103B9">
        <w:rPr>
          <w:rFonts w:eastAsia="MS Mincho"/>
          <w:iCs/>
          <w:sz w:val="28"/>
          <w:szCs w:val="20"/>
          <w:lang w:eastAsia="ja-JP"/>
        </w:rPr>
        <w:t xml:space="preserve"> в стратегически важных для государства отраслях, функционирование и развитие которых в настоящее время заметно сдерживается санкциями зарубежных стран. Исходя из этого, уменьшение налоговой нагрузки в данном случае выглядит экономически оправданным решением. </w:t>
      </w:r>
    </w:p>
    <w:p w14:paraId="0D4AC84D"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Вместе с тем, запланированное отсечение от налоговой поддержки компаний, которые не достигают требуемой величины выручки, усилит регрессивность корпоративного налогообложения и ослабит конкурентные позиции малого бизнеса, стремящегося занимать рыночные ниши за счет новых технологических решений. Поэтому субъектный охват предлагаемого налогового режима следует уточнить, обеспечив возможности его применения независимо от масштаба деятельности. Также следует придерживаться единообразных практик стимулирования высокотехнологичных компаний и производств, с </w:t>
      </w:r>
      <w:proofErr w:type="gramStart"/>
      <w:r w:rsidRPr="00E103B9">
        <w:rPr>
          <w:rFonts w:eastAsia="MS Mincho"/>
          <w:iCs/>
          <w:sz w:val="28"/>
          <w:szCs w:val="20"/>
          <w:lang w:eastAsia="ja-JP"/>
        </w:rPr>
        <w:t>тем</w:t>
      </w:r>
      <w:proofErr w:type="gramEnd"/>
      <w:r w:rsidRPr="00E103B9">
        <w:rPr>
          <w:rFonts w:eastAsia="MS Mincho"/>
          <w:iCs/>
          <w:sz w:val="28"/>
          <w:szCs w:val="20"/>
          <w:lang w:eastAsia="ja-JP"/>
        </w:rPr>
        <w:t xml:space="preserve"> чтобы налоговая система, оставаясь нейтральной, не искажала решения инвесторов. Например, налоговые условия деятельности ИТ-компаний не должны становиться хуже в сравнении с новым режимом, который не только включает льготу по налогу на имущество (ее нет у софтверного бизнеса), но и дает освобождение от налога на прибыль на более длительный срок.</w:t>
      </w:r>
    </w:p>
    <w:p w14:paraId="08F2EBF9" w14:textId="04E26825"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На фоне значительного оттока капитала из страны был актуализирован вопрос об использовании налоговых рычагов для </w:t>
      </w:r>
      <w:proofErr w:type="spellStart"/>
      <w:r w:rsidRPr="00E103B9">
        <w:rPr>
          <w:rFonts w:eastAsia="MS Mincho"/>
          <w:iCs/>
          <w:sz w:val="28"/>
          <w:szCs w:val="20"/>
          <w:lang w:eastAsia="ja-JP"/>
        </w:rPr>
        <w:t>дестимулирования</w:t>
      </w:r>
      <w:proofErr w:type="spellEnd"/>
      <w:r w:rsidRPr="00E103B9">
        <w:rPr>
          <w:rFonts w:eastAsia="MS Mincho"/>
          <w:iCs/>
          <w:sz w:val="28"/>
          <w:szCs w:val="20"/>
          <w:lang w:eastAsia="ja-JP"/>
        </w:rPr>
        <w:t xml:space="preserve"> таких способов распоряжения прибылью, которые не ведут к ее реинвестированию. Задачей налоговой политики на перспективу ставится наращивание капитальных вложений за счет собственных источников финансирования российских компаний, в </w:t>
      </w:r>
      <w:proofErr w:type="gramStart"/>
      <w:r w:rsidRPr="00E103B9">
        <w:rPr>
          <w:rFonts w:eastAsia="MS Mincho"/>
          <w:iCs/>
          <w:sz w:val="28"/>
          <w:szCs w:val="20"/>
          <w:lang w:eastAsia="ja-JP"/>
        </w:rPr>
        <w:t>связи</w:t>
      </w:r>
      <w:proofErr w:type="gramEnd"/>
      <w:r w:rsidRPr="00E103B9">
        <w:rPr>
          <w:rFonts w:eastAsia="MS Mincho"/>
          <w:iCs/>
          <w:sz w:val="28"/>
          <w:szCs w:val="20"/>
          <w:lang w:eastAsia="ja-JP"/>
        </w:rPr>
        <w:t xml:space="preserve"> с чем предложено дифференцировать уровень налогообложения корпоративной прибыли в зависимости от направлений ее использования и установить повышенный размер изъятий для тех организаций, которые либо не вкладывают ее в основные фонды, либо отдают слишком малую долю прибыли на </w:t>
      </w:r>
      <w:r w:rsidRPr="00E103B9">
        <w:rPr>
          <w:rFonts w:eastAsia="MS Mincho"/>
          <w:iCs/>
          <w:sz w:val="28"/>
          <w:szCs w:val="20"/>
          <w:lang w:eastAsia="ja-JP"/>
        </w:rPr>
        <w:lastRenderedPageBreak/>
        <w:t>эти цели. На наш взгляд, налоговые рычаги не должны ограничивать экономические свободы бизнеса, включая и вопросы распоряжения собственной прибылью. Не говоря о том, что подобные схемы налогообложения способны привести к усложнению налоговой системы и существенному росту издержек администрирования налога, переход к практике фискального пресса является крайне нежелательным вектором развития экономической ситуации, находящейся под влиянием зарубежных санкций</w:t>
      </w:r>
      <w:r w:rsidR="008207FA" w:rsidRPr="00E103B9">
        <w:rPr>
          <w:rFonts w:eastAsia="MS Mincho"/>
          <w:iCs/>
          <w:sz w:val="28"/>
          <w:szCs w:val="20"/>
          <w:lang w:eastAsia="ja-JP"/>
        </w:rPr>
        <w:t>.</w:t>
      </w:r>
    </w:p>
    <w:p w14:paraId="6A535332"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Налоги на имущество</w:t>
      </w:r>
    </w:p>
    <w:p w14:paraId="19AB97A8"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отношении недвижимого имущества организаций завершается </w:t>
      </w:r>
      <w:proofErr w:type="gramStart"/>
      <w:r w:rsidRPr="00E103B9">
        <w:rPr>
          <w:rFonts w:eastAsia="MS Mincho"/>
          <w:iCs/>
          <w:sz w:val="28"/>
          <w:szCs w:val="20"/>
          <w:lang w:eastAsia="ja-JP"/>
        </w:rPr>
        <w:t>переход</w:t>
      </w:r>
      <w:proofErr w:type="gramEnd"/>
      <w:r w:rsidRPr="00E103B9">
        <w:rPr>
          <w:rFonts w:eastAsia="MS Mincho"/>
          <w:iCs/>
          <w:sz w:val="28"/>
          <w:szCs w:val="20"/>
          <w:lang w:eastAsia="ja-JP"/>
        </w:rPr>
        <w:t xml:space="preserve"> к налогообложению исходя из кадастровой стоимости. В 2023 г. для расчета налога на имущество организаций в отношении всех объектов недвижимости (за исключением отдельных сооружений) будет использоваться значение кадастровой стоимости по состоянию на 1 января 2022 г. Расчёт </w:t>
      </w:r>
      <w:proofErr w:type="gramStart"/>
      <w:r w:rsidRPr="00E103B9">
        <w:rPr>
          <w:rFonts w:eastAsia="MS Mincho"/>
          <w:iCs/>
          <w:sz w:val="28"/>
          <w:szCs w:val="20"/>
          <w:lang w:eastAsia="ja-JP"/>
        </w:rPr>
        <w:t>налога</w:t>
      </w:r>
      <w:proofErr w:type="gramEnd"/>
      <w:r w:rsidRPr="00E103B9">
        <w:rPr>
          <w:rFonts w:eastAsia="MS Mincho"/>
          <w:iCs/>
          <w:sz w:val="28"/>
          <w:szCs w:val="20"/>
          <w:lang w:eastAsia="ja-JP"/>
        </w:rPr>
        <w:t xml:space="preserve"> на недвижимое имущество организаций исходя из кадастровой (рыночной) стоимости в наибольшей степени соответствует налоговым принципам и сложившейся международной практике. Для России это также означает единый подход к налогообложению недвижимости организаций и физических лиц. Ожидается увеличение доходов региональных бюджетов, не перешедших к налогообложению исходя из кадастровой стоимости ранее.</w:t>
      </w:r>
    </w:p>
    <w:p w14:paraId="66E5D07C"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Также планируется рассмотрение вопроса об установлении преференций по имущественным налогам для производственных компаний, занятых в </w:t>
      </w:r>
      <w:proofErr w:type="spellStart"/>
      <w:r w:rsidRPr="00E103B9">
        <w:rPr>
          <w:rFonts w:eastAsia="MS Mincho"/>
          <w:iCs/>
          <w:sz w:val="28"/>
          <w:szCs w:val="20"/>
          <w:lang w:eastAsia="ja-JP"/>
        </w:rPr>
        <w:t>импортозамещении</w:t>
      </w:r>
      <w:proofErr w:type="spellEnd"/>
      <w:r w:rsidRPr="00E103B9">
        <w:rPr>
          <w:rFonts w:eastAsia="MS Mincho"/>
          <w:iCs/>
          <w:sz w:val="28"/>
          <w:szCs w:val="20"/>
          <w:lang w:eastAsia="ja-JP"/>
        </w:rPr>
        <w:t>, на срок до истечения 5 лет с момента начала выпуска такими компаниями новой продукции.</w:t>
      </w:r>
    </w:p>
    <w:p w14:paraId="197C17B1"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Специальные и особые налоговые режимы</w:t>
      </w:r>
    </w:p>
    <w:p w14:paraId="48A59154" w14:textId="76B08111"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данной области налоговых отношений не предусмотрено каких-либо существенных модификаций, поскольку и по составу, и по дизайну специальные налоговые режимы сформированы, а их развитие перешло в фазу «шлифовки» действующих норм. В качестве примера можно назвать </w:t>
      </w:r>
      <w:proofErr w:type="spellStart"/>
      <w:r w:rsidRPr="00E103B9">
        <w:rPr>
          <w:rFonts w:eastAsia="MS Mincho"/>
          <w:iCs/>
          <w:sz w:val="28"/>
          <w:szCs w:val="20"/>
          <w:lang w:eastAsia="ja-JP"/>
        </w:rPr>
        <w:t>донастройку</w:t>
      </w:r>
      <w:proofErr w:type="spellEnd"/>
      <w:r w:rsidRPr="00E103B9">
        <w:rPr>
          <w:rFonts w:eastAsia="MS Mincho"/>
          <w:iCs/>
          <w:sz w:val="28"/>
          <w:szCs w:val="20"/>
          <w:lang w:eastAsia="ja-JP"/>
        </w:rPr>
        <w:t xml:space="preserve"> переходных правил применения </w:t>
      </w:r>
      <w:r w:rsidR="00E20BF9" w:rsidRPr="00E103B9">
        <w:rPr>
          <w:rFonts w:eastAsia="MS Mincho"/>
          <w:iCs/>
          <w:sz w:val="28"/>
          <w:szCs w:val="20"/>
          <w:lang w:eastAsia="ja-JP"/>
        </w:rPr>
        <w:t>упрощенной системы налогообложения (далее – УСН)</w:t>
      </w:r>
      <w:r w:rsidRPr="00E103B9">
        <w:rPr>
          <w:rFonts w:eastAsia="MS Mincho"/>
          <w:iCs/>
          <w:sz w:val="28"/>
          <w:szCs w:val="20"/>
          <w:lang w:eastAsia="ja-JP"/>
        </w:rPr>
        <w:t xml:space="preserve">, после которой повышенные ставки единого налога (8% с доходов и 20% с доходов, уменьшенных на расходы) будут применяться с отчетного периода, в котором выручка оказалась в интервале 150-200 </w:t>
      </w:r>
      <w:proofErr w:type="gramStart"/>
      <w:r w:rsidRPr="00E103B9">
        <w:rPr>
          <w:rFonts w:eastAsia="MS Mincho"/>
          <w:iCs/>
          <w:sz w:val="28"/>
          <w:szCs w:val="20"/>
          <w:lang w:eastAsia="ja-JP"/>
        </w:rPr>
        <w:t>млн</w:t>
      </w:r>
      <w:proofErr w:type="gramEnd"/>
      <w:r w:rsidRPr="00E103B9">
        <w:rPr>
          <w:rFonts w:eastAsia="MS Mincho"/>
          <w:iCs/>
          <w:sz w:val="28"/>
          <w:szCs w:val="20"/>
          <w:lang w:eastAsia="ja-JP"/>
        </w:rPr>
        <w:t xml:space="preserve"> руб., до окончания налогового периода. Данное положение должно повысить определенность налогообложения в части размера применимой налоговой ставки в том случае, когда налогоплательщик выходит за пределы стандартных порогов этого налогового режима со второго или более позднего квартала календарного года. В то же время в ОНБНТТП говорится о применении данного порядка к случаю превышения порога только по доходам. Представляется целесообразным учитывать и критерий численности персонала.</w:t>
      </w:r>
    </w:p>
    <w:p w14:paraId="12C52DEB" w14:textId="6C5465EE"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Также обращает на себя внимание уклон российской налоговой политики в сторону увеличения количества особых налоговых режимов, которые охватывают существенную площадь общего экономического пространства страны, снижая фискальный эффект обычной системы налогообложения. Так, если по состоянию </w:t>
      </w:r>
      <w:r w:rsidRPr="00E103B9">
        <w:rPr>
          <w:rFonts w:eastAsia="MS Mincho"/>
          <w:iCs/>
          <w:sz w:val="28"/>
          <w:szCs w:val="20"/>
          <w:lang w:eastAsia="ja-JP"/>
        </w:rPr>
        <w:lastRenderedPageBreak/>
        <w:t xml:space="preserve">на 1 июля 2018 г. в РФ действовали 25 </w:t>
      </w:r>
      <w:r w:rsidR="00E20BF9" w:rsidRPr="00E103B9">
        <w:rPr>
          <w:rFonts w:eastAsia="MS Mincho"/>
          <w:iCs/>
          <w:sz w:val="28"/>
          <w:szCs w:val="20"/>
          <w:lang w:eastAsia="ja-JP"/>
        </w:rPr>
        <w:t>особых экономически зон (далее – ОЭЗ)</w:t>
      </w:r>
      <w:r w:rsidRPr="00E103B9">
        <w:rPr>
          <w:rFonts w:eastAsia="MS Mincho"/>
          <w:iCs/>
          <w:sz w:val="28"/>
          <w:szCs w:val="20"/>
          <w:lang w:eastAsia="ja-JP"/>
        </w:rPr>
        <w:t xml:space="preserve">, то по состоянию на 1 июля 2021 г. насчитывалось уже 38 ОЭЗ, </w:t>
      </w:r>
      <w:proofErr w:type="gramStart"/>
      <w:r w:rsidRPr="00E103B9">
        <w:rPr>
          <w:rFonts w:eastAsia="MS Mincho"/>
          <w:iCs/>
          <w:sz w:val="28"/>
          <w:szCs w:val="20"/>
          <w:lang w:eastAsia="ja-JP"/>
        </w:rPr>
        <w:t>т.е. всего</w:t>
      </w:r>
      <w:proofErr w:type="gramEnd"/>
      <w:r w:rsidRPr="00E103B9">
        <w:rPr>
          <w:rFonts w:eastAsia="MS Mincho"/>
          <w:iCs/>
          <w:sz w:val="28"/>
          <w:szCs w:val="20"/>
          <w:lang w:eastAsia="ja-JP"/>
        </w:rPr>
        <w:t xml:space="preserve"> за несколько лет их число выросло примерно на 50%</w:t>
      </w:r>
      <w:r w:rsidRPr="00E103B9">
        <w:rPr>
          <w:rFonts w:eastAsia="MS Mincho"/>
          <w:iCs/>
          <w:sz w:val="28"/>
          <w:szCs w:val="20"/>
          <w:vertAlign w:val="superscript"/>
          <w:lang w:eastAsia="ja-JP"/>
        </w:rPr>
        <w:footnoteReference w:id="11"/>
      </w:r>
      <w:r w:rsidRPr="00E103B9">
        <w:rPr>
          <w:rFonts w:eastAsia="MS Mincho"/>
          <w:iCs/>
          <w:sz w:val="28"/>
          <w:szCs w:val="20"/>
          <w:lang w:eastAsia="ja-JP"/>
        </w:rPr>
        <w:t>. По большому счету, стимулирование осуществляется по разным направлениям, но не имеет под собой строгой концепции, которая бы определяла меру отступлений от стандартных правил исчисления налогов. Исходя из этого, стимулирование должно сопровождаться анализом вопросов как о гармонизации инвестиционных налоговых режимов внутри регионов, так и о целесообразности оптимизации их количественного состава.</w:t>
      </w:r>
    </w:p>
    <w:p w14:paraId="79F33228"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Налоговое администрирование</w:t>
      </w:r>
    </w:p>
    <w:p w14:paraId="01D82331"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Ключевыми новациями в сфере администрирования, которые были объявлены в предыдущем цикле налогово-бюджетного планирования и вступили в силу, являются автоматизированная упрощенная система налогообложения (также обозначаемая «УСН-онлайн») и единый налоговый платеж бизнеса.</w:t>
      </w:r>
    </w:p>
    <w:p w14:paraId="5BCACF9D" w14:textId="483B426F"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Новый режим в формате модифицированной «упрощенки» введен в качестве эксперимента, который проводится на территории четырех российских регионов (</w:t>
      </w:r>
      <w:r w:rsidR="0068261D" w:rsidRPr="00E103B9">
        <w:rPr>
          <w:rFonts w:eastAsia="MS Mincho"/>
          <w:iCs/>
          <w:sz w:val="28"/>
          <w:szCs w:val="20"/>
          <w:lang w:eastAsia="ja-JP"/>
        </w:rPr>
        <w:t xml:space="preserve">г. </w:t>
      </w:r>
      <w:r w:rsidRPr="00E103B9">
        <w:rPr>
          <w:rFonts w:eastAsia="MS Mincho"/>
          <w:iCs/>
          <w:sz w:val="28"/>
          <w:szCs w:val="20"/>
          <w:lang w:eastAsia="ja-JP"/>
        </w:rPr>
        <w:t>Москва, Московская и Калужская области, Республика Татарстан) с 1 июля 2022 г. до 31 декабря 2027 г.</w:t>
      </w:r>
      <w:r w:rsidRPr="00E103B9">
        <w:rPr>
          <w:rFonts w:eastAsia="MS Mincho"/>
          <w:iCs/>
          <w:sz w:val="28"/>
          <w:szCs w:val="20"/>
          <w:vertAlign w:val="superscript"/>
          <w:lang w:eastAsia="ja-JP"/>
        </w:rPr>
        <w:footnoteReference w:id="12"/>
      </w:r>
      <w:r w:rsidRPr="00E103B9">
        <w:rPr>
          <w:rFonts w:eastAsia="MS Mincho"/>
          <w:iCs/>
          <w:sz w:val="28"/>
          <w:szCs w:val="20"/>
          <w:lang w:eastAsia="ja-JP"/>
        </w:rPr>
        <w:t xml:space="preserve"> Несмотря на </w:t>
      </w:r>
      <w:proofErr w:type="gramStart"/>
      <w:r w:rsidRPr="00E103B9">
        <w:rPr>
          <w:rFonts w:eastAsia="MS Mincho"/>
          <w:iCs/>
          <w:sz w:val="28"/>
          <w:szCs w:val="20"/>
          <w:lang w:eastAsia="ja-JP"/>
        </w:rPr>
        <w:t>то</w:t>
      </w:r>
      <w:proofErr w:type="gramEnd"/>
      <w:r w:rsidRPr="00E103B9">
        <w:rPr>
          <w:rFonts w:eastAsia="MS Mincho"/>
          <w:iCs/>
          <w:sz w:val="28"/>
          <w:szCs w:val="20"/>
          <w:lang w:eastAsia="ja-JP"/>
        </w:rPr>
        <w:t xml:space="preserve"> что в общих чертах дизайн режима повторяет стандартную упрощенную систему, налоговая ставка выше: при выборе объектом налогообложения доходов она составляет 8%, а доходов, уменьшаемых на расходы, – 20%. Тем самым центральная идея налогового режима, связанная с улучшением условий ведения предпринимательской деятельности, нарушается размером налоговых изъятий, который установлен в размере более высоком, чем у стандартной упрощенной системы. На наш взгляд, автоматизированный режим требует отладки путем устранения несоразмерности изъятий (в пределах от 60 </w:t>
      </w:r>
      <w:proofErr w:type="gramStart"/>
      <w:r w:rsidRPr="00E103B9">
        <w:rPr>
          <w:rFonts w:eastAsia="MS Mincho"/>
          <w:iCs/>
          <w:sz w:val="28"/>
          <w:szCs w:val="20"/>
          <w:lang w:eastAsia="ja-JP"/>
        </w:rPr>
        <w:t>млн</w:t>
      </w:r>
      <w:proofErr w:type="gramEnd"/>
      <w:r w:rsidRPr="00E103B9">
        <w:rPr>
          <w:rFonts w:eastAsia="MS Mincho"/>
          <w:iCs/>
          <w:sz w:val="28"/>
          <w:szCs w:val="20"/>
          <w:lang w:eastAsia="ja-JP"/>
        </w:rPr>
        <w:t xml:space="preserve"> до 150 млн руб. бизнес может платить единый налог по ставкам соответственно 6% и 15% или даже более низким (по решению субъекта РФ)).</w:t>
      </w:r>
    </w:p>
    <w:p w14:paraId="0E8B9873"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Кроме того, с 1 июля до 31 декабря 2022 г. в качестве пилотного проекта действует особый порядок уплаты налогов, который основывается на механизме единого налогового платежа, при котором организации могут одним платежным поручением уплатить все причитающиеся налоги. Считается, что такой порядок не только упростит их уплату, но и исключит ошибки, нередко возникающие при оформлении платежей. В </w:t>
      </w:r>
      <w:proofErr w:type="gramStart"/>
      <w:r w:rsidRPr="00E103B9">
        <w:rPr>
          <w:rFonts w:eastAsia="MS Mincho"/>
          <w:iCs/>
          <w:sz w:val="28"/>
          <w:szCs w:val="20"/>
          <w:lang w:eastAsia="ja-JP"/>
        </w:rPr>
        <w:t>целом</w:t>
      </w:r>
      <w:proofErr w:type="gramEnd"/>
      <w:r w:rsidRPr="00E103B9">
        <w:rPr>
          <w:rFonts w:eastAsia="MS Mincho"/>
          <w:iCs/>
          <w:sz w:val="28"/>
          <w:szCs w:val="20"/>
          <w:lang w:eastAsia="ja-JP"/>
        </w:rPr>
        <w:t xml:space="preserve"> оценивая положительно данную меру налоговой политики, следует отметить необходимость продления эксперимента, который рассчитан на предельно короткий срок. В настоящее время планируется установить апробируемые правила в качестве постоянных уже с 1 января 2023 г.</w:t>
      </w:r>
      <w:r w:rsidRPr="00E103B9">
        <w:rPr>
          <w:rFonts w:eastAsia="MS Mincho"/>
          <w:iCs/>
          <w:sz w:val="28"/>
          <w:szCs w:val="20"/>
          <w:vertAlign w:val="superscript"/>
          <w:lang w:eastAsia="ja-JP"/>
        </w:rPr>
        <w:footnoteReference w:id="13"/>
      </w:r>
      <w:r w:rsidRPr="00E103B9">
        <w:rPr>
          <w:rFonts w:eastAsia="MS Mincho"/>
          <w:iCs/>
          <w:sz w:val="28"/>
          <w:szCs w:val="20"/>
          <w:lang w:eastAsia="ja-JP"/>
        </w:rPr>
        <w:t xml:space="preserve"> с полной заменой действующего порядка уплаты налогов. Между тем, на присоединение к эксперименту было </w:t>
      </w:r>
      <w:proofErr w:type="gramStart"/>
      <w:r w:rsidRPr="00E103B9">
        <w:rPr>
          <w:rFonts w:eastAsia="MS Mincho"/>
          <w:iCs/>
          <w:sz w:val="28"/>
          <w:szCs w:val="20"/>
          <w:lang w:eastAsia="ja-JP"/>
        </w:rPr>
        <w:t>отведено крайне мало</w:t>
      </w:r>
      <w:proofErr w:type="gramEnd"/>
      <w:r w:rsidRPr="00E103B9">
        <w:rPr>
          <w:rFonts w:eastAsia="MS Mincho"/>
          <w:iCs/>
          <w:sz w:val="28"/>
          <w:szCs w:val="20"/>
          <w:lang w:eastAsia="ja-JP"/>
        </w:rPr>
        <w:t xml:space="preserve"> времени (фактически только апрель </w:t>
      </w:r>
      <w:r w:rsidRPr="00E103B9">
        <w:rPr>
          <w:rFonts w:eastAsia="MS Mincho"/>
          <w:iCs/>
          <w:sz w:val="28"/>
          <w:szCs w:val="20"/>
          <w:lang w:eastAsia="ja-JP"/>
        </w:rPr>
        <w:lastRenderedPageBreak/>
        <w:t xml:space="preserve">2022 г.), вследствие чего большинство российских компаний не смогут на практике адаптировать свои учетные системы к обновляемому порядку, что важно для получения обратной связи и выявления возможных уязвимостей технологической основы единого налогового платежа. </w:t>
      </w:r>
      <w:proofErr w:type="gramStart"/>
      <w:r w:rsidRPr="00E103B9">
        <w:rPr>
          <w:rFonts w:eastAsia="MS Mincho"/>
          <w:iCs/>
          <w:sz w:val="28"/>
          <w:szCs w:val="20"/>
          <w:lang w:eastAsia="ja-JP"/>
        </w:rPr>
        <w:t>Кроме того, переход на новые правила запланирован с начала года, когда нагрузка на бухгалтерии и финансовые службы бизнеса наиболее высока, а потому сроки перехода на обязательность такого платежа целесообразно продлить хотя бы на один год, разрешив компаниям, которые не успели обратиться с заявлением о применении особого порядка уплаты налогов, присоединяться к эксперименту с начала очередного квартала.</w:t>
      </w:r>
      <w:proofErr w:type="gramEnd"/>
    </w:p>
    <w:p w14:paraId="1C64392A"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перспективе будет продолжена политика снижения порогов доступа к налоговому мониторингу, введенному с 1 января 2015 г. для кооперативного сотрудничества бизнеса с государством по вопросам правильной и прозрачной уплаты налогов. Учитывая преимущества данной формы налогового контроля над стандартными налоговыми проверками, расширение сферы ее действия за счет охвата большего числа компаний окажет положительное влияние на состояние платежной дисциплины в экономике, а благодаря поэтапному характеру кооперации с налоговыми органами будет формироваться опыт технологического взаимодействия с налогоплательщиками разных масштабов деятельности. При этом финансовые ограничения к настоящему времени снижались однократно: с 1 июля 2021 г. для перехода на мониторинг налоговых обязательств требуемая совокупная сумма налогов была снижена с 300 </w:t>
      </w:r>
      <w:proofErr w:type="gramStart"/>
      <w:r w:rsidRPr="00E103B9">
        <w:rPr>
          <w:rFonts w:eastAsia="MS Mincho"/>
          <w:iCs/>
          <w:sz w:val="28"/>
          <w:szCs w:val="20"/>
          <w:lang w:eastAsia="ja-JP"/>
        </w:rPr>
        <w:t>млн</w:t>
      </w:r>
      <w:proofErr w:type="gramEnd"/>
      <w:r w:rsidRPr="00E103B9">
        <w:rPr>
          <w:rFonts w:eastAsia="MS Mincho"/>
          <w:iCs/>
          <w:sz w:val="28"/>
          <w:szCs w:val="20"/>
          <w:lang w:eastAsia="ja-JP"/>
        </w:rPr>
        <w:t xml:space="preserve"> до 100 млн руб., а величина доходов и активов – с 3 млрд до 1 млрд руб.</w:t>
      </w:r>
      <w:r w:rsidRPr="00E103B9">
        <w:rPr>
          <w:rFonts w:eastAsia="MS Mincho"/>
          <w:iCs/>
          <w:sz w:val="28"/>
          <w:szCs w:val="20"/>
          <w:vertAlign w:val="superscript"/>
          <w:lang w:eastAsia="ja-JP"/>
        </w:rPr>
        <w:footnoteReference w:id="14"/>
      </w:r>
      <w:r w:rsidRPr="00E103B9">
        <w:rPr>
          <w:rFonts w:eastAsia="MS Mincho"/>
          <w:iCs/>
          <w:sz w:val="28"/>
          <w:szCs w:val="20"/>
          <w:lang w:eastAsia="ja-JP"/>
        </w:rPr>
        <w:t xml:space="preserve"> Таким образом, пороговые требования еще остаются высокими по меркам показателей деятельности массового сегмента компаний, что говорит о целесообразности дальнейшего снижения указанных значений.</w:t>
      </w:r>
    </w:p>
    <w:p w14:paraId="4BF1BB60" w14:textId="77777777" w:rsidR="002F7347" w:rsidRPr="00E103B9" w:rsidRDefault="002F7347" w:rsidP="00A35722">
      <w:pPr>
        <w:spacing w:after="60"/>
        <w:ind w:firstLine="709"/>
        <w:jc w:val="both"/>
        <w:rPr>
          <w:rFonts w:eastAsia="MS Mincho"/>
          <w:b/>
          <w:bCs/>
          <w:i/>
          <w:sz w:val="28"/>
          <w:szCs w:val="20"/>
          <w:lang w:eastAsia="ja-JP"/>
        </w:rPr>
      </w:pPr>
      <w:r w:rsidRPr="00E103B9">
        <w:rPr>
          <w:rFonts w:eastAsia="MS Mincho"/>
          <w:b/>
          <w:bCs/>
          <w:i/>
          <w:sz w:val="28"/>
          <w:szCs w:val="20"/>
          <w:lang w:eastAsia="ja-JP"/>
        </w:rPr>
        <w:t>Международное налогообложение</w:t>
      </w:r>
    </w:p>
    <w:p w14:paraId="13AE37C8"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Как и в предыдущие годы, ОНБНТТП на 2023-2025 гг. закладывается дальнейшее совершенствование системы международного налогообложения. Внедрение предлагаемых мер в целом можно оценить позитивно, однако, на наш взгляд, их недостаточно для достижения целей по сохранению роста инвестиций в основной капитал и содействию скорейшей адаптации национальной экономики новым реалиям. Рассмотрим более детально предлагаемые меры.</w:t>
      </w:r>
    </w:p>
    <w:p w14:paraId="1D9EA855"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w:t>
      </w:r>
      <w:proofErr w:type="gramStart"/>
      <w:r w:rsidRPr="00E103B9">
        <w:rPr>
          <w:rFonts w:eastAsia="MS Mincho"/>
          <w:iCs/>
          <w:sz w:val="28"/>
          <w:szCs w:val="20"/>
          <w:lang w:eastAsia="ja-JP"/>
        </w:rPr>
        <w:t>октябре</w:t>
      </w:r>
      <w:proofErr w:type="gramEnd"/>
      <w:r w:rsidRPr="00E103B9">
        <w:rPr>
          <w:rFonts w:eastAsia="MS Mincho"/>
          <w:iCs/>
          <w:sz w:val="28"/>
          <w:szCs w:val="20"/>
          <w:lang w:eastAsia="ja-JP"/>
        </w:rPr>
        <w:t xml:space="preserve"> 2022 г. в Москве был подписан договор между Беларусью и Россией об общих принципах налогообложения по косвенным налогам. Указанное соглашение предусматривает собой гармонизацию ставок акцизов для части товаров и определение до начала января 2023 г. перечня операций, освобождаемых от уплаты НДС или облагаемых по пониженной его налоговой ставке. Сближение налоговых систем способно привести к выравниванию условий для белорусского и российского бизнеса.</w:t>
      </w:r>
    </w:p>
    <w:p w14:paraId="6AAC92F4"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lastRenderedPageBreak/>
        <w:t xml:space="preserve">За последние несколько лет российская сеть двусторонних налоговых договоров претерпела существенные изменения. Были модифицированы соглашения с Люксембургом, Кипром и Мальтой в сторону повышения ставок налога у источника по дивидендам и процентам. Претерпел процедуру денонсации договор с Нидерландами. В перспективе ожидается корректировка соглашений с Гонконгом, Сингапуром и Швейцарией. В </w:t>
      </w:r>
      <w:proofErr w:type="gramStart"/>
      <w:r w:rsidRPr="00E103B9">
        <w:rPr>
          <w:rFonts w:eastAsia="MS Mincho"/>
          <w:iCs/>
          <w:sz w:val="28"/>
          <w:szCs w:val="20"/>
          <w:lang w:eastAsia="ja-JP"/>
        </w:rPr>
        <w:t>условиях</w:t>
      </w:r>
      <w:proofErr w:type="gramEnd"/>
      <w:r w:rsidRPr="00E103B9">
        <w:rPr>
          <w:rFonts w:eastAsia="MS Mincho"/>
          <w:iCs/>
          <w:sz w:val="28"/>
          <w:szCs w:val="20"/>
          <w:lang w:eastAsia="ja-JP"/>
        </w:rPr>
        <w:t xml:space="preserve"> сокращения присутствия компаний из «недружественных» юрисдикций в российской экономике только повышение налога у источника по дивидендам и процентам по иным налоговым соглашениям может быть недостаточно эффективным. Таким образом, преследуя цель фискальной консолидации, целесообразным, на наш взгляд, является сосредоточение и на других направлениях развития российской налоговой системы, среди которых можно выделить следующие:</w:t>
      </w:r>
    </w:p>
    <w:p w14:paraId="798E7ED1" w14:textId="77777777" w:rsidR="002F7347" w:rsidRPr="00E103B9" w:rsidRDefault="002F7347" w:rsidP="00A35722">
      <w:pPr>
        <w:numPr>
          <w:ilvl w:val="0"/>
          <w:numId w:val="42"/>
        </w:numPr>
        <w:spacing w:after="60"/>
        <w:ind w:left="0" w:firstLine="709"/>
        <w:jc w:val="both"/>
        <w:rPr>
          <w:rFonts w:eastAsia="MS Mincho"/>
          <w:iCs/>
          <w:sz w:val="28"/>
          <w:szCs w:val="20"/>
          <w:lang w:eastAsia="ja-JP"/>
        </w:rPr>
      </w:pPr>
      <w:r w:rsidRPr="00E103B9">
        <w:rPr>
          <w:rFonts w:eastAsia="MS Mincho"/>
          <w:iCs/>
          <w:sz w:val="28"/>
          <w:szCs w:val="20"/>
          <w:lang w:eastAsia="ja-JP"/>
        </w:rPr>
        <w:t>Изменение критериев признания юридического лица налоговым резидентом России в пользу большего использования объективных факторов взамен субъективного критерия «места эффективного управления».</w:t>
      </w:r>
    </w:p>
    <w:p w14:paraId="6AA41282" w14:textId="77777777" w:rsidR="002F7347" w:rsidRPr="00E103B9" w:rsidRDefault="002F7347" w:rsidP="00A35722">
      <w:pPr>
        <w:numPr>
          <w:ilvl w:val="0"/>
          <w:numId w:val="42"/>
        </w:numPr>
        <w:spacing w:after="60"/>
        <w:ind w:left="0" w:firstLine="709"/>
        <w:jc w:val="both"/>
        <w:rPr>
          <w:rFonts w:eastAsia="MS Mincho"/>
          <w:iCs/>
          <w:sz w:val="28"/>
          <w:szCs w:val="20"/>
          <w:lang w:eastAsia="ja-JP"/>
        </w:rPr>
      </w:pPr>
      <w:r w:rsidRPr="00E103B9">
        <w:rPr>
          <w:rFonts w:eastAsia="MS Mincho"/>
          <w:iCs/>
          <w:sz w:val="28"/>
          <w:szCs w:val="20"/>
          <w:lang w:eastAsia="ja-JP"/>
        </w:rPr>
        <w:t xml:space="preserve">Развитие механизма налогообложения непрямой продажи долей (акций) российских компаний. </w:t>
      </w:r>
      <w:proofErr w:type="gramStart"/>
      <w:r w:rsidRPr="00E103B9">
        <w:rPr>
          <w:rFonts w:eastAsia="MS Mincho"/>
          <w:iCs/>
          <w:sz w:val="28"/>
          <w:szCs w:val="20"/>
          <w:lang w:eastAsia="ja-JP"/>
        </w:rPr>
        <w:t>Данное</w:t>
      </w:r>
      <w:proofErr w:type="gramEnd"/>
      <w:r w:rsidRPr="00E103B9">
        <w:rPr>
          <w:rFonts w:eastAsia="MS Mincho"/>
          <w:iCs/>
          <w:sz w:val="28"/>
          <w:szCs w:val="20"/>
          <w:lang w:eastAsia="ja-JP"/>
        </w:rPr>
        <w:t xml:space="preserve"> направление представляется особенно актуальным именно в текущих условиях, характеризующихся резким ростом продажи российских активов на уровне иностранных юридических лиц.</w:t>
      </w:r>
    </w:p>
    <w:p w14:paraId="3366E55C" w14:textId="77777777" w:rsidR="002F7347" w:rsidRPr="00E103B9" w:rsidRDefault="002F7347" w:rsidP="00A35722">
      <w:pPr>
        <w:numPr>
          <w:ilvl w:val="0"/>
          <w:numId w:val="42"/>
        </w:numPr>
        <w:spacing w:after="60"/>
        <w:ind w:left="0" w:firstLine="709"/>
        <w:jc w:val="both"/>
        <w:rPr>
          <w:rFonts w:eastAsia="MS Mincho"/>
          <w:iCs/>
          <w:sz w:val="28"/>
          <w:szCs w:val="20"/>
          <w:lang w:eastAsia="ja-JP"/>
        </w:rPr>
      </w:pPr>
      <w:r w:rsidRPr="00E103B9">
        <w:rPr>
          <w:rFonts w:eastAsia="MS Mincho"/>
          <w:iCs/>
          <w:sz w:val="28"/>
          <w:szCs w:val="20"/>
          <w:lang w:eastAsia="ja-JP"/>
        </w:rPr>
        <w:t>Переход к частичному налогообложению прибыли иностранных транспортных компаний в случае получения ими доходов на территории России. На сегодняшний день такие доходы преимущественным образом освобождаются от налогообложения в России в силу превалирования норм двусторонних налоговых соглашений.</w:t>
      </w:r>
    </w:p>
    <w:p w14:paraId="0D79D5FD" w14:textId="77777777" w:rsidR="002F7347" w:rsidRPr="00E103B9" w:rsidRDefault="002F7347" w:rsidP="00A35722">
      <w:pPr>
        <w:numPr>
          <w:ilvl w:val="0"/>
          <w:numId w:val="42"/>
        </w:numPr>
        <w:spacing w:after="60"/>
        <w:ind w:left="0" w:firstLine="709"/>
        <w:jc w:val="both"/>
        <w:rPr>
          <w:rFonts w:eastAsia="MS Mincho"/>
          <w:iCs/>
          <w:sz w:val="28"/>
          <w:szCs w:val="20"/>
          <w:lang w:eastAsia="ja-JP"/>
        </w:rPr>
      </w:pPr>
      <w:r w:rsidRPr="00E103B9">
        <w:rPr>
          <w:rFonts w:eastAsia="MS Mincho"/>
          <w:iCs/>
          <w:sz w:val="28"/>
          <w:szCs w:val="20"/>
          <w:lang w:eastAsia="ja-JP"/>
        </w:rPr>
        <w:t>Совершенствование принципов разграничения дивидендов и лицензионных платежей в целях их налогообложения.</w:t>
      </w:r>
    </w:p>
    <w:p w14:paraId="1612FD0A"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Расширение сети международных налоговых договоров может способствовать интенсификации поиска партнеров для инвестирования и торговли.</w:t>
      </w:r>
    </w:p>
    <w:p w14:paraId="71822FF6" w14:textId="2470854D"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Еще одно</w:t>
      </w:r>
      <w:r w:rsidR="00660F8F" w:rsidRPr="00E103B9">
        <w:rPr>
          <w:rFonts w:eastAsia="MS Mincho"/>
          <w:iCs/>
          <w:sz w:val="28"/>
          <w:szCs w:val="20"/>
          <w:lang w:eastAsia="ja-JP"/>
        </w:rPr>
        <w:t>й</w:t>
      </w:r>
      <w:r w:rsidRPr="00E103B9">
        <w:rPr>
          <w:rFonts w:eastAsia="MS Mincho"/>
          <w:iCs/>
          <w:sz w:val="28"/>
          <w:szCs w:val="20"/>
          <w:lang w:eastAsia="ja-JP"/>
        </w:rPr>
        <w:t xml:space="preserve"> налоговой новацией является снижение фискальной нагрузки на российских юридических лиц-владельцев долговых ценных бумаг, выпущенных в соответствии с иностранным законодательством (еврооблигаций) в связи с блокировкой зарубежными расчетными организациями выплат по указанным ценным бумагам в адрес российских юридических лиц. Минфином России предполагается, что для данного вида доходов в виде процентов, начисленных в 2022-2023 </w:t>
      </w:r>
      <w:r w:rsidR="009A1377" w:rsidRPr="00E103B9">
        <w:rPr>
          <w:rFonts w:eastAsia="MS Mincho"/>
          <w:iCs/>
          <w:sz w:val="28"/>
          <w:szCs w:val="20"/>
          <w:lang w:eastAsia="ja-JP"/>
        </w:rPr>
        <w:t>гг.</w:t>
      </w:r>
      <w:r w:rsidRPr="00E103B9">
        <w:rPr>
          <w:rFonts w:eastAsia="MS Mincho"/>
          <w:iCs/>
          <w:sz w:val="28"/>
          <w:szCs w:val="20"/>
          <w:lang w:eastAsia="ja-JP"/>
        </w:rPr>
        <w:t>, датой признания в целях налогообложения будет являться дата фактического поступления денежных средств, но не позже 31.12.2023. Реализацию данной меры можно оценить позитивно, т.к. ранее датой признания налогообложения была дата выплат купонного дохода, тогда как на сегодняшний день указанные средства являются недоступными для налогоплательщиков.</w:t>
      </w:r>
    </w:p>
    <w:p w14:paraId="2A76ED93" w14:textId="77777777" w:rsidR="002F7347" w:rsidRPr="00E103B9" w:rsidRDefault="002F7347" w:rsidP="00A35722">
      <w:pPr>
        <w:spacing w:after="60"/>
        <w:ind w:firstLine="709"/>
        <w:jc w:val="both"/>
        <w:rPr>
          <w:rFonts w:eastAsia="MS Mincho"/>
          <w:iCs/>
          <w:sz w:val="28"/>
          <w:szCs w:val="20"/>
          <w:lang w:eastAsia="ja-JP"/>
        </w:rPr>
      </w:pPr>
      <w:r w:rsidRPr="00E103B9">
        <w:rPr>
          <w:rFonts w:eastAsia="MS Mincho"/>
          <w:iCs/>
          <w:sz w:val="28"/>
          <w:szCs w:val="20"/>
          <w:lang w:eastAsia="ja-JP"/>
        </w:rPr>
        <w:t xml:space="preserve">В ОНБНТТП предлагается рассмотреть вопрос налогообложения доходов, полученных иностранным лицом от источников в Российской Федерации в результате произведенной корректировки цены по сделке, совершенной с российским взаимозависимым лицом. Определение рыночной цены по </w:t>
      </w:r>
      <w:r w:rsidRPr="00E103B9">
        <w:rPr>
          <w:rFonts w:eastAsia="MS Mincho"/>
          <w:iCs/>
          <w:sz w:val="28"/>
          <w:szCs w:val="20"/>
          <w:lang w:eastAsia="ja-JP"/>
        </w:rPr>
        <w:lastRenderedPageBreak/>
        <w:t>международным сделкам с взаимозависимыми лицами может затрагивать экономические интересы сразу нескольких стран. Тогда как несогласованное изменение налоговых последствий может стать причиной двойного налогообложения. Его устранение возможно через проведение симметричных корректировок (в том числе, с учётом положений в двусторонних налоговых соглашениях) и налогообложение соответствующих доходов у источника в России. Таким образом, отталкиваясь от того, что такой механизм уже широко используется в различных странах мира, развитие налогового законодательства в данной части следует только приветствовать.</w:t>
      </w:r>
    </w:p>
    <w:p w14:paraId="5F1BBEBC" w14:textId="77777777" w:rsidR="00F21988" w:rsidRPr="00E103B9" w:rsidRDefault="002F7347" w:rsidP="006B103B">
      <w:pPr>
        <w:spacing w:after="60"/>
        <w:ind w:firstLine="709"/>
        <w:jc w:val="both"/>
        <w:rPr>
          <w:rFonts w:eastAsia="MS Mincho"/>
          <w:iCs/>
          <w:sz w:val="28"/>
          <w:szCs w:val="20"/>
          <w:lang w:eastAsia="ja-JP"/>
        </w:rPr>
      </w:pPr>
      <w:r w:rsidRPr="00E103B9">
        <w:rPr>
          <w:rFonts w:eastAsia="MS Mincho"/>
          <w:iCs/>
          <w:sz w:val="28"/>
          <w:szCs w:val="20"/>
          <w:lang w:eastAsia="ja-JP"/>
        </w:rPr>
        <w:t xml:space="preserve">Также планируется урегулировать порядок косвенного налогообложения в рамках ЕАЭС в части операций, связанных с электронными продажами товаров физическим лицам, с </w:t>
      </w:r>
      <w:proofErr w:type="gramStart"/>
      <w:r w:rsidRPr="00E103B9">
        <w:rPr>
          <w:rFonts w:eastAsia="MS Mincho"/>
          <w:iCs/>
          <w:sz w:val="28"/>
          <w:szCs w:val="20"/>
          <w:lang w:eastAsia="ja-JP"/>
        </w:rPr>
        <w:t>тем</w:t>
      </w:r>
      <w:proofErr w:type="gramEnd"/>
      <w:r w:rsidRPr="00E103B9">
        <w:rPr>
          <w:rFonts w:eastAsia="MS Mincho"/>
          <w:iCs/>
          <w:sz w:val="28"/>
          <w:szCs w:val="20"/>
          <w:lang w:eastAsia="ja-JP"/>
        </w:rPr>
        <w:t xml:space="preserve"> чтобы элиминировать риски двойного налогообложения, когда НДС уплачивается в стране продавца и в стране покупателя. Для решения этой проблемы предлагается задействовать правило уплаты налога по месту назначения (получателя) товара, о котором сказано выше. Соответствующая гармонизация налоговых правил между государствами-членами союза позволит снизить цены на товары, улучшить на этой основе деловой климат и придать дополнительный импульс развитию рынка электронной коммерции</w:t>
      </w:r>
      <w:bookmarkEnd w:id="6"/>
      <w:r w:rsidR="006B103B" w:rsidRPr="00E103B9">
        <w:rPr>
          <w:rFonts w:eastAsia="MS Mincho"/>
          <w:iCs/>
          <w:sz w:val="28"/>
          <w:szCs w:val="20"/>
          <w:lang w:eastAsia="ja-JP"/>
        </w:rPr>
        <w:t>.</w:t>
      </w:r>
    </w:p>
    <w:p w14:paraId="1682EE11" w14:textId="16E7643E" w:rsidR="00E21D85" w:rsidRPr="00E103B9" w:rsidRDefault="00E21D85" w:rsidP="006B103B">
      <w:pPr>
        <w:jc w:val="both"/>
        <w:rPr>
          <w:sz w:val="28"/>
          <w:lang w:eastAsia="en-US"/>
        </w:rPr>
      </w:pPr>
    </w:p>
    <w:p w14:paraId="56F97F46" w14:textId="01480C95" w:rsidR="00320001" w:rsidRPr="00E103B9" w:rsidRDefault="00320001" w:rsidP="006B103B">
      <w:pPr>
        <w:keepNext/>
        <w:spacing w:after="240"/>
        <w:jc w:val="center"/>
        <w:outlineLvl w:val="1"/>
        <w:rPr>
          <w:b/>
          <w:sz w:val="28"/>
          <w:szCs w:val="20"/>
        </w:rPr>
      </w:pPr>
      <w:r w:rsidRPr="00E103B9">
        <w:rPr>
          <w:rFonts w:eastAsia="Calibri"/>
          <w:sz w:val="28"/>
          <w:lang w:eastAsia="en-US"/>
        </w:rPr>
        <w:t xml:space="preserve"> </w:t>
      </w:r>
      <w:bookmarkStart w:id="8" w:name="_Toc116593931"/>
      <w:r w:rsidR="006B103B" w:rsidRPr="00E103B9">
        <w:rPr>
          <w:b/>
          <w:sz w:val="28"/>
          <w:szCs w:val="20"/>
        </w:rPr>
        <w:t>3</w:t>
      </w:r>
      <w:r w:rsidR="00E21D85" w:rsidRPr="00E103B9">
        <w:rPr>
          <w:b/>
          <w:sz w:val="28"/>
          <w:szCs w:val="20"/>
        </w:rPr>
        <w:t>.2 Нефтегазовые доходы</w:t>
      </w:r>
      <w:bookmarkEnd w:id="8"/>
    </w:p>
    <w:p w14:paraId="74C91FCE" w14:textId="007E116E" w:rsidR="00437C96" w:rsidRPr="00E103B9" w:rsidRDefault="00437C96" w:rsidP="00A35722">
      <w:pPr>
        <w:spacing w:after="60"/>
        <w:ind w:firstLine="709"/>
        <w:contextualSpacing/>
        <w:jc w:val="both"/>
        <w:rPr>
          <w:sz w:val="28"/>
        </w:rPr>
      </w:pPr>
      <w:r w:rsidRPr="00E103B9">
        <w:rPr>
          <w:sz w:val="28"/>
        </w:rPr>
        <w:t xml:space="preserve">В </w:t>
      </w:r>
      <w:proofErr w:type="gramStart"/>
      <w:r w:rsidRPr="00E103B9">
        <w:rPr>
          <w:sz w:val="28"/>
        </w:rPr>
        <w:t>Законопроекте</w:t>
      </w:r>
      <w:proofErr w:type="gramEnd"/>
      <w:r w:rsidRPr="00E103B9">
        <w:rPr>
          <w:sz w:val="28"/>
        </w:rPr>
        <w:t xml:space="preserve"> заложено снижение нефтегазовых доходов по отношению к ВВП с 8,0% ВВП в 2022 </w:t>
      </w:r>
      <w:r w:rsidR="00A05656" w:rsidRPr="00E103B9">
        <w:rPr>
          <w:sz w:val="28"/>
        </w:rPr>
        <w:t xml:space="preserve">г. </w:t>
      </w:r>
      <w:r w:rsidRPr="00E103B9">
        <w:rPr>
          <w:sz w:val="28"/>
        </w:rPr>
        <w:t xml:space="preserve">до 5,0% ВВП к 2025 </w:t>
      </w:r>
      <w:r w:rsidR="00A05656" w:rsidRPr="00E103B9">
        <w:rPr>
          <w:sz w:val="28"/>
        </w:rPr>
        <w:t>г.</w:t>
      </w:r>
      <w:r w:rsidRPr="00E103B9">
        <w:rPr>
          <w:sz w:val="28"/>
        </w:rPr>
        <w:t xml:space="preserve">, связанное с прогнозируемым постепенным снижением цен на нефть и объемов ее добычи, а также с изменением структуры добычи в пользу льготных режимов налогообложения. В </w:t>
      </w:r>
      <w:proofErr w:type="gramStart"/>
      <w:r w:rsidRPr="00E103B9">
        <w:rPr>
          <w:sz w:val="28"/>
        </w:rPr>
        <w:t>итоге</w:t>
      </w:r>
      <w:proofErr w:type="gramEnd"/>
      <w:r w:rsidRPr="00E103B9">
        <w:rPr>
          <w:sz w:val="28"/>
        </w:rPr>
        <w:t xml:space="preserve"> ожидается снижение доли нефтегазовых доходов в общих поступлениях доходов федерального бюджета с 42,1% в 2022 году до 30,5% в 2025 г.</w:t>
      </w:r>
    </w:p>
    <w:p w14:paraId="62D61FA4" w14:textId="77777777" w:rsidR="00437C96" w:rsidRPr="00E103B9" w:rsidRDefault="00437C96" w:rsidP="00A35722">
      <w:pPr>
        <w:spacing w:after="60"/>
        <w:ind w:firstLine="709"/>
        <w:contextualSpacing/>
        <w:jc w:val="both"/>
        <w:rPr>
          <w:sz w:val="28"/>
        </w:rPr>
      </w:pPr>
      <w:r w:rsidRPr="00E103B9">
        <w:rPr>
          <w:sz w:val="28"/>
        </w:rPr>
        <w:t xml:space="preserve">Поступление НДПИ в виде углеводородного сырья, согласно расчетам, приведенным в Пояснительной записке, прогнозируется в объёме 7 945,6 </w:t>
      </w:r>
      <w:proofErr w:type="gramStart"/>
      <w:r w:rsidRPr="00E103B9">
        <w:rPr>
          <w:sz w:val="28"/>
        </w:rPr>
        <w:t>млрд</w:t>
      </w:r>
      <w:proofErr w:type="gramEnd"/>
      <w:r w:rsidRPr="00E103B9">
        <w:rPr>
          <w:sz w:val="28"/>
        </w:rPr>
        <w:t xml:space="preserve"> руб. в 2023 г. (8 102,2 млрд руб. – 2024 г., 8 187,9 млрд руб. – 2025 г.), в том числе:</w:t>
      </w:r>
    </w:p>
    <w:p w14:paraId="4B88AF85" w14:textId="77777777" w:rsidR="00437C96" w:rsidRPr="00E103B9" w:rsidRDefault="00437C96" w:rsidP="00A35722">
      <w:pPr>
        <w:pStyle w:val="afc"/>
        <w:numPr>
          <w:ilvl w:val="0"/>
          <w:numId w:val="25"/>
        </w:numPr>
        <w:spacing w:before="0" w:after="60"/>
        <w:ind w:left="0" w:firstLine="709"/>
        <w:rPr>
          <w:rFonts w:eastAsia="Calibri"/>
          <w:sz w:val="28"/>
          <w:szCs w:val="24"/>
        </w:rPr>
      </w:pPr>
      <w:r w:rsidRPr="00E103B9">
        <w:rPr>
          <w:rFonts w:eastAsia="Calibri"/>
          <w:sz w:val="28"/>
          <w:szCs w:val="24"/>
        </w:rPr>
        <w:t xml:space="preserve">по нефти 6 948,5 </w:t>
      </w:r>
      <w:proofErr w:type="gramStart"/>
      <w:r w:rsidRPr="00E103B9">
        <w:rPr>
          <w:rFonts w:eastAsia="Calibri"/>
          <w:sz w:val="28"/>
          <w:szCs w:val="24"/>
        </w:rPr>
        <w:t>млрд</w:t>
      </w:r>
      <w:proofErr w:type="gramEnd"/>
      <w:r w:rsidRPr="00E103B9">
        <w:rPr>
          <w:rFonts w:eastAsia="Calibri"/>
          <w:sz w:val="28"/>
          <w:szCs w:val="24"/>
        </w:rPr>
        <w:t xml:space="preserve"> руб., с ожидаемым уровнем поступлений от экспортной пошлины на нефть – 261,7 млрд руб. (для 2024 г. – 6 967,7 и 0 млрд руб., для 2025 г. – 6 964,6 и 0 млрд руб.);</w:t>
      </w:r>
    </w:p>
    <w:p w14:paraId="55C24C18" w14:textId="77777777" w:rsidR="00437C96" w:rsidRPr="00E103B9" w:rsidRDefault="00437C96" w:rsidP="00A35722">
      <w:pPr>
        <w:pStyle w:val="afc"/>
        <w:numPr>
          <w:ilvl w:val="0"/>
          <w:numId w:val="25"/>
        </w:numPr>
        <w:spacing w:before="0" w:after="60"/>
        <w:ind w:left="0" w:firstLine="709"/>
        <w:rPr>
          <w:rFonts w:eastAsia="Calibri"/>
          <w:sz w:val="28"/>
          <w:szCs w:val="24"/>
        </w:rPr>
      </w:pPr>
      <w:r w:rsidRPr="00E103B9">
        <w:rPr>
          <w:rFonts w:eastAsia="Calibri"/>
          <w:sz w:val="28"/>
          <w:szCs w:val="24"/>
        </w:rPr>
        <w:t xml:space="preserve">по газу горючему природному 696,5 </w:t>
      </w:r>
      <w:proofErr w:type="gramStart"/>
      <w:r w:rsidRPr="00E103B9">
        <w:rPr>
          <w:rFonts w:eastAsia="Calibri"/>
          <w:sz w:val="28"/>
          <w:szCs w:val="24"/>
        </w:rPr>
        <w:t>млрд</w:t>
      </w:r>
      <w:proofErr w:type="gramEnd"/>
      <w:r w:rsidRPr="00E103B9">
        <w:rPr>
          <w:rFonts w:eastAsia="Calibri"/>
          <w:sz w:val="28"/>
          <w:szCs w:val="24"/>
        </w:rPr>
        <w:t xml:space="preserve"> руб., с ожидаемым уровнем поступлений от экспортной пошлины 1 704,2 млрд руб. (для 2024 г. – 793,9 и 1 318,5 млрд руб., для 2025 г. – 878,6 и 1 047,5 млрд руб. соответственно);</w:t>
      </w:r>
    </w:p>
    <w:p w14:paraId="19EE1933" w14:textId="77777777" w:rsidR="00437C96" w:rsidRPr="00E103B9" w:rsidRDefault="00437C96" w:rsidP="00A35722">
      <w:pPr>
        <w:pStyle w:val="afc"/>
        <w:numPr>
          <w:ilvl w:val="0"/>
          <w:numId w:val="25"/>
        </w:numPr>
        <w:spacing w:before="0" w:after="60"/>
        <w:ind w:left="0" w:firstLine="709"/>
        <w:rPr>
          <w:rFonts w:eastAsia="Calibri"/>
          <w:sz w:val="28"/>
          <w:szCs w:val="24"/>
        </w:rPr>
      </w:pPr>
      <w:r w:rsidRPr="00E103B9">
        <w:rPr>
          <w:rFonts w:eastAsia="Calibri"/>
          <w:sz w:val="28"/>
          <w:szCs w:val="24"/>
        </w:rPr>
        <w:t xml:space="preserve">по газовому конденсату 300,6 </w:t>
      </w:r>
      <w:proofErr w:type="gramStart"/>
      <w:r w:rsidRPr="00E103B9">
        <w:rPr>
          <w:rFonts w:eastAsia="Calibri"/>
          <w:sz w:val="28"/>
          <w:szCs w:val="24"/>
        </w:rPr>
        <w:t>млрд</w:t>
      </w:r>
      <w:proofErr w:type="gramEnd"/>
      <w:r w:rsidRPr="00E103B9">
        <w:rPr>
          <w:rFonts w:eastAsia="Calibri"/>
          <w:sz w:val="28"/>
          <w:szCs w:val="24"/>
        </w:rPr>
        <w:t xml:space="preserve"> руб. (для 2024 г. – 340,6 млрд руб., для 2025 г. – 344,7 млрд руб.).</w:t>
      </w:r>
    </w:p>
    <w:p w14:paraId="5E498341" w14:textId="0E7EA4EC" w:rsidR="00437C96" w:rsidRPr="00E103B9" w:rsidRDefault="00437C96" w:rsidP="00A35722">
      <w:pPr>
        <w:spacing w:after="60"/>
        <w:ind w:firstLine="709"/>
        <w:contextualSpacing/>
        <w:jc w:val="both"/>
        <w:rPr>
          <w:rFonts w:eastAsia="Calibri"/>
          <w:sz w:val="28"/>
        </w:rPr>
      </w:pPr>
      <w:r w:rsidRPr="00E103B9">
        <w:rPr>
          <w:rFonts w:eastAsia="Calibri"/>
          <w:sz w:val="28"/>
        </w:rPr>
        <w:t>Расчёты, приведенные в Пояснительной записке, проведены в предположении о том, что среднегодовой курс доллара США к рублю составит 68,3 в 2023 г., 70,9 в 2024 г. и 72,2 в 2025 г., а цена на нефть марки «Юралс» – 70,1, 67,5, 65 долларов США за баррель в 2023-2025 гг. соответственно. Цены на газ (</w:t>
      </w:r>
      <w:proofErr w:type="spellStart"/>
      <w:r w:rsidRPr="00E103B9">
        <w:rPr>
          <w:rFonts w:eastAsia="Calibri"/>
          <w:sz w:val="28"/>
        </w:rPr>
        <w:t>среднеконтрактные</w:t>
      </w:r>
      <w:proofErr w:type="spellEnd"/>
      <w:r w:rsidRPr="00E103B9">
        <w:rPr>
          <w:rFonts w:eastAsia="Calibri"/>
          <w:sz w:val="28"/>
        </w:rPr>
        <w:t xml:space="preserve">, включая страны СНГ) предполагаются равными: в 2023 г. – </w:t>
      </w:r>
      <w:r w:rsidRPr="00E103B9">
        <w:rPr>
          <w:rFonts w:eastAsia="Calibri"/>
          <w:sz w:val="28"/>
        </w:rPr>
        <w:lastRenderedPageBreak/>
        <w:t>592,2, в 2024 г. – 477,1, в 2025 г. – 400,1 доллара США за тыс. куб. м, что соответствует базовому сценарию Прогноза.</w:t>
      </w:r>
    </w:p>
    <w:p w14:paraId="453D4AA0" w14:textId="77777777" w:rsidR="00437C96" w:rsidRPr="00E103B9" w:rsidRDefault="00437C96" w:rsidP="00A35722">
      <w:pPr>
        <w:spacing w:after="60"/>
        <w:ind w:firstLine="709"/>
        <w:contextualSpacing/>
        <w:jc w:val="both"/>
        <w:rPr>
          <w:rFonts w:eastAsia="Calibri"/>
          <w:sz w:val="28"/>
        </w:rPr>
      </w:pPr>
      <w:r w:rsidRPr="00E103B9">
        <w:rPr>
          <w:rFonts w:eastAsia="Calibri"/>
          <w:sz w:val="28"/>
        </w:rPr>
        <w:t>Указанные поступления в бюджет в 2023–2025 гг. обеспечиваются следующей конфигурацией параметров налоговой системы в нефтегазовой отрасли:</w:t>
      </w:r>
    </w:p>
    <w:p w14:paraId="5B64B92F" w14:textId="77777777" w:rsidR="00437C96" w:rsidRPr="00E103B9" w:rsidRDefault="00437C96" w:rsidP="00A35722">
      <w:pPr>
        <w:pStyle w:val="afc"/>
        <w:numPr>
          <w:ilvl w:val="0"/>
          <w:numId w:val="25"/>
        </w:numPr>
        <w:spacing w:before="0" w:after="60"/>
        <w:ind w:left="0" w:firstLine="709"/>
        <w:rPr>
          <w:rFonts w:eastAsia="Calibri"/>
          <w:sz w:val="28"/>
          <w:szCs w:val="24"/>
        </w:rPr>
      </w:pPr>
      <w:r w:rsidRPr="00E103B9">
        <w:rPr>
          <w:rFonts w:eastAsia="Calibri"/>
          <w:sz w:val="28"/>
          <w:szCs w:val="24"/>
        </w:rPr>
        <w:t>для нефти фиксация базовой ставки НДПИ на уровне 919 руб. за тонну;</w:t>
      </w:r>
    </w:p>
    <w:p w14:paraId="422130D7" w14:textId="77777777" w:rsidR="00437C96" w:rsidRPr="00E103B9" w:rsidRDefault="00437C96" w:rsidP="00A35722">
      <w:pPr>
        <w:pStyle w:val="afc"/>
        <w:numPr>
          <w:ilvl w:val="0"/>
          <w:numId w:val="25"/>
        </w:numPr>
        <w:spacing w:before="0" w:after="60"/>
        <w:ind w:left="0" w:firstLine="709"/>
        <w:rPr>
          <w:rFonts w:eastAsia="Calibri"/>
          <w:sz w:val="28"/>
          <w:szCs w:val="24"/>
        </w:rPr>
      </w:pPr>
      <w:r w:rsidRPr="00E103B9">
        <w:rPr>
          <w:rFonts w:eastAsia="Calibri"/>
          <w:sz w:val="28"/>
          <w:szCs w:val="24"/>
        </w:rPr>
        <w:t>для газа горючего природного фиксация базовой ставки НДПИ на уровне 35 руб. за тыс. куб. м;</w:t>
      </w:r>
    </w:p>
    <w:p w14:paraId="0E5B901C" w14:textId="77777777" w:rsidR="00437C96" w:rsidRPr="00E103B9" w:rsidRDefault="00437C96" w:rsidP="00A35722">
      <w:pPr>
        <w:pStyle w:val="afc"/>
        <w:numPr>
          <w:ilvl w:val="0"/>
          <w:numId w:val="25"/>
        </w:numPr>
        <w:spacing w:before="0" w:after="60"/>
        <w:ind w:left="0" w:firstLine="709"/>
        <w:rPr>
          <w:rFonts w:eastAsia="Calibri"/>
          <w:sz w:val="28"/>
          <w:szCs w:val="24"/>
        </w:rPr>
      </w:pPr>
      <w:r w:rsidRPr="00E103B9">
        <w:rPr>
          <w:rFonts w:eastAsia="Calibri"/>
          <w:sz w:val="28"/>
          <w:szCs w:val="24"/>
        </w:rPr>
        <w:t>для газового конденсата фиксация базовой ставки НДПИ на уровне 42 руб. за тонну.</w:t>
      </w:r>
    </w:p>
    <w:p w14:paraId="69B43A24" w14:textId="77777777" w:rsidR="00437C96" w:rsidRPr="00E103B9" w:rsidRDefault="00437C96" w:rsidP="00A35722">
      <w:pPr>
        <w:spacing w:after="60"/>
        <w:ind w:firstLine="709"/>
        <w:contextualSpacing/>
        <w:jc w:val="both"/>
        <w:rPr>
          <w:rFonts w:eastAsia="Calibri"/>
          <w:sz w:val="28"/>
        </w:rPr>
      </w:pPr>
      <w:r w:rsidRPr="00E103B9">
        <w:rPr>
          <w:rFonts w:eastAsia="Calibri"/>
          <w:sz w:val="28"/>
        </w:rPr>
        <w:t xml:space="preserve">По сравнению с оценкой поступлений за 2022 г., приведенной в Пояснительной записке, в 2023 г. прогнозируется снижение НДПИ по углеводородному сырью на 2 728,0 </w:t>
      </w:r>
      <w:proofErr w:type="gramStart"/>
      <w:r w:rsidRPr="00E103B9">
        <w:rPr>
          <w:rFonts w:eastAsia="Calibri"/>
          <w:sz w:val="28"/>
        </w:rPr>
        <w:t>млрд</w:t>
      </w:r>
      <w:proofErr w:type="gramEnd"/>
      <w:r w:rsidRPr="00E103B9">
        <w:rPr>
          <w:rFonts w:eastAsia="Calibri"/>
          <w:sz w:val="28"/>
        </w:rPr>
        <w:t xml:space="preserve"> руб., в 2024 г. по сравнению с 2023 г. рост на 156,6 млрд руб., в 2025 г. по сравнению с 2024 г. рост на 85,7 млрд руб., в основном за счет макроэкономических условий и изменений в налоговом законодательстве.</w:t>
      </w:r>
    </w:p>
    <w:p w14:paraId="42276B38" w14:textId="77777777" w:rsidR="00437C96" w:rsidRPr="00E103B9" w:rsidRDefault="00437C96" w:rsidP="00A35722">
      <w:pPr>
        <w:spacing w:after="60"/>
        <w:ind w:firstLine="709"/>
        <w:contextualSpacing/>
        <w:jc w:val="both"/>
        <w:rPr>
          <w:rFonts w:eastAsia="Calibri"/>
          <w:sz w:val="28"/>
        </w:rPr>
      </w:pPr>
      <w:r w:rsidRPr="00E103B9">
        <w:rPr>
          <w:rFonts w:eastAsia="Calibri"/>
          <w:sz w:val="28"/>
        </w:rPr>
        <w:t xml:space="preserve">В </w:t>
      </w:r>
      <w:proofErr w:type="gramStart"/>
      <w:r w:rsidRPr="00E103B9">
        <w:rPr>
          <w:rFonts w:eastAsia="Calibri"/>
          <w:sz w:val="28"/>
        </w:rPr>
        <w:t>расчете</w:t>
      </w:r>
      <w:proofErr w:type="gramEnd"/>
      <w:r w:rsidRPr="00E103B9">
        <w:rPr>
          <w:rFonts w:eastAsia="Calibri"/>
          <w:sz w:val="28"/>
        </w:rPr>
        <w:t xml:space="preserve">, приведенном в Пояснительной записке, учтен специальный порядок определения и расчета НДПИ применительно к нефти, добытой на участках недр, на которых уплачивается НДД. В 2023 г. прогнозируются снижение НДД по сравнению с 2022 г. на 531,3 </w:t>
      </w:r>
      <w:proofErr w:type="gramStart"/>
      <w:r w:rsidRPr="00E103B9">
        <w:rPr>
          <w:rFonts w:eastAsia="Calibri"/>
          <w:sz w:val="28"/>
        </w:rPr>
        <w:t>млрд</w:t>
      </w:r>
      <w:proofErr w:type="gramEnd"/>
      <w:r w:rsidRPr="00E103B9">
        <w:rPr>
          <w:rFonts w:eastAsia="Calibri"/>
          <w:sz w:val="28"/>
        </w:rPr>
        <w:t xml:space="preserve"> руб., в 2024 г. по сравнению с 2023 г. прогнозируется рост НДД на 227,7 млрд руб., в 2024 г. прогнозируется падение НДД по сравнению с 2025 г. на 85,7 млрд руб. Прогнозируемое падение поступлений в 2023 г. связано главным образом с влиянием на объем фактических налоговых расходов, учитываемых при расчете дополнительного дохода, проектируемого изменения законодательства в части налогообложения нефти, в части введения с 1 января 2023 года повышающего коэффициента </w:t>
      </w:r>
      <w:proofErr w:type="spellStart"/>
      <w:r w:rsidRPr="00E103B9">
        <w:rPr>
          <w:rFonts w:eastAsia="Calibri"/>
          <w:sz w:val="28"/>
        </w:rPr>
        <w:t>Кнв</w:t>
      </w:r>
      <w:proofErr w:type="spellEnd"/>
      <w:r w:rsidRPr="00E103B9">
        <w:rPr>
          <w:rFonts w:eastAsia="Calibri"/>
          <w:sz w:val="28"/>
        </w:rPr>
        <w:t xml:space="preserve"> при расчете коэффициента </w:t>
      </w:r>
      <w:proofErr w:type="spellStart"/>
      <w:r w:rsidRPr="00E103B9">
        <w:rPr>
          <w:rFonts w:eastAsia="Calibri"/>
          <w:sz w:val="28"/>
        </w:rPr>
        <w:t>Нбуг</w:t>
      </w:r>
      <w:proofErr w:type="spellEnd"/>
      <w:r w:rsidRPr="00E103B9">
        <w:rPr>
          <w:rFonts w:eastAsia="Calibri"/>
          <w:sz w:val="28"/>
        </w:rPr>
        <w:t xml:space="preserve">, используемого для расчета коэффициента </w:t>
      </w:r>
      <w:proofErr w:type="spellStart"/>
      <w:r w:rsidRPr="00E103B9">
        <w:rPr>
          <w:rFonts w:eastAsia="Calibri"/>
          <w:sz w:val="28"/>
        </w:rPr>
        <w:t>Кабдт</w:t>
      </w:r>
      <w:proofErr w:type="spellEnd"/>
      <w:r w:rsidRPr="00E103B9">
        <w:rPr>
          <w:rFonts w:eastAsia="Calibri"/>
          <w:sz w:val="28"/>
        </w:rPr>
        <w:t xml:space="preserve"> в ставке НДПИ на нефть, а также с изменением курса доллара США и цены на нефть.</w:t>
      </w:r>
    </w:p>
    <w:p w14:paraId="7D490BA5" w14:textId="77777777" w:rsidR="00437C96" w:rsidRPr="00E103B9" w:rsidRDefault="00437C96" w:rsidP="00A35722">
      <w:pPr>
        <w:spacing w:after="60"/>
        <w:ind w:firstLine="709"/>
        <w:contextualSpacing/>
        <w:jc w:val="both"/>
        <w:rPr>
          <w:rFonts w:eastAsia="Calibri"/>
          <w:sz w:val="28"/>
        </w:rPr>
      </w:pPr>
      <w:r w:rsidRPr="00E103B9">
        <w:rPr>
          <w:rFonts w:eastAsia="Calibri"/>
          <w:sz w:val="28"/>
        </w:rPr>
        <w:t xml:space="preserve">Прогноз доходов от взимания вывозных таможенных пошлин на углеводороды, приведенном в Пояснительной записке, в 2023 г. на 492,2 </w:t>
      </w:r>
      <w:proofErr w:type="gramStart"/>
      <w:r w:rsidRPr="00E103B9">
        <w:rPr>
          <w:rFonts w:eastAsia="Calibri"/>
          <w:sz w:val="28"/>
        </w:rPr>
        <w:t>млрд</w:t>
      </w:r>
      <w:proofErr w:type="gramEnd"/>
      <w:r w:rsidRPr="00E103B9">
        <w:rPr>
          <w:rFonts w:eastAsia="Calibri"/>
          <w:sz w:val="28"/>
        </w:rPr>
        <w:t xml:space="preserve"> руб. меньше, чем ожидаемое поступление доходов в 2022 г., в 2024 г. – на 736,2 млрд руб. меньше, чем сумма доходов по прогнозу на 2023 г., на 2025 г. – на 270,9 млрд руб. меньше, чем сумма доходов по прогнозу на 2024 г. </w:t>
      </w:r>
      <w:proofErr w:type="gramStart"/>
      <w:r w:rsidRPr="00E103B9">
        <w:rPr>
          <w:rFonts w:eastAsia="Calibri"/>
          <w:sz w:val="28"/>
        </w:rPr>
        <w:t>Одним из основных факторов сокращения доходов от вывозных таможенных пошлин на углеводороды в 2023 г. и 2024 г. является поэтапное снижение вывозной таможенной пошлины на нефть и нефтепродукты в рамках «завершения налогового маневра», а также изменением курса доллара США и экспортных цен на природный газ, цены на нефть и сокращение объемов экспорта углеводородов.</w:t>
      </w:r>
      <w:proofErr w:type="gramEnd"/>
    </w:p>
    <w:p w14:paraId="7650C401" w14:textId="77777777" w:rsidR="00437C96" w:rsidRPr="00E103B9" w:rsidRDefault="00437C96" w:rsidP="00A35722">
      <w:pPr>
        <w:spacing w:after="60"/>
        <w:ind w:firstLine="709"/>
        <w:contextualSpacing/>
        <w:jc w:val="both"/>
        <w:rPr>
          <w:rFonts w:eastAsia="Calibri"/>
          <w:sz w:val="28"/>
        </w:rPr>
      </w:pPr>
      <w:r w:rsidRPr="00E103B9">
        <w:rPr>
          <w:rFonts w:eastAsia="Calibri"/>
          <w:sz w:val="28"/>
        </w:rPr>
        <w:t xml:space="preserve">Возмещение акциза на нефтяное сырье, направленное на переработку, в 2023 г. сократится на 1 024,2 </w:t>
      </w:r>
      <w:proofErr w:type="gramStart"/>
      <w:r w:rsidRPr="00E103B9">
        <w:rPr>
          <w:rFonts w:eastAsia="Calibri"/>
          <w:sz w:val="28"/>
        </w:rPr>
        <w:t>млрд</w:t>
      </w:r>
      <w:proofErr w:type="gramEnd"/>
      <w:r w:rsidRPr="00E103B9">
        <w:rPr>
          <w:rFonts w:eastAsia="Calibri"/>
          <w:sz w:val="28"/>
        </w:rPr>
        <w:t xml:space="preserve"> руб. по сравнению с 2022 г., в 2024 г. на 69,3 млрд руб. по сравнению с 2023 г. и в 2025 г. на 103,0 млрд руб. по сравнению с 2024 г.</w:t>
      </w:r>
    </w:p>
    <w:p w14:paraId="137C5F5D" w14:textId="77777777" w:rsidR="00437C96" w:rsidRPr="00E103B9" w:rsidRDefault="00437C96" w:rsidP="00A35722">
      <w:pPr>
        <w:spacing w:after="60"/>
        <w:ind w:firstLine="709"/>
        <w:contextualSpacing/>
        <w:jc w:val="both"/>
        <w:rPr>
          <w:sz w:val="28"/>
        </w:rPr>
      </w:pPr>
      <w:r w:rsidRPr="00E103B9">
        <w:rPr>
          <w:sz w:val="28"/>
        </w:rPr>
        <w:t xml:space="preserve">Расчеты, </w:t>
      </w:r>
      <w:r w:rsidRPr="00E103B9">
        <w:rPr>
          <w:rFonts w:eastAsia="Calibri"/>
          <w:sz w:val="28"/>
        </w:rPr>
        <w:t xml:space="preserve">приведенные в Пояснительной записке, </w:t>
      </w:r>
      <w:r w:rsidRPr="00E103B9">
        <w:rPr>
          <w:sz w:val="28"/>
        </w:rPr>
        <w:t xml:space="preserve">к доходной части федерального бюджета на 2023–2025 гг. основаны на предпосылке о плавном снижении цен на нефть. Данное предположение является результатом учета как </w:t>
      </w:r>
      <w:r w:rsidRPr="00E103B9">
        <w:rPr>
          <w:sz w:val="28"/>
        </w:rPr>
        <w:lastRenderedPageBreak/>
        <w:t>трансформации мирового энергетического рынка (отказ ряда стран от сотрудничества с Россией в нефтяной сфере, а также наличие дисконта при продажах основных товаров российского экспорта), так и замедления роста мировой экономики. Заложенные при этом предпосылки фактически отражают единственный сценарий развития событий на мировом рынке</w:t>
      </w:r>
      <w:r w:rsidRPr="00E103B9">
        <w:rPr>
          <w:rStyle w:val="aa"/>
          <w:sz w:val="28"/>
        </w:rPr>
        <w:footnoteReference w:id="15"/>
      </w:r>
      <w:r w:rsidRPr="00E103B9">
        <w:rPr>
          <w:sz w:val="28"/>
        </w:rPr>
        <w:t xml:space="preserve">. </w:t>
      </w:r>
    </w:p>
    <w:p w14:paraId="25633626" w14:textId="77777777" w:rsidR="00437C96" w:rsidRPr="00E103B9" w:rsidRDefault="00437C96" w:rsidP="00A35722">
      <w:pPr>
        <w:spacing w:after="60"/>
        <w:ind w:firstLine="709"/>
        <w:contextualSpacing/>
        <w:jc w:val="both"/>
        <w:rPr>
          <w:sz w:val="28"/>
        </w:rPr>
      </w:pPr>
      <w:r w:rsidRPr="00E103B9">
        <w:rPr>
          <w:sz w:val="28"/>
        </w:rPr>
        <w:t xml:space="preserve">Однако также следует учитывать высокий уровень неопределенности, которые вносят в перспективы российского нефтегазового </w:t>
      </w:r>
      <w:proofErr w:type="gramStart"/>
      <w:r w:rsidRPr="00E103B9">
        <w:rPr>
          <w:sz w:val="28"/>
        </w:rPr>
        <w:t>сектора</w:t>
      </w:r>
      <w:proofErr w:type="gramEnd"/>
      <w:r w:rsidRPr="00E103B9">
        <w:rPr>
          <w:sz w:val="28"/>
        </w:rPr>
        <w:t xml:space="preserve"> введенные против него санкции</w:t>
      </w:r>
      <w:r w:rsidRPr="00E103B9">
        <w:rPr>
          <w:rStyle w:val="aa"/>
          <w:sz w:val="28"/>
        </w:rPr>
        <w:footnoteReference w:id="16"/>
      </w:r>
      <w:r w:rsidRPr="00E103B9">
        <w:rPr>
          <w:sz w:val="28"/>
        </w:rPr>
        <w:t>:</w:t>
      </w:r>
    </w:p>
    <w:p w14:paraId="6A210E98" w14:textId="77777777" w:rsidR="00437C96" w:rsidRPr="00E103B9" w:rsidRDefault="00437C96" w:rsidP="007931B0">
      <w:pPr>
        <w:pStyle w:val="afc"/>
        <w:numPr>
          <w:ilvl w:val="0"/>
          <w:numId w:val="61"/>
        </w:numPr>
        <w:spacing w:before="0" w:after="60"/>
        <w:ind w:left="0" w:firstLine="709"/>
        <w:rPr>
          <w:sz w:val="28"/>
          <w:szCs w:val="24"/>
        </w:rPr>
      </w:pPr>
      <w:r w:rsidRPr="00E103B9">
        <w:rPr>
          <w:sz w:val="28"/>
          <w:szCs w:val="24"/>
        </w:rPr>
        <w:t>5 декабря 2022 г. вступает в силу эмбарго ЕС и США на морские поставки российской нефти</w:t>
      </w:r>
      <w:r w:rsidRPr="00E103B9">
        <w:rPr>
          <w:rStyle w:val="aa"/>
          <w:sz w:val="28"/>
          <w:szCs w:val="24"/>
        </w:rPr>
        <w:footnoteReference w:id="17"/>
      </w:r>
      <w:r w:rsidRPr="00E103B9">
        <w:rPr>
          <w:sz w:val="28"/>
          <w:szCs w:val="24"/>
        </w:rPr>
        <w:t xml:space="preserve"> и на услуги операторов по страхованию и финансированию транспортировки нефти, в частности по морским путям, в третьи страны;</w:t>
      </w:r>
    </w:p>
    <w:p w14:paraId="1139BF4E" w14:textId="77777777" w:rsidR="00437C96" w:rsidRPr="00E103B9" w:rsidRDefault="00437C96" w:rsidP="007931B0">
      <w:pPr>
        <w:pStyle w:val="afc"/>
        <w:numPr>
          <w:ilvl w:val="0"/>
          <w:numId w:val="61"/>
        </w:numPr>
        <w:spacing w:before="0" w:after="60"/>
        <w:ind w:left="0" w:firstLine="709"/>
        <w:rPr>
          <w:sz w:val="28"/>
          <w:szCs w:val="24"/>
        </w:rPr>
      </w:pPr>
      <w:r w:rsidRPr="00E103B9">
        <w:rPr>
          <w:sz w:val="28"/>
          <w:szCs w:val="24"/>
        </w:rPr>
        <w:t>5 февраля 2023 г. вступает в силу эмбарго ЕС и США на морские поставки российских нефтепродуктов.</w:t>
      </w:r>
    </w:p>
    <w:p w14:paraId="6F6CBDE5" w14:textId="77777777" w:rsidR="00437C96" w:rsidRPr="00E103B9" w:rsidRDefault="00437C96" w:rsidP="00614767">
      <w:pPr>
        <w:spacing w:after="60"/>
        <w:ind w:firstLine="567"/>
        <w:rPr>
          <w:sz w:val="28"/>
        </w:rPr>
      </w:pPr>
      <w:r w:rsidRPr="00E103B9">
        <w:rPr>
          <w:sz w:val="28"/>
        </w:rPr>
        <w:t>Соответственно, существует несколько развилок, которые требуют внимательного рассмотрения при проектировании бюджета:</w:t>
      </w:r>
    </w:p>
    <w:p w14:paraId="39BDDAA0" w14:textId="7CAA5153" w:rsidR="00437C96" w:rsidRPr="00E103B9" w:rsidRDefault="00A05656" w:rsidP="007931B0">
      <w:pPr>
        <w:pStyle w:val="afc"/>
        <w:numPr>
          <w:ilvl w:val="0"/>
          <w:numId w:val="61"/>
        </w:numPr>
        <w:spacing w:before="0" w:after="60"/>
        <w:ind w:left="0" w:firstLine="709"/>
        <w:rPr>
          <w:rFonts w:eastAsiaTheme="minorHAnsi"/>
          <w:sz w:val="28"/>
          <w:szCs w:val="24"/>
        </w:rPr>
      </w:pPr>
      <w:r w:rsidRPr="00E103B9">
        <w:rPr>
          <w:rFonts w:eastAsiaTheme="minorHAnsi"/>
          <w:sz w:val="28"/>
          <w:szCs w:val="24"/>
        </w:rPr>
        <w:t>Н</w:t>
      </w:r>
      <w:r w:rsidR="00437C96" w:rsidRPr="00E103B9">
        <w:rPr>
          <w:rFonts w:eastAsiaTheme="minorHAnsi"/>
          <w:sz w:val="28"/>
          <w:szCs w:val="24"/>
        </w:rPr>
        <w:t xml:space="preserve">асколько смогут российские экспортеры воспользоваться периодом высоких цен на нефть, который сложился на текущий момент и скорее всего сохранится (так как ОПЕК+ договорились продлить сделку до конца 2023 г. сократив при этом квоту на добычу нефти в ноябре и декабре 2022 г. на 2 </w:t>
      </w:r>
      <w:proofErr w:type="gramStart"/>
      <w:r w:rsidR="00437C96" w:rsidRPr="00E103B9">
        <w:rPr>
          <w:rFonts w:eastAsiaTheme="minorHAnsi"/>
          <w:sz w:val="28"/>
          <w:szCs w:val="24"/>
        </w:rPr>
        <w:t>млн</w:t>
      </w:r>
      <w:proofErr w:type="gramEnd"/>
      <w:r w:rsidR="00437C96" w:rsidRPr="00E103B9">
        <w:rPr>
          <w:rFonts w:eastAsiaTheme="minorHAnsi"/>
          <w:sz w:val="28"/>
          <w:szCs w:val="24"/>
        </w:rPr>
        <w:t xml:space="preserve"> </w:t>
      </w:r>
      <w:proofErr w:type="spellStart"/>
      <w:r w:rsidR="00437C96" w:rsidRPr="00E103B9">
        <w:rPr>
          <w:rFonts w:eastAsiaTheme="minorHAnsi"/>
          <w:sz w:val="28"/>
          <w:szCs w:val="24"/>
        </w:rPr>
        <w:t>барр</w:t>
      </w:r>
      <w:proofErr w:type="spellEnd"/>
      <w:r w:rsidR="00437C96" w:rsidRPr="00E103B9">
        <w:rPr>
          <w:rFonts w:eastAsiaTheme="minorHAnsi"/>
          <w:sz w:val="28"/>
          <w:szCs w:val="24"/>
        </w:rPr>
        <w:t>./сутки</w:t>
      </w:r>
      <w:r w:rsidR="00437C96" w:rsidRPr="00E103B9">
        <w:rPr>
          <w:rStyle w:val="aa"/>
          <w:rFonts w:eastAsiaTheme="minorHAnsi"/>
          <w:sz w:val="28"/>
          <w:szCs w:val="24"/>
        </w:rPr>
        <w:footnoteReference w:id="18"/>
      </w:r>
      <w:r w:rsidR="00437C96" w:rsidRPr="00E103B9">
        <w:rPr>
          <w:rFonts w:eastAsiaTheme="minorHAnsi"/>
          <w:sz w:val="28"/>
          <w:szCs w:val="24"/>
        </w:rPr>
        <w:t>), после 5 декабря 2022 г. и вести поставки нефти с использованием «серых схем» в обход введенных санкций.</w:t>
      </w:r>
    </w:p>
    <w:p w14:paraId="4378FD46" w14:textId="77777777" w:rsidR="00437C96" w:rsidRPr="00E103B9" w:rsidRDefault="00437C96" w:rsidP="007931B0">
      <w:pPr>
        <w:pStyle w:val="afc"/>
        <w:numPr>
          <w:ilvl w:val="0"/>
          <w:numId w:val="61"/>
        </w:numPr>
        <w:spacing w:before="0" w:after="60"/>
        <w:ind w:left="0" w:firstLine="709"/>
        <w:rPr>
          <w:rFonts w:eastAsiaTheme="minorHAnsi"/>
          <w:sz w:val="28"/>
          <w:szCs w:val="24"/>
        </w:rPr>
      </w:pPr>
      <w:r w:rsidRPr="00E103B9">
        <w:rPr>
          <w:rFonts w:eastAsiaTheme="minorHAnsi"/>
          <w:sz w:val="28"/>
          <w:szCs w:val="24"/>
        </w:rPr>
        <w:t xml:space="preserve">Какие танкеры сможет использовать Россия для обеспечения бесперебойной поставки нефти в страны, которые потенциально готовы покупать российскую нефть (Китай, Индия, Индонезия, Пакистан, Бразилия, Южная </w:t>
      </w:r>
      <w:r w:rsidRPr="00E103B9">
        <w:rPr>
          <w:rFonts w:eastAsiaTheme="minorHAnsi"/>
          <w:sz w:val="28"/>
          <w:szCs w:val="24"/>
        </w:rPr>
        <w:lastRenderedPageBreak/>
        <w:t>Африка, Шри-Ланка и некоторые страны Ближнего Востока) после отключения российских банков от международных расчетов и отказа от страхования в случае установления цены выше «потолка». Собственных танкеров для обеспечения сложившихся объемов экспортных поставок нефти у России нет, а возможности использования железнодорожной и трубопроводной инфраструктуры ограничены (из-за первоочередности поставок угля на Восток и недостаточной пропускной способности восточных нефтепродуктопроводов). Что касается страхования, то крупные страховые компании начали отказываться от российской нефти еще с начала специальной военной операции России на Украине (осуществлялась рейдовая перевалка через крупные танкеры третьей страны). Только небольшая часть начала специализироваться на торговле российскими энергоресурсами. При этом страховое покрытие выросло почти в 10 раз</w:t>
      </w:r>
      <w:r w:rsidRPr="00E103B9">
        <w:rPr>
          <w:rStyle w:val="aa"/>
          <w:rFonts w:eastAsiaTheme="minorHAnsi"/>
          <w:sz w:val="28"/>
          <w:szCs w:val="24"/>
        </w:rPr>
        <w:footnoteReference w:id="19"/>
      </w:r>
      <w:r w:rsidRPr="00E103B9">
        <w:rPr>
          <w:rFonts w:eastAsiaTheme="minorHAnsi"/>
          <w:sz w:val="28"/>
          <w:szCs w:val="24"/>
        </w:rPr>
        <w:t>, так что стоимость страхования стала превышать расходы на фрахт. Многие российские грузовые отправители начали продавать танкеры из-за убыточности бизнеса</w:t>
      </w:r>
      <w:r w:rsidRPr="00E103B9">
        <w:rPr>
          <w:rStyle w:val="aa"/>
          <w:rFonts w:eastAsiaTheme="minorHAnsi"/>
          <w:sz w:val="28"/>
          <w:szCs w:val="24"/>
        </w:rPr>
        <w:footnoteReference w:id="20"/>
      </w:r>
      <w:r w:rsidRPr="00E103B9">
        <w:rPr>
          <w:rFonts w:eastAsiaTheme="minorHAnsi"/>
          <w:sz w:val="28"/>
          <w:szCs w:val="24"/>
        </w:rPr>
        <w:t xml:space="preserve">. Создание собственного страховщика требует времени и общемирового признания компании на рынке. В </w:t>
      </w:r>
      <w:proofErr w:type="gramStart"/>
      <w:r w:rsidRPr="00E103B9">
        <w:rPr>
          <w:rFonts w:eastAsiaTheme="minorHAnsi"/>
          <w:sz w:val="28"/>
          <w:szCs w:val="24"/>
        </w:rPr>
        <w:t>случае</w:t>
      </w:r>
      <w:proofErr w:type="gramEnd"/>
      <w:r w:rsidRPr="00E103B9">
        <w:rPr>
          <w:rFonts w:eastAsiaTheme="minorHAnsi"/>
          <w:sz w:val="28"/>
          <w:szCs w:val="24"/>
        </w:rPr>
        <w:t xml:space="preserve"> строгого исполнения запрета страхования нефти после 5 декабря 2022 г. (в том числе запрет транспортировки российской нефти третьими странами в ЕС и США) можно ожидать, что б</w:t>
      </w:r>
      <w:r w:rsidRPr="00E103B9">
        <w:rPr>
          <w:rFonts w:eastAsiaTheme="minorHAnsi"/>
          <w:i/>
          <w:iCs/>
          <w:sz w:val="28"/>
          <w:szCs w:val="24"/>
        </w:rPr>
        <w:t>о</w:t>
      </w:r>
      <w:r w:rsidRPr="00E103B9">
        <w:rPr>
          <w:rFonts w:eastAsiaTheme="minorHAnsi"/>
          <w:sz w:val="28"/>
          <w:szCs w:val="24"/>
        </w:rPr>
        <w:t>льшая часть мирового танкерного флота будет недоступна для поставок российской нефти, так как в мировой практике без страхования ответственности судовладельца обойтись нельзя.</w:t>
      </w:r>
    </w:p>
    <w:p w14:paraId="13993568" w14:textId="77777777" w:rsidR="00437C96" w:rsidRPr="00E103B9" w:rsidRDefault="00437C96" w:rsidP="007931B0">
      <w:pPr>
        <w:pStyle w:val="afc"/>
        <w:numPr>
          <w:ilvl w:val="0"/>
          <w:numId w:val="61"/>
        </w:numPr>
        <w:spacing w:before="0" w:after="60"/>
        <w:ind w:left="0" w:firstLine="709"/>
        <w:rPr>
          <w:rFonts w:eastAsiaTheme="minorHAnsi"/>
          <w:sz w:val="28"/>
          <w:szCs w:val="24"/>
        </w:rPr>
      </w:pPr>
      <w:r w:rsidRPr="00E103B9">
        <w:rPr>
          <w:rFonts w:eastAsiaTheme="minorHAnsi"/>
          <w:sz w:val="28"/>
          <w:szCs w:val="24"/>
        </w:rPr>
        <w:t xml:space="preserve">Смогут ли российские экспортеры найти новых потребителей нефтепродуктов, которые ранее поставлялись в Европу. Возможность перенаправить нефтепродукты в Китай и Индию, так же как и нефть, отсутствует, так как эти страны имеют свою нефтеперерабатывающую отрасль, которая обеспечивает не только внутренний рынок, но и производит нефтепродукты на экспорт, покрывая спрос близлежащих к ним стран.  </w:t>
      </w:r>
    </w:p>
    <w:p w14:paraId="77A29B7D" w14:textId="77777777" w:rsidR="00437C96" w:rsidRPr="00E103B9" w:rsidRDefault="00437C96" w:rsidP="007931B0">
      <w:pPr>
        <w:pStyle w:val="afc"/>
        <w:numPr>
          <w:ilvl w:val="0"/>
          <w:numId w:val="61"/>
        </w:numPr>
        <w:spacing w:before="0" w:after="60"/>
        <w:ind w:left="0" w:firstLine="709"/>
        <w:rPr>
          <w:rFonts w:eastAsiaTheme="minorHAnsi"/>
          <w:sz w:val="28"/>
          <w:szCs w:val="24"/>
        </w:rPr>
      </w:pPr>
      <w:r w:rsidRPr="00E103B9">
        <w:rPr>
          <w:rFonts w:eastAsiaTheme="minorHAnsi"/>
          <w:sz w:val="28"/>
          <w:szCs w:val="24"/>
        </w:rPr>
        <w:t>Какое решение будет принято в случае остановки отдельных нефтеперерабатывающих заводов (НПЗ) из-за сокращения спроса на их продукцию – Правительство допустит закрытие остановившихся НПЗ или примет решение о равномерном перераспределении сократившегося объема спроса на экспортные поставки нефтепродуктов по всем НПЗ.</w:t>
      </w:r>
    </w:p>
    <w:p w14:paraId="3433F9E8" w14:textId="77777777" w:rsidR="00437C96" w:rsidRPr="00E103B9" w:rsidRDefault="00437C96" w:rsidP="007931B0">
      <w:pPr>
        <w:pStyle w:val="afc"/>
        <w:numPr>
          <w:ilvl w:val="0"/>
          <w:numId w:val="61"/>
        </w:numPr>
        <w:spacing w:before="0" w:after="60"/>
        <w:ind w:left="0" w:firstLine="709"/>
        <w:rPr>
          <w:rFonts w:eastAsiaTheme="minorHAnsi"/>
          <w:sz w:val="28"/>
          <w:szCs w:val="24"/>
        </w:rPr>
      </w:pPr>
      <w:r w:rsidRPr="00E103B9">
        <w:rPr>
          <w:rFonts w:eastAsiaTheme="minorHAnsi"/>
          <w:sz w:val="28"/>
          <w:szCs w:val="24"/>
        </w:rPr>
        <w:t>Смогут ли страны, которые вели ограничения на экспорт энергоносителей из России, строго придерживаться своей политики и не продлевать послабление, а, возможно, даже расширить его перечень и т.п.</w:t>
      </w:r>
    </w:p>
    <w:p w14:paraId="4906F78C" w14:textId="6084A6A2" w:rsidR="00437C96" w:rsidRPr="00E103B9" w:rsidRDefault="00437C96" w:rsidP="00A35722">
      <w:pPr>
        <w:pStyle w:val="afc"/>
        <w:spacing w:before="0" w:after="60"/>
        <w:ind w:left="0" w:firstLine="709"/>
        <w:rPr>
          <w:rFonts w:eastAsiaTheme="minorHAnsi"/>
          <w:sz w:val="28"/>
          <w:szCs w:val="24"/>
        </w:rPr>
      </w:pPr>
      <w:r w:rsidRPr="00E103B9">
        <w:rPr>
          <w:rFonts w:eastAsiaTheme="minorHAnsi"/>
          <w:sz w:val="28"/>
          <w:szCs w:val="24"/>
        </w:rPr>
        <w:t xml:space="preserve">Согласно нашим оценкам, можно ожидать, что объемы экспорта российской нефти в 2023 г. будут находиться в диапазоне от 132 до 181 </w:t>
      </w:r>
      <w:proofErr w:type="gramStart"/>
      <w:r w:rsidRPr="00E103B9">
        <w:rPr>
          <w:rFonts w:eastAsiaTheme="minorHAnsi"/>
          <w:sz w:val="28"/>
          <w:szCs w:val="24"/>
        </w:rPr>
        <w:t>млн</w:t>
      </w:r>
      <w:proofErr w:type="gramEnd"/>
      <w:r w:rsidRPr="00E103B9">
        <w:rPr>
          <w:rFonts w:eastAsiaTheme="minorHAnsi"/>
          <w:sz w:val="28"/>
          <w:szCs w:val="24"/>
        </w:rPr>
        <w:t xml:space="preserve"> т. (</w:t>
      </w:r>
      <w:r w:rsidR="00A05656" w:rsidRPr="00E103B9">
        <w:rPr>
          <w:rFonts w:eastAsiaTheme="minorHAnsi"/>
          <w:i/>
          <w:iCs/>
          <w:sz w:val="28"/>
          <w:szCs w:val="24"/>
        </w:rPr>
        <w:t>т</w:t>
      </w:r>
      <w:r w:rsidRPr="00E103B9">
        <w:rPr>
          <w:rFonts w:eastAsiaTheme="minorHAnsi"/>
          <w:i/>
          <w:iCs/>
          <w:sz w:val="28"/>
          <w:szCs w:val="24"/>
        </w:rPr>
        <w:t xml:space="preserve">аблица </w:t>
      </w:r>
      <w:r w:rsidR="007D5408" w:rsidRPr="00E103B9">
        <w:rPr>
          <w:rFonts w:eastAsiaTheme="minorHAnsi"/>
          <w:i/>
          <w:iCs/>
          <w:sz w:val="28"/>
          <w:szCs w:val="24"/>
        </w:rPr>
        <w:t>4</w:t>
      </w:r>
      <w:r w:rsidRPr="00E103B9">
        <w:rPr>
          <w:rFonts w:eastAsiaTheme="minorHAnsi"/>
          <w:sz w:val="28"/>
          <w:szCs w:val="24"/>
        </w:rPr>
        <w:t xml:space="preserve">). </w:t>
      </w:r>
    </w:p>
    <w:p w14:paraId="2B538D87" w14:textId="77777777" w:rsidR="00437C96" w:rsidRPr="009D5B83" w:rsidRDefault="00437C96" w:rsidP="00A35722">
      <w:pPr>
        <w:pStyle w:val="afc"/>
        <w:spacing w:before="0" w:after="60"/>
        <w:ind w:left="0" w:firstLine="709"/>
        <w:rPr>
          <w:rFonts w:eastAsiaTheme="minorHAnsi"/>
          <w:szCs w:val="24"/>
        </w:rPr>
      </w:pPr>
    </w:p>
    <w:p w14:paraId="2388199F" w14:textId="77777777" w:rsidR="00E103B9" w:rsidRDefault="00E103B9" w:rsidP="00A35722">
      <w:pPr>
        <w:pStyle w:val="afc"/>
        <w:spacing w:after="60"/>
        <w:ind w:left="0" w:firstLine="0"/>
        <w:jc w:val="right"/>
        <w:rPr>
          <w:bCs/>
          <w:i/>
          <w:iCs/>
          <w:szCs w:val="24"/>
        </w:rPr>
      </w:pPr>
    </w:p>
    <w:p w14:paraId="374BB8A3" w14:textId="77777777" w:rsidR="00E103B9" w:rsidRDefault="00E103B9" w:rsidP="00A35722">
      <w:pPr>
        <w:pStyle w:val="afc"/>
        <w:spacing w:after="60"/>
        <w:ind w:left="0" w:firstLine="0"/>
        <w:jc w:val="right"/>
        <w:rPr>
          <w:bCs/>
          <w:i/>
          <w:iCs/>
          <w:szCs w:val="24"/>
        </w:rPr>
      </w:pPr>
    </w:p>
    <w:p w14:paraId="6EF710D1" w14:textId="77777777" w:rsidR="00E103B9" w:rsidRDefault="00E103B9" w:rsidP="00A35722">
      <w:pPr>
        <w:pStyle w:val="afc"/>
        <w:spacing w:after="60"/>
        <w:ind w:left="0" w:firstLine="0"/>
        <w:jc w:val="right"/>
        <w:rPr>
          <w:bCs/>
          <w:i/>
          <w:iCs/>
          <w:szCs w:val="24"/>
        </w:rPr>
      </w:pPr>
    </w:p>
    <w:p w14:paraId="174D0655" w14:textId="77777777" w:rsidR="00E103B9" w:rsidRDefault="00E103B9" w:rsidP="00A35722">
      <w:pPr>
        <w:pStyle w:val="afc"/>
        <w:spacing w:after="60"/>
        <w:ind w:left="0" w:firstLine="0"/>
        <w:jc w:val="right"/>
        <w:rPr>
          <w:bCs/>
          <w:i/>
          <w:iCs/>
          <w:szCs w:val="24"/>
        </w:rPr>
      </w:pPr>
    </w:p>
    <w:p w14:paraId="00F8ADA5" w14:textId="77777777" w:rsidR="00E103B9" w:rsidRDefault="00E103B9" w:rsidP="00A35722">
      <w:pPr>
        <w:pStyle w:val="afc"/>
        <w:spacing w:after="60"/>
        <w:ind w:left="0" w:firstLine="0"/>
        <w:jc w:val="right"/>
        <w:rPr>
          <w:bCs/>
          <w:i/>
          <w:iCs/>
          <w:szCs w:val="24"/>
        </w:rPr>
      </w:pPr>
    </w:p>
    <w:p w14:paraId="3CBDF2D7" w14:textId="0E8C0EDF" w:rsidR="00437C96" w:rsidRPr="009D5B83" w:rsidRDefault="00437C96" w:rsidP="00A35722">
      <w:pPr>
        <w:pStyle w:val="afc"/>
        <w:spacing w:after="60"/>
        <w:ind w:left="0" w:firstLine="0"/>
        <w:jc w:val="right"/>
        <w:rPr>
          <w:bCs/>
          <w:i/>
          <w:iCs/>
          <w:szCs w:val="24"/>
        </w:rPr>
      </w:pPr>
      <w:r w:rsidRPr="009D5B83">
        <w:rPr>
          <w:bCs/>
          <w:i/>
          <w:iCs/>
          <w:szCs w:val="24"/>
        </w:rPr>
        <w:lastRenderedPageBreak/>
        <w:t xml:space="preserve">Таблица </w:t>
      </w:r>
      <w:r w:rsidR="007D5408" w:rsidRPr="009D5B83">
        <w:rPr>
          <w:bCs/>
          <w:i/>
          <w:iCs/>
          <w:szCs w:val="24"/>
        </w:rPr>
        <w:t>4</w:t>
      </w:r>
    </w:p>
    <w:p w14:paraId="3F693B73" w14:textId="1B8447AA" w:rsidR="00437C96" w:rsidRPr="009D5B83" w:rsidRDefault="00437C96" w:rsidP="00A05656">
      <w:pPr>
        <w:pStyle w:val="afc"/>
        <w:spacing w:after="120"/>
        <w:ind w:left="0" w:firstLine="0"/>
        <w:jc w:val="center"/>
        <w:rPr>
          <w:b/>
          <w:szCs w:val="24"/>
        </w:rPr>
      </w:pPr>
      <w:r w:rsidRPr="009D5B83">
        <w:rPr>
          <w:b/>
          <w:szCs w:val="24"/>
        </w:rPr>
        <w:t>Сценарии прогноза объемов экспорта российской нефти в 2022–2025 гг.</w:t>
      </w:r>
    </w:p>
    <w:tbl>
      <w:tblPr>
        <w:tblStyle w:val="a4"/>
        <w:tblW w:w="0" w:type="auto"/>
        <w:tblLook w:val="04A0" w:firstRow="1" w:lastRow="0" w:firstColumn="1" w:lastColumn="0" w:noHBand="0" w:noVBand="1"/>
      </w:tblPr>
      <w:tblGrid>
        <w:gridCol w:w="3114"/>
        <w:gridCol w:w="3260"/>
        <w:gridCol w:w="2970"/>
      </w:tblGrid>
      <w:tr w:rsidR="00A05656" w:rsidRPr="009D5B83" w14:paraId="3015B18F" w14:textId="77777777" w:rsidTr="00016DA9">
        <w:trPr>
          <w:tblHeader/>
        </w:trPr>
        <w:tc>
          <w:tcPr>
            <w:tcW w:w="3114" w:type="dxa"/>
            <w:tcBorders>
              <w:bottom w:val="single" w:sz="4" w:space="0" w:color="auto"/>
            </w:tcBorders>
          </w:tcPr>
          <w:p w14:paraId="051643E3" w14:textId="77777777" w:rsidR="00A05656" w:rsidRPr="009D5B83" w:rsidRDefault="00A05656" w:rsidP="00016DA9">
            <w:pPr>
              <w:ind w:firstLine="22"/>
              <w:contextualSpacing/>
              <w:jc w:val="center"/>
              <w:rPr>
                <w:b/>
                <w:bCs/>
                <w:sz w:val="20"/>
                <w:szCs w:val="20"/>
              </w:rPr>
            </w:pPr>
            <w:r w:rsidRPr="009D5B83">
              <w:rPr>
                <w:b/>
                <w:bCs/>
                <w:sz w:val="20"/>
                <w:szCs w:val="20"/>
              </w:rPr>
              <w:t>Экспорт по направлениям</w:t>
            </w:r>
          </w:p>
        </w:tc>
        <w:tc>
          <w:tcPr>
            <w:tcW w:w="3260" w:type="dxa"/>
            <w:tcBorders>
              <w:bottom w:val="single" w:sz="4" w:space="0" w:color="auto"/>
            </w:tcBorders>
          </w:tcPr>
          <w:p w14:paraId="42371DB4" w14:textId="77777777" w:rsidR="00A05656" w:rsidRPr="009D5B83" w:rsidRDefault="00A05656" w:rsidP="00016DA9">
            <w:pPr>
              <w:contextualSpacing/>
              <w:jc w:val="center"/>
              <w:rPr>
                <w:b/>
                <w:bCs/>
                <w:sz w:val="20"/>
                <w:szCs w:val="20"/>
              </w:rPr>
            </w:pPr>
            <w:r w:rsidRPr="009D5B83">
              <w:rPr>
                <w:b/>
                <w:bCs/>
                <w:sz w:val="20"/>
                <w:szCs w:val="20"/>
              </w:rPr>
              <w:t>Сценарий 1</w:t>
            </w:r>
          </w:p>
        </w:tc>
        <w:tc>
          <w:tcPr>
            <w:tcW w:w="2970" w:type="dxa"/>
            <w:tcBorders>
              <w:bottom w:val="single" w:sz="4" w:space="0" w:color="auto"/>
            </w:tcBorders>
          </w:tcPr>
          <w:p w14:paraId="577B4BBF" w14:textId="77777777" w:rsidR="00A05656" w:rsidRPr="009D5B83" w:rsidRDefault="00A05656" w:rsidP="00016DA9">
            <w:pPr>
              <w:contextualSpacing/>
              <w:jc w:val="center"/>
              <w:rPr>
                <w:b/>
                <w:bCs/>
                <w:sz w:val="20"/>
                <w:szCs w:val="20"/>
              </w:rPr>
            </w:pPr>
            <w:r w:rsidRPr="009D5B83">
              <w:rPr>
                <w:b/>
                <w:bCs/>
                <w:sz w:val="20"/>
                <w:szCs w:val="20"/>
              </w:rPr>
              <w:t>Сценарий 2</w:t>
            </w:r>
          </w:p>
        </w:tc>
      </w:tr>
      <w:tr w:rsidR="00A05656" w:rsidRPr="009D5B83" w14:paraId="28CD42B0" w14:textId="77777777" w:rsidTr="00016DA9">
        <w:tc>
          <w:tcPr>
            <w:tcW w:w="3114" w:type="dxa"/>
            <w:tcBorders>
              <w:top w:val="single" w:sz="4" w:space="0" w:color="auto"/>
              <w:left w:val="single" w:sz="4" w:space="0" w:color="auto"/>
              <w:bottom w:val="nil"/>
              <w:right w:val="single" w:sz="4" w:space="0" w:color="auto"/>
            </w:tcBorders>
          </w:tcPr>
          <w:p w14:paraId="4B498640" w14:textId="77777777" w:rsidR="00A05656" w:rsidRPr="009D5B83" w:rsidRDefault="00A05656" w:rsidP="00016DA9">
            <w:pPr>
              <w:contextualSpacing/>
              <w:rPr>
                <w:sz w:val="20"/>
                <w:szCs w:val="20"/>
              </w:rPr>
            </w:pPr>
            <w:r w:rsidRPr="009D5B83">
              <w:rPr>
                <w:sz w:val="20"/>
                <w:szCs w:val="20"/>
              </w:rPr>
              <w:t xml:space="preserve">Экспорт 2021 г., </w:t>
            </w:r>
            <w:proofErr w:type="gramStart"/>
            <w:r w:rsidRPr="009D5B83">
              <w:rPr>
                <w:sz w:val="20"/>
                <w:szCs w:val="20"/>
              </w:rPr>
              <w:t>млн</w:t>
            </w:r>
            <w:proofErr w:type="gramEnd"/>
            <w:r w:rsidRPr="009D5B83">
              <w:rPr>
                <w:sz w:val="20"/>
                <w:szCs w:val="20"/>
              </w:rPr>
              <w:t xml:space="preserve"> т</w:t>
            </w:r>
          </w:p>
        </w:tc>
        <w:tc>
          <w:tcPr>
            <w:tcW w:w="6230" w:type="dxa"/>
            <w:gridSpan w:val="2"/>
            <w:tcBorders>
              <w:top w:val="single" w:sz="4" w:space="0" w:color="auto"/>
              <w:left w:val="single" w:sz="4" w:space="0" w:color="auto"/>
              <w:bottom w:val="nil"/>
              <w:right w:val="single" w:sz="4" w:space="0" w:color="auto"/>
            </w:tcBorders>
          </w:tcPr>
          <w:p w14:paraId="5EB03424" w14:textId="77777777" w:rsidR="00A05656" w:rsidRPr="009D5B83" w:rsidRDefault="00A05656" w:rsidP="00016DA9">
            <w:pPr>
              <w:contextualSpacing/>
              <w:jc w:val="center"/>
              <w:rPr>
                <w:sz w:val="20"/>
                <w:szCs w:val="20"/>
              </w:rPr>
            </w:pPr>
            <w:r w:rsidRPr="009D5B83">
              <w:rPr>
                <w:sz w:val="20"/>
                <w:szCs w:val="20"/>
              </w:rPr>
              <w:t>263.6</w:t>
            </w:r>
          </w:p>
        </w:tc>
      </w:tr>
      <w:tr w:rsidR="00A05656" w:rsidRPr="009D5B83" w14:paraId="278C582A" w14:textId="77777777" w:rsidTr="00016DA9">
        <w:tc>
          <w:tcPr>
            <w:tcW w:w="3114" w:type="dxa"/>
            <w:tcBorders>
              <w:top w:val="nil"/>
              <w:left w:val="single" w:sz="4" w:space="0" w:color="auto"/>
              <w:bottom w:val="nil"/>
              <w:right w:val="single" w:sz="4" w:space="0" w:color="auto"/>
            </w:tcBorders>
          </w:tcPr>
          <w:p w14:paraId="65842C35" w14:textId="77777777" w:rsidR="00A05656" w:rsidRPr="009D5B83" w:rsidRDefault="00A05656" w:rsidP="00016DA9">
            <w:pPr>
              <w:ind w:left="708"/>
              <w:contextualSpacing/>
              <w:rPr>
                <w:sz w:val="20"/>
                <w:szCs w:val="20"/>
              </w:rPr>
            </w:pPr>
            <w:r w:rsidRPr="009D5B83">
              <w:rPr>
                <w:sz w:val="20"/>
                <w:szCs w:val="20"/>
              </w:rPr>
              <w:t>ЕС</w:t>
            </w:r>
          </w:p>
        </w:tc>
        <w:tc>
          <w:tcPr>
            <w:tcW w:w="6230" w:type="dxa"/>
            <w:gridSpan w:val="2"/>
            <w:tcBorders>
              <w:top w:val="nil"/>
              <w:left w:val="single" w:sz="4" w:space="0" w:color="auto"/>
              <w:bottom w:val="nil"/>
              <w:right w:val="single" w:sz="4" w:space="0" w:color="auto"/>
            </w:tcBorders>
          </w:tcPr>
          <w:p w14:paraId="1AA0D808" w14:textId="77777777" w:rsidR="00A05656" w:rsidRPr="009D5B83" w:rsidRDefault="00A05656" w:rsidP="00016DA9">
            <w:pPr>
              <w:contextualSpacing/>
              <w:jc w:val="center"/>
              <w:rPr>
                <w:sz w:val="20"/>
                <w:szCs w:val="20"/>
              </w:rPr>
            </w:pPr>
            <w:r w:rsidRPr="009D5B83">
              <w:rPr>
                <w:sz w:val="20"/>
                <w:szCs w:val="20"/>
              </w:rPr>
              <w:t>138.7</w:t>
            </w:r>
          </w:p>
        </w:tc>
      </w:tr>
      <w:tr w:rsidR="00A05656" w:rsidRPr="009D5B83" w14:paraId="16AFA2B0" w14:textId="77777777" w:rsidTr="00016DA9">
        <w:tc>
          <w:tcPr>
            <w:tcW w:w="3114" w:type="dxa"/>
            <w:tcBorders>
              <w:top w:val="nil"/>
              <w:left w:val="single" w:sz="4" w:space="0" w:color="auto"/>
              <w:bottom w:val="nil"/>
              <w:right w:val="single" w:sz="4" w:space="0" w:color="auto"/>
            </w:tcBorders>
          </w:tcPr>
          <w:p w14:paraId="4E1F1202" w14:textId="77777777" w:rsidR="00A05656" w:rsidRPr="009D5B83" w:rsidRDefault="00A05656" w:rsidP="00016DA9">
            <w:pPr>
              <w:ind w:left="1416"/>
              <w:contextualSpacing/>
              <w:rPr>
                <w:sz w:val="20"/>
                <w:szCs w:val="20"/>
              </w:rPr>
            </w:pPr>
            <w:r w:rsidRPr="009D5B83">
              <w:rPr>
                <w:sz w:val="20"/>
                <w:szCs w:val="20"/>
              </w:rPr>
              <w:t>Трубопровод</w:t>
            </w:r>
          </w:p>
        </w:tc>
        <w:tc>
          <w:tcPr>
            <w:tcW w:w="6230" w:type="dxa"/>
            <w:gridSpan w:val="2"/>
            <w:tcBorders>
              <w:top w:val="nil"/>
              <w:left w:val="single" w:sz="4" w:space="0" w:color="auto"/>
              <w:bottom w:val="nil"/>
              <w:right w:val="single" w:sz="4" w:space="0" w:color="auto"/>
            </w:tcBorders>
          </w:tcPr>
          <w:p w14:paraId="1902ACE6" w14:textId="77777777" w:rsidR="00A05656" w:rsidRPr="009D5B83" w:rsidRDefault="00A05656" w:rsidP="00016DA9">
            <w:pPr>
              <w:contextualSpacing/>
              <w:jc w:val="center"/>
              <w:rPr>
                <w:sz w:val="20"/>
                <w:szCs w:val="20"/>
              </w:rPr>
            </w:pPr>
            <w:r w:rsidRPr="009D5B83">
              <w:rPr>
                <w:sz w:val="20"/>
                <w:szCs w:val="20"/>
              </w:rPr>
              <w:t>35.9</w:t>
            </w:r>
            <w:r w:rsidRPr="009D5B83">
              <w:rPr>
                <w:rStyle w:val="aa"/>
                <w:sz w:val="20"/>
                <w:szCs w:val="20"/>
              </w:rPr>
              <w:footnoteReference w:id="21"/>
            </w:r>
          </w:p>
        </w:tc>
      </w:tr>
      <w:tr w:rsidR="00A05656" w:rsidRPr="009D5B83" w14:paraId="4E679312" w14:textId="77777777" w:rsidTr="00016DA9">
        <w:tc>
          <w:tcPr>
            <w:tcW w:w="3114" w:type="dxa"/>
            <w:tcBorders>
              <w:top w:val="nil"/>
              <w:left w:val="single" w:sz="4" w:space="0" w:color="auto"/>
              <w:bottom w:val="nil"/>
              <w:right w:val="single" w:sz="4" w:space="0" w:color="auto"/>
            </w:tcBorders>
          </w:tcPr>
          <w:p w14:paraId="6B00F714" w14:textId="77777777" w:rsidR="00A05656" w:rsidRPr="009D5B83" w:rsidRDefault="00A05656" w:rsidP="00016DA9">
            <w:pPr>
              <w:ind w:left="1416"/>
              <w:contextualSpacing/>
              <w:rPr>
                <w:sz w:val="20"/>
                <w:szCs w:val="20"/>
              </w:rPr>
            </w:pPr>
            <w:r w:rsidRPr="009D5B83">
              <w:rPr>
                <w:sz w:val="20"/>
                <w:szCs w:val="20"/>
              </w:rPr>
              <w:t>Танкеры</w:t>
            </w:r>
          </w:p>
        </w:tc>
        <w:tc>
          <w:tcPr>
            <w:tcW w:w="6230" w:type="dxa"/>
            <w:gridSpan w:val="2"/>
            <w:tcBorders>
              <w:top w:val="nil"/>
              <w:left w:val="single" w:sz="4" w:space="0" w:color="auto"/>
              <w:bottom w:val="nil"/>
              <w:right w:val="single" w:sz="4" w:space="0" w:color="auto"/>
            </w:tcBorders>
          </w:tcPr>
          <w:p w14:paraId="1F139C80" w14:textId="77777777" w:rsidR="00A05656" w:rsidRPr="009D5B83" w:rsidRDefault="00A05656" w:rsidP="00016DA9">
            <w:pPr>
              <w:contextualSpacing/>
              <w:jc w:val="center"/>
              <w:rPr>
                <w:sz w:val="20"/>
                <w:szCs w:val="20"/>
              </w:rPr>
            </w:pPr>
            <w:r w:rsidRPr="009D5B83">
              <w:rPr>
                <w:sz w:val="20"/>
                <w:szCs w:val="20"/>
              </w:rPr>
              <w:t>69.1</w:t>
            </w:r>
            <w:r w:rsidRPr="009D5B83">
              <w:rPr>
                <w:rStyle w:val="aa"/>
                <w:sz w:val="20"/>
                <w:szCs w:val="20"/>
              </w:rPr>
              <w:footnoteReference w:id="22"/>
            </w:r>
          </w:p>
        </w:tc>
      </w:tr>
      <w:tr w:rsidR="00A05656" w:rsidRPr="009D5B83" w14:paraId="62719F58" w14:textId="77777777" w:rsidTr="00016DA9">
        <w:tc>
          <w:tcPr>
            <w:tcW w:w="3114" w:type="dxa"/>
            <w:tcBorders>
              <w:top w:val="nil"/>
              <w:left w:val="single" w:sz="4" w:space="0" w:color="auto"/>
              <w:bottom w:val="nil"/>
              <w:right w:val="single" w:sz="4" w:space="0" w:color="auto"/>
            </w:tcBorders>
          </w:tcPr>
          <w:p w14:paraId="7681F8B2" w14:textId="77777777" w:rsidR="00A05656" w:rsidRPr="009D5B83" w:rsidRDefault="00A05656" w:rsidP="00016DA9">
            <w:pPr>
              <w:ind w:left="1416"/>
              <w:contextualSpacing/>
              <w:rPr>
                <w:sz w:val="20"/>
                <w:szCs w:val="20"/>
              </w:rPr>
            </w:pPr>
            <w:r w:rsidRPr="009D5B83">
              <w:rPr>
                <w:sz w:val="20"/>
                <w:szCs w:val="20"/>
              </w:rPr>
              <w:t>Другое</w:t>
            </w:r>
          </w:p>
        </w:tc>
        <w:tc>
          <w:tcPr>
            <w:tcW w:w="6230" w:type="dxa"/>
            <w:gridSpan w:val="2"/>
            <w:tcBorders>
              <w:top w:val="nil"/>
              <w:left w:val="single" w:sz="4" w:space="0" w:color="auto"/>
              <w:bottom w:val="nil"/>
              <w:right w:val="single" w:sz="4" w:space="0" w:color="auto"/>
            </w:tcBorders>
          </w:tcPr>
          <w:p w14:paraId="732EB8BA" w14:textId="77777777" w:rsidR="00A05656" w:rsidRPr="009D5B83" w:rsidRDefault="00A05656" w:rsidP="00016DA9">
            <w:pPr>
              <w:contextualSpacing/>
              <w:jc w:val="center"/>
              <w:rPr>
                <w:sz w:val="20"/>
                <w:szCs w:val="20"/>
              </w:rPr>
            </w:pPr>
            <w:r w:rsidRPr="009D5B83">
              <w:rPr>
                <w:sz w:val="20"/>
                <w:szCs w:val="20"/>
              </w:rPr>
              <w:t>33.7</w:t>
            </w:r>
            <w:r w:rsidRPr="009D5B83">
              <w:rPr>
                <w:rStyle w:val="aa"/>
                <w:sz w:val="20"/>
                <w:szCs w:val="20"/>
              </w:rPr>
              <w:footnoteReference w:id="23"/>
            </w:r>
          </w:p>
        </w:tc>
      </w:tr>
      <w:tr w:rsidR="00A05656" w:rsidRPr="009D5B83" w14:paraId="1542CA42" w14:textId="77777777" w:rsidTr="00016DA9">
        <w:tc>
          <w:tcPr>
            <w:tcW w:w="3114" w:type="dxa"/>
            <w:tcBorders>
              <w:top w:val="nil"/>
              <w:left w:val="single" w:sz="4" w:space="0" w:color="auto"/>
              <w:bottom w:val="nil"/>
              <w:right w:val="single" w:sz="4" w:space="0" w:color="auto"/>
            </w:tcBorders>
          </w:tcPr>
          <w:p w14:paraId="3BFAE2D6" w14:textId="77777777" w:rsidR="00A05656" w:rsidRPr="009D5B83" w:rsidRDefault="00A05656" w:rsidP="00016DA9">
            <w:pPr>
              <w:ind w:left="708"/>
              <w:contextualSpacing/>
              <w:rPr>
                <w:sz w:val="20"/>
                <w:szCs w:val="20"/>
              </w:rPr>
            </w:pPr>
            <w:r w:rsidRPr="009D5B83">
              <w:rPr>
                <w:sz w:val="20"/>
                <w:szCs w:val="20"/>
              </w:rPr>
              <w:t>США</w:t>
            </w:r>
          </w:p>
        </w:tc>
        <w:tc>
          <w:tcPr>
            <w:tcW w:w="6230" w:type="dxa"/>
            <w:gridSpan w:val="2"/>
            <w:tcBorders>
              <w:top w:val="nil"/>
              <w:left w:val="single" w:sz="4" w:space="0" w:color="auto"/>
              <w:bottom w:val="nil"/>
              <w:right w:val="single" w:sz="4" w:space="0" w:color="auto"/>
            </w:tcBorders>
          </w:tcPr>
          <w:p w14:paraId="22DD0CDA" w14:textId="77777777" w:rsidR="00A05656" w:rsidRPr="009D5B83" w:rsidRDefault="00A05656" w:rsidP="00016DA9">
            <w:pPr>
              <w:contextualSpacing/>
              <w:jc w:val="center"/>
              <w:rPr>
                <w:sz w:val="20"/>
                <w:szCs w:val="20"/>
              </w:rPr>
            </w:pPr>
            <w:r w:rsidRPr="009D5B83">
              <w:rPr>
                <w:sz w:val="20"/>
                <w:szCs w:val="20"/>
              </w:rPr>
              <w:t>9.9</w:t>
            </w:r>
          </w:p>
        </w:tc>
      </w:tr>
      <w:tr w:rsidR="00A05656" w:rsidRPr="009D5B83" w14:paraId="7C166B22" w14:textId="77777777" w:rsidTr="00016DA9">
        <w:tc>
          <w:tcPr>
            <w:tcW w:w="3114" w:type="dxa"/>
            <w:tcBorders>
              <w:top w:val="nil"/>
              <w:left w:val="single" w:sz="4" w:space="0" w:color="auto"/>
              <w:bottom w:val="nil"/>
              <w:right w:val="single" w:sz="4" w:space="0" w:color="auto"/>
            </w:tcBorders>
          </w:tcPr>
          <w:p w14:paraId="3E560F42" w14:textId="77777777" w:rsidR="00A05656" w:rsidRPr="009D5B83" w:rsidRDefault="00A05656" w:rsidP="00016DA9">
            <w:pPr>
              <w:ind w:left="708"/>
              <w:contextualSpacing/>
              <w:rPr>
                <w:sz w:val="20"/>
                <w:szCs w:val="20"/>
              </w:rPr>
            </w:pPr>
            <w:r w:rsidRPr="009D5B83">
              <w:rPr>
                <w:sz w:val="20"/>
                <w:szCs w:val="20"/>
              </w:rPr>
              <w:t>Китай</w:t>
            </w:r>
          </w:p>
        </w:tc>
        <w:tc>
          <w:tcPr>
            <w:tcW w:w="6230" w:type="dxa"/>
            <w:gridSpan w:val="2"/>
            <w:tcBorders>
              <w:top w:val="nil"/>
              <w:left w:val="single" w:sz="4" w:space="0" w:color="auto"/>
              <w:bottom w:val="nil"/>
              <w:right w:val="single" w:sz="4" w:space="0" w:color="auto"/>
            </w:tcBorders>
          </w:tcPr>
          <w:p w14:paraId="0694232F" w14:textId="77777777" w:rsidR="00A05656" w:rsidRPr="009D5B83" w:rsidRDefault="00A05656" w:rsidP="00016DA9">
            <w:pPr>
              <w:contextualSpacing/>
              <w:jc w:val="center"/>
              <w:rPr>
                <w:sz w:val="20"/>
                <w:szCs w:val="20"/>
              </w:rPr>
            </w:pPr>
            <w:r w:rsidRPr="009D5B83">
              <w:rPr>
                <w:sz w:val="20"/>
                <w:szCs w:val="20"/>
              </w:rPr>
              <w:t>79.6</w:t>
            </w:r>
          </w:p>
        </w:tc>
      </w:tr>
      <w:tr w:rsidR="00A05656" w:rsidRPr="009D5B83" w14:paraId="033E030C" w14:textId="77777777" w:rsidTr="00016DA9">
        <w:tc>
          <w:tcPr>
            <w:tcW w:w="3114" w:type="dxa"/>
            <w:tcBorders>
              <w:top w:val="nil"/>
              <w:left w:val="single" w:sz="4" w:space="0" w:color="auto"/>
              <w:bottom w:val="single" w:sz="4" w:space="0" w:color="auto"/>
              <w:right w:val="single" w:sz="4" w:space="0" w:color="auto"/>
            </w:tcBorders>
          </w:tcPr>
          <w:p w14:paraId="0318E5E0" w14:textId="77777777" w:rsidR="00A05656" w:rsidRPr="009D5B83" w:rsidRDefault="00A05656" w:rsidP="00016DA9">
            <w:pPr>
              <w:ind w:left="708"/>
              <w:contextualSpacing/>
              <w:rPr>
                <w:sz w:val="20"/>
                <w:szCs w:val="20"/>
              </w:rPr>
            </w:pPr>
            <w:r w:rsidRPr="009D5B83">
              <w:rPr>
                <w:sz w:val="20"/>
                <w:szCs w:val="20"/>
              </w:rPr>
              <w:t>Остальные</w:t>
            </w:r>
          </w:p>
        </w:tc>
        <w:tc>
          <w:tcPr>
            <w:tcW w:w="6230" w:type="dxa"/>
            <w:gridSpan w:val="2"/>
            <w:tcBorders>
              <w:top w:val="nil"/>
              <w:left w:val="single" w:sz="4" w:space="0" w:color="auto"/>
              <w:bottom w:val="single" w:sz="4" w:space="0" w:color="auto"/>
              <w:right w:val="single" w:sz="4" w:space="0" w:color="auto"/>
            </w:tcBorders>
          </w:tcPr>
          <w:p w14:paraId="6D3772DA" w14:textId="77777777" w:rsidR="00A05656" w:rsidRPr="009D5B83" w:rsidRDefault="00A05656" w:rsidP="00016DA9">
            <w:pPr>
              <w:contextualSpacing/>
              <w:jc w:val="center"/>
              <w:rPr>
                <w:sz w:val="20"/>
                <w:szCs w:val="20"/>
              </w:rPr>
            </w:pPr>
            <w:r w:rsidRPr="009D5B83">
              <w:rPr>
                <w:sz w:val="20"/>
                <w:szCs w:val="20"/>
              </w:rPr>
              <w:t>35.4</w:t>
            </w:r>
            <w:r w:rsidRPr="009D5B83">
              <w:rPr>
                <w:rStyle w:val="aa"/>
                <w:sz w:val="20"/>
                <w:szCs w:val="20"/>
              </w:rPr>
              <w:footnoteReference w:id="24"/>
            </w:r>
          </w:p>
        </w:tc>
      </w:tr>
      <w:tr w:rsidR="00A05656" w:rsidRPr="009D5B83" w14:paraId="56DC1251" w14:textId="77777777" w:rsidTr="00016DA9">
        <w:tc>
          <w:tcPr>
            <w:tcW w:w="3114" w:type="dxa"/>
            <w:tcBorders>
              <w:top w:val="single" w:sz="4" w:space="0" w:color="auto"/>
              <w:left w:val="single" w:sz="4" w:space="0" w:color="auto"/>
              <w:bottom w:val="nil"/>
              <w:right w:val="single" w:sz="4" w:space="0" w:color="auto"/>
            </w:tcBorders>
          </w:tcPr>
          <w:p w14:paraId="7D07927C" w14:textId="77777777" w:rsidR="00A05656" w:rsidRPr="009D5B83" w:rsidRDefault="00A05656" w:rsidP="00016DA9">
            <w:pPr>
              <w:contextualSpacing/>
              <w:rPr>
                <w:sz w:val="20"/>
                <w:szCs w:val="20"/>
              </w:rPr>
            </w:pPr>
            <w:r w:rsidRPr="009D5B83">
              <w:rPr>
                <w:sz w:val="20"/>
                <w:szCs w:val="20"/>
              </w:rPr>
              <w:t xml:space="preserve">Экспорт 2022 г., </w:t>
            </w:r>
            <w:proofErr w:type="gramStart"/>
            <w:r w:rsidRPr="009D5B83">
              <w:rPr>
                <w:sz w:val="20"/>
                <w:szCs w:val="20"/>
              </w:rPr>
              <w:t>млн</w:t>
            </w:r>
            <w:proofErr w:type="gramEnd"/>
            <w:r w:rsidRPr="009D5B83">
              <w:rPr>
                <w:sz w:val="20"/>
                <w:szCs w:val="20"/>
              </w:rPr>
              <w:t xml:space="preserve"> т</w:t>
            </w:r>
          </w:p>
        </w:tc>
        <w:tc>
          <w:tcPr>
            <w:tcW w:w="6230" w:type="dxa"/>
            <w:gridSpan w:val="2"/>
            <w:tcBorders>
              <w:top w:val="single" w:sz="4" w:space="0" w:color="auto"/>
              <w:left w:val="single" w:sz="4" w:space="0" w:color="auto"/>
              <w:bottom w:val="nil"/>
              <w:right w:val="single" w:sz="4" w:space="0" w:color="auto"/>
            </w:tcBorders>
            <w:vAlign w:val="center"/>
          </w:tcPr>
          <w:p w14:paraId="268BA8EB" w14:textId="77777777" w:rsidR="00A05656" w:rsidRPr="009D5B83" w:rsidRDefault="00A05656" w:rsidP="00016DA9">
            <w:pPr>
              <w:contextualSpacing/>
              <w:jc w:val="center"/>
              <w:rPr>
                <w:sz w:val="20"/>
                <w:szCs w:val="20"/>
              </w:rPr>
            </w:pPr>
            <w:r w:rsidRPr="009D5B83">
              <w:rPr>
                <w:color w:val="000000"/>
                <w:sz w:val="20"/>
                <w:szCs w:val="20"/>
              </w:rPr>
              <w:t>220.1</w:t>
            </w:r>
          </w:p>
        </w:tc>
      </w:tr>
      <w:tr w:rsidR="00A05656" w:rsidRPr="009D5B83" w14:paraId="1C411701" w14:textId="77777777" w:rsidTr="00016DA9">
        <w:tc>
          <w:tcPr>
            <w:tcW w:w="3114" w:type="dxa"/>
            <w:tcBorders>
              <w:top w:val="nil"/>
              <w:left w:val="single" w:sz="4" w:space="0" w:color="auto"/>
              <w:bottom w:val="nil"/>
              <w:right w:val="single" w:sz="4" w:space="0" w:color="auto"/>
            </w:tcBorders>
          </w:tcPr>
          <w:p w14:paraId="53B78A30" w14:textId="77777777" w:rsidR="00A05656" w:rsidRPr="009D5B83" w:rsidRDefault="00A05656" w:rsidP="00016DA9">
            <w:pPr>
              <w:ind w:left="708"/>
              <w:contextualSpacing/>
              <w:rPr>
                <w:sz w:val="20"/>
                <w:szCs w:val="20"/>
              </w:rPr>
            </w:pPr>
            <w:r w:rsidRPr="009D5B83">
              <w:rPr>
                <w:sz w:val="20"/>
                <w:szCs w:val="20"/>
              </w:rPr>
              <w:t>ЕС</w:t>
            </w:r>
          </w:p>
        </w:tc>
        <w:tc>
          <w:tcPr>
            <w:tcW w:w="6230" w:type="dxa"/>
            <w:gridSpan w:val="2"/>
            <w:tcBorders>
              <w:top w:val="nil"/>
              <w:left w:val="single" w:sz="4" w:space="0" w:color="auto"/>
              <w:bottom w:val="nil"/>
              <w:right w:val="single" w:sz="4" w:space="0" w:color="auto"/>
            </w:tcBorders>
            <w:vAlign w:val="center"/>
          </w:tcPr>
          <w:p w14:paraId="433D2855" w14:textId="77777777" w:rsidR="00A05656" w:rsidRPr="009D5B83" w:rsidRDefault="00A05656" w:rsidP="00016DA9">
            <w:pPr>
              <w:contextualSpacing/>
              <w:jc w:val="center"/>
              <w:rPr>
                <w:sz w:val="20"/>
                <w:szCs w:val="20"/>
              </w:rPr>
            </w:pPr>
            <w:r w:rsidRPr="009D5B83">
              <w:rPr>
                <w:color w:val="000000"/>
                <w:sz w:val="20"/>
                <w:szCs w:val="20"/>
              </w:rPr>
              <w:t>100.6</w:t>
            </w:r>
            <w:r w:rsidRPr="009D5B83">
              <w:rPr>
                <w:rStyle w:val="aa"/>
                <w:color w:val="000000"/>
                <w:sz w:val="20"/>
                <w:szCs w:val="20"/>
              </w:rPr>
              <w:footnoteReference w:id="25"/>
            </w:r>
          </w:p>
        </w:tc>
      </w:tr>
      <w:tr w:rsidR="00A05656" w:rsidRPr="009D5B83" w14:paraId="6166504F" w14:textId="77777777" w:rsidTr="00016DA9">
        <w:tc>
          <w:tcPr>
            <w:tcW w:w="3114" w:type="dxa"/>
            <w:tcBorders>
              <w:top w:val="nil"/>
              <w:left w:val="single" w:sz="4" w:space="0" w:color="auto"/>
              <w:bottom w:val="nil"/>
              <w:right w:val="single" w:sz="4" w:space="0" w:color="auto"/>
            </w:tcBorders>
          </w:tcPr>
          <w:p w14:paraId="081C37D7" w14:textId="77777777" w:rsidR="00A05656" w:rsidRPr="009D5B83" w:rsidRDefault="00A05656" w:rsidP="00016DA9">
            <w:pPr>
              <w:ind w:left="1416"/>
              <w:contextualSpacing/>
              <w:rPr>
                <w:sz w:val="20"/>
                <w:szCs w:val="20"/>
              </w:rPr>
            </w:pPr>
            <w:r w:rsidRPr="009D5B83">
              <w:rPr>
                <w:sz w:val="20"/>
                <w:szCs w:val="20"/>
              </w:rPr>
              <w:t>Трубопровод</w:t>
            </w:r>
          </w:p>
        </w:tc>
        <w:tc>
          <w:tcPr>
            <w:tcW w:w="6230" w:type="dxa"/>
            <w:gridSpan w:val="2"/>
            <w:tcBorders>
              <w:top w:val="nil"/>
              <w:left w:val="single" w:sz="4" w:space="0" w:color="auto"/>
              <w:bottom w:val="nil"/>
              <w:right w:val="single" w:sz="4" w:space="0" w:color="auto"/>
            </w:tcBorders>
            <w:vAlign w:val="center"/>
          </w:tcPr>
          <w:p w14:paraId="3D96E89B" w14:textId="77777777" w:rsidR="00A05656" w:rsidRPr="009D5B83" w:rsidRDefault="00A05656" w:rsidP="00016DA9">
            <w:pPr>
              <w:contextualSpacing/>
              <w:jc w:val="center"/>
              <w:rPr>
                <w:sz w:val="20"/>
                <w:szCs w:val="20"/>
              </w:rPr>
            </w:pPr>
            <w:r w:rsidRPr="009D5B83">
              <w:rPr>
                <w:color w:val="000000"/>
                <w:sz w:val="20"/>
                <w:szCs w:val="20"/>
              </w:rPr>
              <w:t>19.9</w:t>
            </w:r>
            <w:r w:rsidRPr="009D5B83">
              <w:rPr>
                <w:rStyle w:val="aa"/>
                <w:color w:val="000000"/>
                <w:sz w:val="20"/>
                <w:szCs w:val="20"/>
              </w:rPr>
              <w:footnoteReference w:id="26"/>
            </w:r>
          </w:p>
        </w:tc>
      </w:tr>
      <w:tr w:rsidR="00A05656" w:rsidRPr="009D5B83" w14:paraId="6763384E" w14:textId="77777777" w:rsidTr="00016DA9">
        <w:tc>
          <w:tcPr>
            <w:tcW w:w="3114" w:type="dxa"/>
            <w:tcBorders>
              <w:top w:val="nil"/>
              <w:left w:val="single" w:sz="4" w:space="0" w:color="auto"/>
              <w:bottom w:val="nil"/>
              <w:right w:val="single" w:sz="4" w:space="0" w:color="auto"/>
            </w:tcBorders>
          </w:tcPr>
          <w:p w14:paraId="2D23C3E9" w14:textId="77777777" w:rsidR="00A05656" w:rsidRPr="009D5B83" w:rsidRDefault="00A05656" w:rsidP="00016DA9">
            <w:pPr>
              <w:ind w:left="1416"/>
              <w:contextualSpacing/>
              <w:rPr>
                <w:sz w:val="20"/>
                <w:szCs w:val="20"/>
              </w:rPr>
            </w:pPr>
            <w:r w:rsidRPr="009D5B83">
              <w:rPr>
                <w:sz w:val="20"/>
                <w:szCs w:val="20"/>
              </w:rPr>
              <w:t>Танкеры</w:t>
            </w:r>
          </w:p>
        </w:tc>
        <w:tc>
          <w:tcPr>
            <w:tcW w:w="6230" w:type="dxa"/>
            <w:gridSpan w:val="2"/>
            <w:tcBorders>
              <w:top w:val="nil"/>
              <w:left w:val="single" w:sz="4" w:space="0" w:color="auto"/>
              <w:bottom w:val="nil"/>
              <w:right w:val="single" w:sz="4" w:space="0" w:color="auto"/>
            </w:tcBorders>
            <w:vAlign w:val="center"/>
          </w:tcPr>
          <w:p w14:paraId="501F99FC" w14:textId="77777777" w:rsidR="00A05656" w:rsidRPr="009D5B83" w:rsidRDefault="00A05656" w:rsidP="00016DA9">
            <w:pPr>
              <w:contextualSpacing/>
              <w:jc w:val="center"/>
              <w:rPr>
                <w:sz w:val="20"/>
                <w:szCs w:val="20"/>
              </w:rPr>
            </w:pPr>
            <w:r w:rsidRPr="009D5B83">
              <w:rPr>
                <w:color w:val="000000"/>
                <w:sz w:val="20"/>
                <w:szCs w:val="20"/>
              </w:rPr>
              <w:t>63.9</w:t>
            </w:r>
          </w:p>
        </w:tc>
      </w:tr>
      <w:tr w:rsidR="00A05656" w:rsidRPr="009D5B83" w14:paraId="0AA04F8E" w14:textId="77777777" w:rsidTr="00016DA9">
        <w:tc>
          <w:tcPr>
            <w:tcW w:w="3114" w:type="dxa"/>
            <w:tcBorders>
              <w:top w:val="nil"/>
              <w:left w:val="single" w:sz="4" w:space="0" w:color="auto"/>
              <w:bottom w:val="nil"/>
              <w:right w:val="single" w:sz="4" w:space="0" w:color="auto"/>
            </w:tcBorders>
          </w:tcPr>
          <w:p w14:paraId="6473E76B" w14:textId="77777777" w:rsidR="00A05656" w:rsidRPr="009D5B83" w:rsidRDefault="00A05656" w:rsidP="00016DA9">
            <w:pPr>
              <w:ind w:left="1416"/>
              <w:contextualSpacing/>
              <w:rPr>
                <w:sz w:val="20"/>
                <w:szCs w:val="20"/>
              </w:rPr>
            </w:pPr>
            <w:r w:rsidRPr="009D5B83">
              <w:rPr>
                <w:sz w:val="20"/>
                <w:szCs w:val="20"/>
              </w:rPr>
              <w:t>Другое</w:t>
            </w:r>
          </w:p>
        </w:tc>
        <w:tc>
          <w:tcPr>
            <w:tcW w:w="6230" w:type="dxa"/>
            <w:gridSpan w:val="2"/>
            <w:tcBorders>
              <w:top w:val="nil"/>
              <w:left w:val="single" w:sz="4" w:space="0" w:color="auto"/>
              <w:bottom w:val="nil"/>
              <w:right w:val="single" w:sz="4" w:space="0" w:color="auto"/>
            </w:tcBorders>
            <w:vAlign w:val="center"/>
          </w:tcPr>
          <w:p w14:paraId="4D81E0F7" w14:textId="77777777" w:rsidR="00A05656" w:rsidRPr="009D5B83" w:rsidRDefault="00A05656" w:rsidP="00016DA9">
            <w:pPr>
              <w:contextualSpacing/>
              <w:jc w:val="center"/>
              <w:rPr>
                <w:sz w:val="20"/>
                <w:szCs w:val="20"/>
              </w:rPr>
            </w:pPr>
            <w:r w:rsidRPr="009D5B83">
              <w:rPr>
                <w:color w:val="000000"/>
                <w:sz w:val="20"/>
                <w:szCs w:val="20"/>
              </w:rPr>
              <w:t>16.9</w:t>
            </w:r>
          </w:p>
        </w:tc>
      </w:tr>
      <w:tr w:rsidR="00A05656" w:rsidRPr="009D5B83" w14:paraId="6A49B01D" w14:textId="77777777" w:rsidTr="00016DA9">
        <w:tc>
          <w:tcPr>
            <w:tcW w:w="3114" w:type="dxa"/>
            <w:tcBorders>
              <w:top w:val="nil"/>
              <w:left w:val="single" w:sz="4" w:space="0" w:color="auto"/>
              <w:bottom w:val="nil"/>
              <w:right w:val="single" w:sz="4" w:space="0" w:color="auto"/>
            </w:tcBorders>
          </w:tcPr>
          <w:p w14:paraId="4318BCAC" w14:textId="77777777" w:rsidR="00A05656" w:rsidRPr="009D5B83" w:rsidRDefault="00A05656" w:rsidP="00016DA9">
            <w:pPr>
              <w:ind w:left="708"/>
              <w:contextualSpacing/>
              <w:rPr>
                <w:sz w:val="20"/>
                <w:szCs w:val="20"/>
              </w:rPr>
            </w:pPr>
            <w:r w:rsidRPr="009D5B83">
              <w:rPr>
                <w:sz w:val="20"/>
                <w:szCs w:val="20"/>
              </w:rPr>
              <w:t>США</w:t>
            </w:r>
          </w:p>
        </w:tc>
        <w:tc>
          <w:tcPr>
            <w:tcW w:w="6230" w:type="dxa"/>
            <w:gridSpan w:val="2"/>
            <w:tcBorders>
              <w:top w:val="nil"/>
              <w:left w:val="single" w:sz="4" w:space="0" w:color="auto"/>
              <w:bottom w:val="nil"/>
              <w:right w:val="single" w:sz="4" w:space="0" w:color="auto"/>
            </w:tcBorders>
          </w:tcPr>
          <w:p w14:paraId="270AF445" w14:textId="77777777" w:rsidR="00A05656" w:rsidRPr="009D5B83" w:rsidRDefault="00A05656" w:rsidP="00016DA9">
            <w:pPr>
              <w:contextualSpacing/>
              <w:jc w:val="center"/>
              <w:rPr>
                <w:sz w:val="20"/>
                <w:szCs w:val="20"/>
              </w:rPr>
            </w:pPr>
            <w:r w:rsidRPr="009D5B83">
              <w:rPr>
                <w:sz w:val="20"/>
                <w:szCs w:val="20"/>
              </w:rPr>
              <w:t>4.5</w:t>
            </w:r>
            <w:r w:rsidRPr="009D5B83">
              <w:rPr>
                <w:rStyle w:val="aa"/>
                <w:sz w:val="20"/>
                <w:szCs w:val="20"/>
                <w:lang w:val="en-US"/>
              </w:rPr>
              <w:footnoteReference w:id="27"/>
            </w:r>
          </w:p>
        </w:tc>
      </w:tr>
      <w:tr w:rsidR="00A05656" w:rsidRPr="009D5B83" w14:paraId="1FCDD093" w14:textId="77777777" w:rsidTr="00016DA9">
        <w:tc>
          <w:tcPr>
            <w:tcW w:w="3114" w:type="dxa"/>
            <w:tcBorders>
              <w:top w:val="nil"/>
              <w:left w:val="single" w:sz="4" w:space="0" w:color="auto"/>
              <w:bottom w:val="nil"/>
              <w:right w:val="single" w:sz="4" w:space="0" w:color="auto"/>
            </w:tcBorders>
          </w:tcPr>
          <w:p w14:paraId="27F63974" w14:textId="77777777" w:rsidR="00A05656" w:rsidRPr="009D5B83" w:rsidRDefault="00A05656" w:rsidP="00016DA9">
            <w:pPr>
              <w:ind w:left="708"/>
              <w:contextualSpacing/>
              <w:rPr>
                <w:sz w:val="20"/>
                <w:szCs w:val="20"/>
              </w:rPr>
            </w:pPr>
            <w:r w:rsidRPr="009D5B83">
              <w:rPr>
                <w:sz w:val="20"/>
                <w:szCs w:val="20"/>
              </w:rPr>
              <w:t>Китай</w:t>
            </w:r>
          </w:p>
        </w:tc>
        <w:tc>
          <w:tcPr>
            <w:tcW w:w="6230" w:type="dxa"/>
            <w:gridSpan w:val="2"/>
            <w:tcBorders>
              <w:top w:val="nil"/>
              <w:left w:val="single" w:sz="4" w:space="0" w:color="auto"/>
              <w:bottom w:val="nil"/>
              <w:right w:val="single" w:sz="4" w:space="0" w:color="auto"/>
            </w:tcBorders>
          </w:tcPr>
          <w:p w14:paraId="2C06E6B7" w14:textId="77777777" w:rsidR="00A05656" w:rsidRPr="009D5B83" w:rsidRDefault="00A05656" w:rsidP="00016DA9">
            <w:pPr>
              <w:contextualSpacing/>
              <w:jc w:val="center"/>
              <w:rPr>
                <w:sz w:val="20"/>
                <w:szCs w:val="20"/>
              </w:rPr>
            </w:pPr>
            <w:r w:rsidRPr="009D5B83">
              <w:rPr>
                <w:sz w:val="20"/>
                <w:szCs w:val="20"/>
              </w:rPr>
              <w:t>79.6</w:t>
            </w:r>
          </w:p>
        </w:tc>
      </w:tr>
      <w:tr w:rsidR="00A05656" w:rsidRPr="009D5B83" w14:paraId="75C0C70F" w14:textId="77777777" w:rsidTr="00016DA9">
        <w:tc>
          <w:tcPr>
            <w:tcW w:w="3114" w:type="dxa"/>
            <w:tcBorders>
              <w:top w:val="nil"/>
              <w:left w:val="single" w:sz="4" w:space="0" w:color="auto"/>
              <w:bottom w:val="single" w:sz="4" w:space="0" w:color="auto"/>
              <w:right w:val="single" w:sz="4" w:space="0" w:color="auto"/>
            </w:tcBorders>
          </w:tcPr>
          <w:p w14:paraId="35C765EE" w14:textId="77777777" w:rsidR="00A05656" w:rsidRPr="009D5B83" w:rsidRDefault="00A05656" w:rsidP="00016DA9">
            <w:pPr>
              <w:ind w:left="708"/>
              <w:contextualSpacing/>
              <w:rPr>
                <w:sz w:val="20"/>
                <w:szCs w:val="20"/>
              </w:rPr>
            </w:pPr>
            <w:r w:rsidRPr="009D5B83">
              <w:rPr>
                <w:sz w:val="20"/>
                <w:szCs w:val="20"/>
              </w:rPr>
              <w:t>Остальные</w:t>
            </w:r>
          </w:p>
        </w:tc>
        <w:tc>
          <w:tcPr>
            <w:tcW w:w="6230" w:type="dxa"/>
            <w:gridSpan w:val="2"/>
            <w:tcBorders>
              <w:top w:val="nil"/>
              <w:left w:val="single" w:sz="4" w:space="0" w:color="auto"/>
              <w:bottom w:val="single" w:sz="4" w:space="0" w:color="auto"/>
              <w:right w:val="single" w:sz="4" w:space="0" w:color="auto"/>
            </w:tcBorders>
          </w:tcPr>
          <w:p w14:paraId="3D9E1CB9" w14:textId="77777777" w:rsidR="00A05656" w:rsidRPr="009D5B83" w:rsidRDefault="00A05656" w:rsidP="00016DA9">
            <w:pPr>
              <w:contextualSpacing/>
              <w:jc w:val="center"/>
              <w:rPr>
                <w:sz w:val="20"/>
                <w:szCs w:val="20"/>
              </w:rPr>
            </w:pPr>
            <w:r w:rsidRPr="009D5B83">
              <w:rPr>
                <w:sz w:val="20"/>
                <w:szCs w:val="20"/>
              </w:rPr>
              <w:t>35.4</w:t>
            </w:r>
          </w:p>
        </w:tc>
      </w:tr>
      <w:tr w:rsidR="00A05656" w:rsidRPr="009D5B83" w14:paraId="0A9169D1" w14:textId="77777777" w:rsidTr="00016DA9">
        <w:tc>
          <w:tcPr>
            <w:tcW w:w="3114" w:type="dxa"/>
            <w:tcBorders>
              <w:top w:val="single" w:sz="4" w:space="0" w:color="auto"/>
              <w:left w:val="single" w:sz="4" w:space="0" w:color="auto"/>
              <w:bottom w:val="nil"/>
              <w:right w:val="single" w:sz="4" w:space="0" w:color="auto"/>
            </w:tcBorders>
          </w:tcPr>
          <w:p w14:paraId="7FA19331" w14:textId="77777777" w:rsidR="00A05656" w:rsidRPr="009D5B83" w:rsidRDefault="00A05656" w:rsidP="00016DA9">
            <w:pPr>
              <w:contextualSpacing/>
              <w:rPr>
                <w:sz w:val="20"/>
                <w:szCs w:val="20"/>
              </w:rPr>
            </w:pPr>
            <w:r w:rsidRPr="009D5B83">
              <w:rPr>
                <w:sz w:val="20"/>
                <w:szCs w:val="20"/>
              </w:rPr>
              <w:t xml:space="preserve">Экспорт 2023 г., </w:t>
            </w:r>
            <w:proofErr w:type="gramStart"/>
            <w:r w:rsidRPr="009D5B83">
              <w:rPr>
                <w:sz w:val="20"/>
                <w:szCs w:val="20"/>
              </w:rPr>
              <w:t>млн</w:t>
            </w:r>
            <w:proofErr w:type="gramEnd"/>
            <w:r w:rsidRPr="009D5B83">
              <w:rPr>
                <w:sz w:val="20"/>
                <w:szCs w:val="20"/>
              </w:rPr>
              <w:t xml:space="preserve"> т</w:t>
            </w:r>
          </w:p>
        </w:tc>
        <w:tc>
          <w:tcPr>
            <w:tcW w:w="3260" w:type="dxa"/>
            <w:tcBorders>
              <w:top w:val="single" w:sz="4" w:space="0" w:color="auto"/>
              <w:left w:val="single" w:sz="4" w:space="0" w:color="auto"/>
              <w:bottom w:val="nil"/>
              <w:right w:val="single" w:sz="4" w:space="0" w:color="auto"/>
            </w:tcBorders>
          </w:tcPr>
          <w:p w14:paraId="7498ABAB" w14:textId="77777777" w:rsidR="00A05656" w:rsidRPr="009D5B83" w:rsidRDefault="00A05656" w:rsidP="00016DA9">
            <w:pPr>
              <w:contextualSpacing/>
              <w:jc w:val="center"/>
              <w:rPr>
                <w:sz w:val="20"/>
                <w:szCs w:val="20"/>
              </w:rPr>
            </w:pPr>
            <w:r w:rsidRPr="009D5B83">
              <w:rPr>
                <w:sz w:val="20"/>
                <w:szCs w:val="20"/>
              </w:rPr>
              <w:t>131.6</w:t>
            </w:r>
          </w:p>
        </w:tc>
        <w:tc>
          <w:tcPr>
            <w:tcW w:w="2970" w:type="dxa"/>
            <w:tcBorders>
              <w:top w:val="single" w:sz="4" w:space="0" w:color="auto"/>
              <w:left w:val="single" w:sz="4" w:space="0" w:color="auto"/>
              <w:bottom w:val="nil"/>
              <w:right w:val="single" w:sz="4" w:space="0" w:color="auto"/>
            </w:tcBorders>
          </w:tcPr>
          <w:p w14:paraId="1FFEBC7A" w14:textId="77777777" w:rsidR="00A05656" w:rsidRPr="009D5B83" w:rsidRDefault="00A05656" w:rsidP="00016DA9">
            <w:pPr>
              <w:contextualSpacing/>
              <w:jc w:val="center"/>
              <w:rPr>
                <w:sz w:val="20"/>
                <w:szCs w:val="20"/>
              </w:rPr>
            </w:pPr>
            <w:r w:rsidRPr="009D5B83">
              <w:rPr>
                <w:sz w:val="20"/>
                <w:szCs w:val="20"/>
              </w:rPr>
              <w:t>181</w:t>
            </w:r>
          </w:p>
        </w:tc>
      </w:tr>
      <w:tr w:rsidR="00A05656" w:rsidRPr="009D5B83" w14:paraId="7590F1C5" w14:textId="77777777" w:rsidTr="00016DA9">
        <w:tc>
          <w:tcPr>
            <w:tcW w:w="3114" w:type="dxa"/>
            <w:tcBorders>
              <w:top w:val="nil"/>
              <w:left w:val="single" w:sz="4" w:space="0" w:color="auto"/>
              <w:bottom w:val="nil"/>
              <w:right w:val="single" w:sz="4" w:space="0" w:color="auto"/>
            </w:tcBorders>
          </w:tcPr>
          <w:p w14:paraId="07953412" w14:textId="77777777" w:rsidR="00A05656" w:rsidRPr="009D5B83" w:rsidRDefault="00A05656" w:rsidP="00016DA9">
            <w:pPr>
              <w:ind w:left="708"/>
              <w:contextualSpacing/>
              <w:rPr>
                <w:sz w:val="20"/>
                <w:szCs w:val="20"/>
              </w:rPr>
            </w:pPr>
            <w:r w:rsidRPr="009D5B83">
              <w:rPr>
                <w:sz w:val="20"/>
                <w:szCs w:val="20"/>
              </w:rPr>
              <w:t>ЕС</w:t>
            </w:r>
          </w:p>
        </w:tc>
        <w:tc>
          <w:tcPr>
            <w:tcW w:w="3260" w:type="dxa"/>
            <w:tcBorders>
              <w:top w:val="nil"/>
              <w:left w:val="single" w:sz="4" w:space="0" w:color="auto"/>
              <w:bottom w:val="nil"/>
              <w:right w:val="single" w:sz="4" w:space="0" w:color="auto"/>
            </w:tcBorders>
          </w:tcPr>
          <w:p w14:paraId="01FB5269" w14:textId="77777777" w:rsidR="00A05656" w:rsidRPr="009D5B83" w:rsidRDefault="00A05656" w:rsidP="00016DA9">
            <w:pPr>
              <w:contextualSpacing/>
              <w:jc w:val="center"/>
              <w:rPr>
                <w:sz w:val="20"/>
                <w:szCs w:val="20"/>
              </w:rPr>
            </w:pPr>
            <w:r w:rsidRPr="009D5B83">
              <w:rPr>
                <w:sz w:val="20"/>
                <w:szCs w:val="20"/>
              </w:rPr>
              <w:t>16.6</w:t>
            </w:r>
          </w:p>
        </w:tc>
        <w:tc>
          <w:tcPr>
            <w:tcW w:w="2970" w:type="dxa"/>
            <w:tcBorders>
              <w:top w:val="nil"/>
              <w:left w:val="single" w:sz="4" w:space="0" w:color="auto"/>
              <w:bottom w:val="nil"/>
              <w:right w:val="single" w:sz="4" w:space="0" w:color="auto"/>
            </w:tcBorders>
          </w:tcPr>
          <w:p w14:paraId="21953EA5" w14:textId="77777777" w:rsidR="00A05656" w:rsidRPr="009D5B83" w:rsidRDefault="00A05656" w:rsidP="00016DA9">
            <w:pPr>
              <w:contextualSpacing/>
              <w:jc w:val="center"/>
              <w:rPr>
                <w:sz w:val="20"/>
                <w:szCs w:val="20"/>
              </w:rPr>
            </w:pPr>
            <w:r w:rsidRPr="009D5B83">
              <w:rPr>
                <w:sz w:val="20"/>
                <w:szCs w:val="20"/>
              </w:rPr>
              <w:t>40.6</w:t>
            </w:r>
          </w:p>
        </w:tc>
      </w:tr>
      <w:tr w:rsidR="00A05656" w:rsidRPr="009D5B83" w14:paraId="69732C13" w14:textId="77777777" w:rsidTr="00016DA9">
        <w:tc>
          <w:tcPr>
            <w:tcW w:w="3114" w:type="dxa"/>
            <w:tcBorders>
              <w:top w:val="nil"/>
              <w:left w:val="single" w:sz="4" w:space="0" w:color="auto"/>
              <w:bottom w:val="nil"/>
              <w:right w:val="single" w:sz="4" w:space="0" w:color="auto"/>
            </w:tcBorders>
          </w:tcPr>
          <w:p w14:paraId="5497FB64" w14:textId="77777777" w:rsidR="00A05656" w:rsidRPr="009D5B83" w:rsidRDefault="00A05656" w:rsidP="00016DA9">
            <w:pPr>
              <w:ind w:left="1416"/>
              <w:contextualSpacing/>
              <w:rPr>
                <w:sz w:val="20"/>
                <w:szCs w:val="20"/>
              </w:rPr>
            </w:pPr>
            <w:r w:rsidRPr="009D5B83">
              <w:rPr>
                <w:sz w:val="20"/>
                <w:szCs w:val="20"/>
              </w:rPr>
              <w:t>Трубопровод</w:t>
            </w:r>
          </w:p>
        </w:tc>
        <w:tc>
          <w:tcPr>
            <w:tcW w:w="3260" w:type="dxa"/>
            <w:tcBorders>
              <w:top w:val="nil"/>
              <w:left w:val="single" w:sz="4" w:space="0" w:color="auto"/>
              <w:bottom w:val="nil"/>
              <w:right w:val="single" w:sz="4" w:space="0" w:color="auto"/>
            </w:tcBorders>
          </w:tcPr>
          <w:p w14:paraId="659409A9" w14:textId="77777777" w:rsidR="00A05656" w:rsidRPr="009D5B83" w:rsidRDefault="00A05656" w:rsidP="00016DA9">
            <w:pPr>
              <w:contextualSpacing/>
              <w:jc w:val="center"/>
              <w:rPr>
                <w:sz w:val="20"/>
                <w:szCs w:val="20"/>
              </w:rPr>
            </w:pPr>
            <w:r w:rsidRPr="009D5B83">
              <w:rPr>
                <w:sz w:val="20"/>
                <w:szCs w:val="20"/>
              </w:rPr>
              <w:t>Венгрия (5.5) + Словакия (4.3)</w:t>
            </w:r>
            <w:r w:rsidRPr="009D5B83">
              <w:rPr>
                <w:rStyle w:val="aa"/>
                <w:sz w:val="20"/>
                <w:szCs w:val="20"/>
              </w:rPr>
              <w:footnoteReference w:id="28"/>
            </w:r>
          </w:p>
        </w:tc>
        <w:tc>
          <w:tcPr>
            <w:tcW w:w="2970" w:type="dxa"/>
            <w:tcBorders>
              <w:top w:val="nil"/>
              <w:left w:val="single" w:sz="4" w:space="0" w:color="auto"/>
              <w:bottom w:val="nil"/>
              <w:right w:val="single" w:sz="4" w:space="0" w:color="auto"/>
            </w:tcBorders>
          </w:tcPr>
          <w:p w14:paraId="7B438C88" w14:textId="77777777" w:rsidR="00A05656" w:rsidRPr="009D5B83" w:rsidRDefault="00A05656" w:rsidP="00016DA9">
            <w:pPr>
              <w:contextualSpacing/>
              <w:jc w:val="center"/>
              <w:rPr>
                <w:sz w:val="20"/>
                <w:szCs w:val="20"/>
              </w:rPr>
            </w:pPr>
            <w:r w:rsidRPr="009D5B83">
              <w:rPr>
                <w:sz w:val="20"/>
                <w:szCs w:val="20"/>
              </w:rPr>
              <w:t>Венгрия (5.5) + Словакия (4.3)</w:t>
            </w:r>
          </w:p>
        </w:tc>
      </w:tr>
      <w:tr w:rsidR="00A05656" w:rsidRPr="009D5B83" w14:paraId="2AFAE9EB" w14:textId="77777777" w:rsidTr="00016DA9">
        <w:tc>
          <w:tcPr>
            <w:tcW w:w="3114" w:type="dxa"/>
            <w:tcBorders>
              <w:top w:val="nil"/>
              <w:left w:val="single" w:sz="4" w:space="0" w:color="auto"/>
              <w:bottom w:val="nil"/>
              <w:right w:val="single" w:sz="4" w:space="0" w:color="auto"/>
            </w:tcBorders>
          </w:tcPr>
          <w:p w14:paraId="026EB9AF" w14:textId="77777777" w:rsidR="00A05656" w:rsidRPr="009D5B83" w:rsidRDefault="00A05656" w:rsidP="00016DA9">
            <w:pPr>
              <w:ind w:left="1416"/>
              <w:contextualSpacing/>
              <w:rPr>
                <w:sz w:val="20"/>
                <w:szCs w:val="20"/>
              </w:rPr>
            </w:pPr>
            <w:r w:rsidRPr="009D5B83">
              <w:rPr>
                <w:sz w:val="20"/>
                <w:szCs w:val="20"/>
              </w:rPr>
              <w:t>Танкеры</w:t>
            </w:r>
          </w:p>
        </w:tc>
        <w:tc>
          <w:tcPr>
            <w:tcW w:w="3260" w:type="dxa"/>
            <w:tcBorders>
              <w:top w:val="nil"/>
              <w:left w:val="single" w:sz="4" w:space="0" w:color="auto"/>
              <w:bottom w:val="nil"/>
              <w:right w:val="single" w:sz="4" w:space="0" w:color="auto"/>
            </w:tcBorders>
          </w:tcPr>
          <w:p w14:paraId="6CD62DD0" w14:textId="77777777" w:rsidR="00A05656" w:rsidRPr="009D5B83" w:rsidRDefault="00A05656" w:rsidP="00016DA9">
            <w:pPr>
              <w:contextualSpacing/>
              <w:jc w:val="center"/>
              <w:rPr>
                <w:sz w:val="20"/>
                <w:szCs w:val="20"/>
              </w:rPr>
            </w:pPr>
            <w:r w:rsidRPr="009D5B83">
              <w:rPr>
                <w:sz w:val="20"/>
                <w:szCs w:val="20"/>
              </w:rPr>
              <w:t>Болгария (3.6)</w:t>
            </w:r>
            <w:r w:rsidRPr="009D5B83">
              <w:rPr>
                <w:rStyle w:val="aa"/>
                <w:sz w:val="20"/>
                <w:szCs w:val="20"/>
              </w:rPr>
              <w:t xml:space="preserve"> </w:t>
            </w:r>
            <w:r w:rsidRPr="009D5B83">
              <w:rPr>
                <w:rStyle w:val="aa"/>
                <w:sz w:val="20"/>
                <w:szCs w:val="20"/>
              </w:rPr>
              <w:footnoteReference w:id="29"/>
            </w:r>
            <w:r w:rsidRPr="009D5B83">
              <w:rPr>
                <w:sz w:val="20"/>
                <w:szCs w:val="20"/>
              </w:rPr>
              <w:t xml:space="preserve"> + Хорватия (3.2)</w:t>
            </w:r>
            <w:r w:rsidRPr="009D5B83">
              <w:rPr>
                <w:rStyle w:val="aa"/>
                <w:sz w:val="20"/>
                <w:szCs w:val="20"/>
              </w:rPr>
              <w:footnoteReference w:id="30"/>
            </w:r>
          </w:p>
        </w:tc>
        <w:tc>
          <w:tcPr>
            <w:tcW w:w="2970" w:type="dxa"/>
            <w:tcBorders>
              <w:top w:val="nil"/>
              <w:left w:val="single" w:sz="4" w:space="0" w:color="auto"/>
              <w:bottom w:val="nil"/>
              <w:right w:val="single" w:sz="4" w:space="0" w:color="auto"/>
            </w:tcBorders>
          </w:tcPr>
          <w:p w14:paraId="6FA86A17" w14:textId="77777777" w:rsidR="00A05656" w:rsidRPr="009D5B83" w:rsidRDefault="00A05656" w:rsidP="00016DA9">
            <w:pPr>
              <w:contextualSpacing/>
              <w:jc w:val="center"/>
              <w:rPr>
                <w:sz w:val="20"/>
                <w:szCs w:val="20"/>
              </w:rPr>
            </w:pPr>
            <w:r w:rsidRPr="009D5B83">
              <w:rPr>
                <w:sz w:val="20"/>
                <w:szCs w:val="20"/>
              </w:rPr>
              <w:t>20.7</w:t>
            </w:r>
            <w:r w:rsidRPr="009D5B83">
              <w:rPr>
                <w:rStyle w:val="aa"/>
                <w:sz w:val="20"/>
                <w:szCs w:val="20"/>
              </w:rPr>
              <w:footnoteReference w:id="31"/>
            </w:r>
          </w:p>
        </w:tc>
      </w:tr>
      <w:tr w:rsidR="00A05656" w:rsidRPr="009D5B83" w14:paraId="47105A53" w14:textId="77777777" w:rsidTr="00016DA9">
        <w:tc>
          <w:tcPr>
            <w:tcW w:w="3114" w:type="dxa"/>
            <w:tcBorders>
              <w:top w:val="nil"/>
              <w:left w:val="single" w:sz="4" w:space="0" w:color="auto"/>
              <w:bottom w:val="nil"/>
              <w:right w:val="single" w:sz="4" w:space="0" w:color="auto"/>
            </w:tcBorders>
          </w:tcPr>
          <w:p w14:paraId="76ECB60F" w14:textId="77777777" w:rsidR="00A05656" w:rsidRPr="009D5B83" w:rsidRDefault="00A05656" w:rsidP="00016DA9">
            <w:pPr>
              <w:ind w:left="1416"/>
              <w:contextualSpacing/>
              <w:rPr>
                <w:sz w:val="20"/>
                <w:szCs w:val="20"/>
              </w:rPr>
            </w:pPr>
            <w:r w:rsidRPr="009D5B83">
              <w:rPr>
                <w:sz w:val="20"/>
                <w:szCs w:val="20"/>
              </w:rPr>
              <w:lastRenderedPageBreak/>
              <w:t>Другое</w:t>
            </w:r>
          </w:p>
        </w:tc>
        <w:tc>
          <w:tcPr>
            <w:tcW w:w="3260" w:type="dxa"/>
            <w:tcBorders>
              <w:top w:val="nil"/>
              <w:left w:val="single" w:sz="4" w:space="0" w:color="auto"/>
              <w:bottom w:val="nil"/>
              <w:right w:val="single" w:sz="4" w:space="0" w:color="auto"/>
            </w:tcBorders>
          </w:tcPr>
          <w:p w14:paraId="7211478C" w14:textId="77777777" w:rsidR="00A05656" w:rsidRPr="009D5B83" w:rsidRDefault="00A05656" w:rsidP="00016DA9">
            <w:pPr>
              <w:contextualSpacing/>
              <w:jc w:val="center"/>
              <w:rPr>
                <w:sz w:val="20"/>
                <w:szCs w:val="20"/>
              </w:rPr>
            </w:pPr>
            <w:r w:rsidRPr="009D5B83">
              <w:rPr>
                <w:sz w:val="20"/>
                <w:szCs w:val="20"/>
              </w:rPr>
              <w:t>0</w:t>
            </w:r>
          </w:p>
        </w:tc>
        <w:tc>
          <w:tcPr>
            <w:tcW w:w="2970" w:type="dxa"/>
            <w:tcBorders>
              <w:top w:val="nil"/>
              <w:left w:val="single" w:sz="4" w:space="0" w:color="auto"/>
              <w:bottom w:val="nil"/>
              <w:right w:val="single" w:sz="4" w:space="0" w:color="auto"/>
            </w:tcBorders>
          </w:tcPr>
          <w:p w14:paraId="1BF2A77E" w14:textId="77777777" w:rsidR="00A05656" w:rsidRPr="009D5B83" w:rsidRDefault="00A05656" w:rsidP="00016DA9">
            <w:pPr>
              <w:contextualSpacing/>
              <w:jc w:val="center"/>
              <w:rPr>
                <w:sz w:val="20"/>
                <w:szCs w:val="20"/>
              </w:rPr>
            </w:pPr>
            <w:r w:rsidRPr="009D5B83">
              <w:rPr>
                <w:sz w:val="20"/>
                <w:szCs w:val="20"/>
              </w:rPr>
              <w:t>10.1</w:t>
            </w:r>
          </w:p>
        </w:tc>
      </w:tr>
      <w:tr w:rsidR="00A05656" w:rsidRPr="009D5B83" w14:paraId="5917475B" w14:textId="77777777" w:rsidTr="00016DA9">
        <w:tc>
          <w:tcPr>
            <w:tcW w:w="3114" w:type="dxa"/>
            <w:tcBorders>
              <w:top w:val="nil"/>
              <w:left w:val="single" w:sz="4" w:space="0" w:color="auto"/>
              <w:bottom w:val="nil"/>
              <w:right w:val="single" w:sz="4" w:space="0" w:color="auto"/>
            </w:tcBorders>
          </w:tcPr>
          <w:p w14:paraId="5965FBEA" w14:textId="77777777" w:rsidR="00A05656" w:rsidRPr="009D5B83" w:rsidRDefault="00A05656" w:rsidP="00016DA9">
            <w:pPr>
              <w:ind w:left="708"/>
              <w:contextualSpacing/>
              <w:rPr>
                <w:sz w:val="20"/>
                <w:szCs w:val="20"/>
              </w:rPr>
            </w:pPr>
            <w:r w:rsidRPr="009D5B83">
              <w:rPr>
                <w:sz w:val="20"/>
                <w:szCs w:val="20"/>
              </w:rPr>
              <w:t>США</w:t>
            </w:r>
          </w:p>
        </w:tc>
        <w:tc>
          <w:tcPr>
            <w:tcW w:w="3260" w:type="dxa"/>
            <w:tcBorders>
              <w:top w:val="nil"/>
              <w:left w:val="single" w:sz="4" w:space="0" w:color="auto"/>
              <w:bottom w:val="nil"/>
              <w:right w:val="single" w:sz="4" w:space="0" w:color="auto"/>
            </w:tcBorders>
          </w:tcPr>
          <w:p w14:paraId="387E3113" w14:textId="77777777" w:rsidR="00A05656" w:rsidRPr="009D5B83" w:rsidRDefault="00A05656" w:rsidP="00016DA9">
            <w:pPr>
              <w:contextualSpacing/>
              <w:jc w:val="center"/>
              <w:rPr>
                <w:sz w:val="20"/>
                <w:szCs w:val="20"/>
              </w:rPr>
            </w:pPr>
            <w:r w:rsidRPr="009D5B83">
              <w:rPr>
                <w:sz w:val="20"/>
                <w:szCs w:val="20"/>
              </w:rPr>
              <w:t>0</w:t>
            </w:r>
            <w:r w:rsidRPr="009D5B83">
              <w:rPr>
                <w:rStyle w:val="aa"/>
                <w:sz w:val="20"/>
                <w:szCs w:val="20"/>
              </w:rPr>
              <w:footnoteReference w:id="32"/>
            </w:r>
          </w:p>
        </w:tc>
        <w:tc>
          <w:tcPr>
            <w:tcW w:w="2970" w:type="dxa"/>
            <w:tcBorders>
              <w:top w:val="nil"/>
              <w:left w:val="single" w:sz="4" w:space="0" w:color="auto"/>
              <w:bottom w:val="nil"/>
              <w:right w:val="single" w:sz="4" w:space="0" w:color="auto"/>
            </w:tcBorders>
          </w:tcPr>
          <w:p w14:paraId="5C2D8369" w14:textId="77777777" w:rsidR="00A05656" w:rsidRPr="009D5B83" w:rsidRDefault="00A05656" w:rsidP="00016DA9">
            <w:pPr>
              <w:contextualSpacing/>
              <w:jc w:val="center"/>
              <w:rPr>
                <w:sz w:val="20"/>
                <w:szCs w:val="20"/>
              </w:rPr>
            </w:pPr>
            <w:r w:rsidRPr="009D5B83">
              <w:rPr>
                <w:sz w:val="20"/>
                <w:szCs w:val="20"/>
              </w:rPr>
              <w:t>0</w:t>
            </w:r>
          </w:p>
        </w:tc>
      </w:tr>
      <w:tr w:rsidR="00A05656" w:rsidRPr="009D5B83" w14:paraId="0A046E32" w14:textId="77777777" w:rsidTr="00016DA9">
        <w:tc>
          <w:tcPr>
            <w:tcW w:w="3114" w:type="dxa"/>
            <w:tcBorders>
              <w:top w:val="nil"/>
              <w:left w:val="single" w:sz="4" w:space="0" w:color="auto"/>
              <w:bottom w:val="nil"/>
              <w:right w:val="single" w:sz="4" w:space="0" w:color="auto"/>
            </w:tcBorders>
          </w:tcPr>
          <w:p w14:paraId="6D1963B2" w14:textId="77777777" w:rsidR="00A05656" w:rsidRPr="009D5B83" w:rsidRDefault="00A05656" w:rsidP="00016DA9">
            <w:pPr>
              <w:ind w:left="708"/>
              <w:contextualSpacing/>
              <w:rPr>
                <w:sz w:val="20"/>
                <w:szCs w:val="20"/>
              </w:rPr>
            </w:pPr>
            <w:r w:rsidRPr="009D5B83">
              <w:rPr>
                <w:sz w:val="20"/>
                <w:szCs w:val="20"/>
              </w:rPr>
              <w:t>Китай</w:t>
            </w:r>
          </w:p>
        </w:tc>
        <w:tc>
          <w:tcPr>
            <w:tcW w:w="3260" w:type="dxa"/>
            <w:tcBorders>
              <w:top w:val="nil"/>
              <w:left w:val="single" w:sz="4" w:space="0" w:color="auto"/>
              <w:bottom w:val="nil"/>
              <w:right w:val="single" w:sz="4" w:space="0" w:color="auto"/>
            </w:tcBorders>
          </w:tcPr>
          <w:p w14:paraId="02128440" w14:textId="77777777" w:rsidR="00A05656" w:rsidRPr="009D5B83" w:rsidRDefault="00A05656" w:rsidP="00016DA9">
            <w:pPr>
              <w:contextualSpacing/>
              <w:jc w:val="center"/>
              <w:rPr>
                <w:sz w:val="20"/>
                <w:szCs w:val="20"/>
              </w:rPr>
            </w:pPr>
            <w:r w:rsidRPr="009D5B83">
              <w:rPr>
                <w:sz w:val="20"/>
                <w:szCs w:val="20"/>
              </w:rPr>
              <w:t>79.6</w:t>
            </w:r>
          </w:p>
        </w:tc>
        <w:tc>
          <w:tcPr>
            <w:tcW w:w="2970" w:type="dxa"/>
            <w:tcBorders>
              <w:top w:val="nil"/>
              <w:left w:val="single" w:sz="4" w:space="0" w:color="auto"/>
              <w:bottom w:val="nil"/>
              <w:right w:val="single" w:sz="4" w:space="0" w:color="auto"/>
            </w:tcBorders>
          </w:tcPr>
          <w:p w14:paraId="1B6843F9" w14:textId="77777777" w:rsidR="00A05656" w:rsidRPr="009D5B83" w:rsidRDefault="00A05656" w:rsidP="00016DA9">
            <w:pPr>
              <w:contextualSpacing/>
              <w:jc w:val="center"/>
              <w:rPr>
                <w:sz w:val="20"/>
                <w:szCs w:val="20"/>
              </w:rPr>
            </w:pPr>
            <w:r w:rsidRPr="009D5B83">
              <w:rPr>
                <w:sz w:val="20"/>
                <w:szCs w:val="20"/>
              </w:rPr>
              <w:t>97</w:t>
            </w:r>
            <w:r w:rsidRPr="009D5B83">
              <w:rPr>
                <w:rStyle w:val="aa"/>
                <w:sz w:val="20"/>
                <w:szCs w:val="20"/>
              </w:rPr>
              <w:footnoteReference w:id="33"/>
            </w:r>
          </w:p>
        </w:tc>
      </w:tr>
      <w:tr w:rsidR="00A05656" w:rsidRPr="009D5B83" w14:paraId="67D518E6" w14:textId="77777777" w:rsidTr="00016DA9">
        <w:tc>
          <w:tcPr>
            <w:tcW w:w="3114" w:type="dxa"/>
            <w:tcBorders>
              <w:top w:val="nil"/>
              <w:left w:val="single" w:sz="4" w:space="0" w:color="auto"/>
              <w:bottom w:val="single" w:sz="4" w:space="0" w:color="auto"/>
              <w:right w:val="single" w:sz="4" w:space="0" w:color="auto"/>
            </w:tcBorders>
          </w:tcPr>
          <w:p w14:paraId="67042A43" w14:textId="77777777" w:rsidR="00A05656" w:rsidRPr="009D5B83" w:rsidRDefault="00A05656" w:rsidP="00016DA9">
            <w:pPr>
              <w:ind w:left="708"/>
              <w:contextualSpacing/>
              <w:rPr>
                <w:sz w:val="20"/>
                <w:szCs w:val="20"/>
              </w:rPr>
            </w:pPr>
            <w:r w:rsidRPr="009D5B83">
              <w:rPr>
                <w:sz w:val="20"/>
                <w:szCs w:val="20"/>
              </w:rPr>
              <w:t>Остальные</w:t>
            </w:r>
          </w:p>
        </w:tc>
        <w:tc>
          <w:tcPr>
            <w:tcW w:w="3260" w:type="dxa"/>
            <w:tcBorders>
              <w:top w:val="nil"/>
              <w:left w:val="single" w:sz="4" w:space="0" w:color="auto"/>
              <w:bottom w:val="single" w:sz="4" w:space="0" w:color="auto"/>
              <w:right w:val="single" w:sz="4" w:space="0" w:color="auto"/>
            </w:tcBorders>
          </w:tcPr>
          <w:p w14:paraId="25D62BBA" w14:textId="77777777" w:rsidR="00A05656" w:rsidRPr="009D5B83" w:rsidRDefault="00A05656" w:rsidP="00016DA9">
            <w:pPr>
              <w:contextualSpacing/>
              <w:jc w:val="center"/>
              <w:rPr>
                <w:sz w:val="20"/>
                <w:szCs w:val="20"/>
              </w:rPr>
            </w:pPr>
            <w:r w:rsidRPr="009D5B83">
              <w:rPr>
                <w:sz w:val="20"/>
                <w:szCs w:val="20"/>
              </w:rPr>
              <w:t>35.4</w:t>
            </w:r>
          </w:p>
        </w:tc>
        <w:tc>
          <w:tcPr>
            <w:tcW w:w="2970" w:type="dxa"/>
            <w:tcBorders>
              <w:top w:val="nil"/>
              <w:left w:val="single" w:sz="4" w:space="0" w:color="auto"/>
              <w:bottom w:val="single" w:sz="4" w:space="0" w:color="auto"/>
              <w:right w:val="single" w:sz="4" w:space="0" w:color="auto"/>
            </w:tcBorders>
          </w:tcPr>
          <w:p w14:paraId="24583AD1" w14:textId="77777777" w:rsidR="00A05656" w:rsidRPr="009D5B83" w:rsidRDefault="00A05656" w:rsidP="00016DA9">
            <w:pPr>
              <w:contextualSpacing/>
              <w:jc w:val="center"/>
              <w:rPr>
                <w:sz w:val="20"/>
                <w:szCs w:val="20"/>
              </w:rPr>
            </w:pPr>
            <w:r w:rsidRPr="009D5B83">
              <w:rPr>
                <w:sz w:val="20"/>
                <w:szCs w:val="20"/>
              </w:rPr>
              <w:t>43</w:t>
            </w:r>
          </w:p>
        </w:tc>
      </w:tr>
      <w:tr w:rsidR="00A05656" w:rsidRPr="009D5B83" w14:paraId="6EAA8E09" w14:textId="77777777" w:rsidTr="00016DA9">
        <w:tc>
          <w:tcPr>
            <w:tcW w:w="3114" w:type="dxa"/>
            <w:tcBorders>
              <w:top w:val="single" w:sz="4" w:space="0" w:color="auto"/>
              <w:left w:val="single" w:sz="4" w:space="0" w:color="auto"/>
              <w:bottom w:val="nil"/>
              <w:right w:val="single" w:sz="4" w:space="0" w:color="auto"/>
            </w:tcBorders>
          </w:tcPr>
          <w:p w14:paraId="75291980" w14:textId="77777777" w:rsidR="00A05656" w:rsidRPr="009D5B83" w:rsidRDefault="00A05656" w:rsidP="00016DA9">
            <w:pPr>
              <w:contextualSpacing/>
              <w:rPr>
                <w:sz w:val="20"/>
                <w:szCs w:val="20"/>
              </w:rPr>
            </w:pPr>
            <w:r w:rsidRPr="009D5B83">
              <w:rPr>
                <w:sz w:val="20"/>
                <w:szCs w:val="20"/>
              </w:rPr>
              <w:t xml:space="preserve">Экспорт 2024 г., </w:t>
            </w:r>
            <w:proofErr w:type="gramStart"/>
            <w:r w:rsidRPr="009D5B83">
              <w:rPr>
                <w:sz w:val="20"/>
                <w:szCs w:val="20"/>
              </w:rPr>
              <w:t>млн</w:t>
            </w:r>
            <w:proofErr w:type="gramEnd"/>
            <w:r w:rsidRPr="009D5B83">
              <w:rPr>
                <w:sz w:val="20"/>
                <w:szCs w:val="20"/>
              </w:rPr>
              <w:t xml:space="preserve"> т</w:t>
            </w:r>
          </w:p>
        </w:tc>
        <w:tc>
          <w:tcPr>
            <w:tcW w:w="3260" w:type="dxa"/>
            <w:tcBorders>
              <w:top w:val="single" w:sz="4" w:space="0" w:color="auto"/>
              <w:left w:val="single" w:sz="4" w:space="0" w:color="auto"/>
              <w:bottom w:val="nil"/>
              <w:right w:val="single" w:sz="4" w:space="0" w:color="auto"/>
            </w:tcBorders>
          </w:tcPr>
          <w:p w14:paraId="44C43D8F" w14:textId="77777777" w:rsidR="00A05656" w:rsidRPr="009D5B83" w:rsidRDefault="00A05656" w:rsidP="00016DA9">
            <w:pPr>
              <w:contextualSpacing/>
              <w:jc w:val="center"/>
              <w:rPr>
                <w:sz w:val="20"/>
                <w:szCs w:val="20"/>
              </w:rPr>
            </w:pPr>
            <w:r w:rsidRPr="009D5B83">
              <w:rPr>
                <w:sz w:val="20"/>
                <w:szCs w:val="20"/>
              </w:rPr>
              <w:t>128.4</w:t>
            </w:r>
          </w:p>
        </w:tc>
        <w:tc>
          <w:tcPr>
            <w:tcW w:w="2970" w:type="dxa"/>
            <w:tcBorders>
              <w:top w:val="single" w:sz="4" w:space="0" w:color="auto"/>
              <w:left w:val="single" w:sz="4" w:space="0" w:color="auto"/>
              <w:bottom w:val="nil"/>
              <w:right w:val="single" w:sz="4" w:space="0" w:color="auto"/>
            </w:tcBorders>
          </w:tcPr>
          <w:p w14:paraId="377A6CBE" w14:textId="77777777" w:rsidR="00A05656" w:rsidRPr="009D5B83" w:rsidRDefault="00A05656" w:rsidP="00016DA9">
            <w:pPr>
              <w:contextualSpacing/>
              <w:jc w:val="center"/>
              <w:rPr>
                <w:sz w:val="20"/>
                <w:szCs w:val="20"/>
              </w:rPr>
            </w:pPr>
            <w:r w:rsidRPr="009D5B83">
              <w:rPr>
                <w:sz w:val="20"/>
                <w:szCs w:val="20"/>
              </w:rPr>
              <w:t>181</w:t>
            </w:r>
          </w:p>
        </w:tc>
      </w:tr>
      <w:tr w:rsidR="00A05656" w:rsidRPr="009D5B83" w14:paraId="408B04F5" w14:textId="77777777" w:rsidTr="00016DA9">
        <w:tc>
          <w:tcPr>
            <w:tcW w:w="3114" w:type="dxa"/>
            <w:tcBorders>
              <w:top w:val="nil"/>
              <w:left w:val="single" w:sz="4" w:space="0" w:color="auto"/>
              <w:bottom w:val="nil"/>
              <w:right w:val="single" w:sz="4" w:space="0" w:color="auto"/>
            </w:tcBorders>
          </w:tcPr>
          <w:p w14:paraId="2017E762" w14:textId="77777777" w:rsidR="00A05656" w:rsidRPr="009D5B83" w:rsidRDefault="00A05656" w:rsidP="00016DA9">
            <w:pPr>
              <w:ind w:left="708"/>
              <w:contextualSpacing/>
              <w:rPr>
                <w:sz w:val="20"/>
                <w:szCs w:val="20"/>
              </w:rPr>
            </w:pPr>
            <w:r w:rsidRPr="009D5B83">
              <w:rPr>
                <w:sz w:val="20"/>
                <w:szCs w:val="20"/>
              </w:rPr>
              <w:t>ЕС</w:t>
            </w:r>
          </w:p>
        </w:tc>
        <w:tc>
          <w:tcPr>
            <w:tcW w:w="3260" w:type="dxa"/>
            <w:tcBorders>
              <w:top w:val="nil"/>
              <w:left w:val="single" w:sz="4" w:space="0" w:color="auto"/>
              <w:bottom w:val="nil"/>
              <w:right w:val="single" w:sz="4" w:space="0" w:color="auto"/>
            </w:tcBorders>
          </w:tcPr>
          <w:p w14:paraId="501454AC" w14:textId="77777777" w:rsidR="00A05656" w:rsidRPr="009D5B83" w:rsidRDefault="00A05656" w:rsidP="00016DA9">
            <w:pPr>
              <w:contextualSpacing/>
              <w:jc w:val="center"/>
              <w:rPr>
                <w:sz w:val="20"/>
                <w:szCs w:val="20"/>
              </w:rPr>
            </w:pPr>
            <w:r w:rsidRPr="009D5B83">
              <w:rPr>
                <w:sz w:val="20"/>
                <w:szCs w:val="20"/>
              </w:rPr>
              <w:t>13.4</w:t>
            </w:r>
          </w:p>
        </w:tc>
        <w:tc>
          <w:tcPr>
            <w:tcW w:w="2970" w:type="dxa"/>
            <w:tcBorders>
              <w:top w:val="nil"/>
              <w:left w:val="single" w:sz="4" w:space="0" w:color="auto"/>
              <w:bottom w:val="nil"/>
              <w:right w:val="single" w:sz="4" w:space="0" w:color="auto"/>
            </w:tcBorders>
          </w:tcPr>
          <w:p w14:paraId="37011B8F" w14:textId="77777777" w:rsidR="00A05656" w:rsidRPr="009D5B83" w:rsidRDefault="00A05656" w:rsidP="00016DA9">
            <w:pPr>
              <w:contextualSpacing/>
              <w:jc w:val="center"/>
              <w:rPr>
                <w:sz w:val="20"/>
                <w:szCs w:val="20"/>
              </w:rPr>
            </w:pPr>
            <w:r w:rsidRPr="009D5B83">
              <w:rPr>
                <w:sz w:val="20"/>
                <w:szCs w:val="20"/>
              </w:rPr>
              <w:t>40.6</w:t>
            </w:r>
          </w:p>
        </w:tc>
      </w:tr>
      <w:tr w:rsidR="00A05656" w:rsidRPr="009D5B83" w14:paraId="4CC4F5CA" w14:textId="77777777" w:rsidTr="00016DA9">
        <w:tc>
          <w:tcPr>
            <w:tcW w:w="3114" w:type="dxa"/>
            <w:tcBorders>
              <w:top w:val="nil"/>
              <w:left w:val="single" w:sz="4" w:space="0" w:color="auto"/>
              <w:bottom w:val="nil"/>
              <w:right w:val="single" w:sz="4" w:space="0" w:color="auto"/>
            </w:tcBorders>
          </w:tcPr>
          <w:p w14:paraId="3049F3D6" w14:textId="77777777" w:rsidR="00A05656" w:rsidRPr="009D5B83" w:rsidRDefault="00A05656" w:rsidP="00016DA9">
            <w:pPr>
              <w:ind w:left="1416"/>
              <w:contextualSpacing/>
              <w:rPr>
                <w:sz w:val="20"/>
                <w:szCs w:val="20"/>
              </w:rPr>
            </w:pPr>
            <w:r w:rsidRPr="009D5B83">
              <w:rPr>
                <w:sz w:val="20"/>
                <w:szCs w:val="20"/>
              </w:rPr>
              <w:t>Трубопровод</w:t>
            </w:r>
          </w:p>
        </w:tc>
        <w:tc>
          <w:tcPr>
            <w:tcW w:w="3260" w:type="dxa"/>
            <w:tcBorders>
              <w:top w:val="nil"/>
              <w:left w:val="single" w:sz="4" w:space="0" w:color="auto"/>
              <w:bottom w:val="nil"/>
              <w:right w:val="single" w:sz="4" w:space="0" w:color="auto"/>
            </w:tcBorders>
          </w:tcPr>
          <w:p w14:paraId="201C2180" w14:textId="77777777" w:rsidR="00A05656" w:rsidRPr="009D5B83" w:rsidRDefault="00A05656" w:rsidP="00016DA9">
            <w:pPr>
              <w:contextualSpacing/>
              <w:jc w:val="center"/>
              <w:rPr>
                <w:sz w:val="20"/>
                <w:szCs w:val="20"/>
              </w:rPr>
            </w:pPr>
            <w:r w:rsidRPr="009D5B83">
              <w:rPr>
                <w:sz w:val="20"/>
                <w:szCs w:val="20"/>
              </w:rPr>
              <w:t>Венгрия (5.5) + Словакия (4.3)</w:t>
            </w:r>
          </w:p>
        </w:tc>
        <w:tc>
          <w:tcPr>
            <w:tcW w:w="2970" w:type="dxa"/>
            <w:tcBorders>
              <w:top w:val="nil"/>
              <w:left w:val="single" w:sz="4" w:space="0" w:color="auto"/>
              <w:bottom w:val="nil"/>
              <w:right w:val="single" w:sz="4" w:space="0" w:color="auto"/>
            </w:tcBorders>
          </w:tcPr>
          <w:p w14:paraId="723DED49" w14:textId="77777777" w:rsidR="00A05656" w:rsidRPr="009D5B83" w:rsidRDefault="00A05656" w:rsidP="00016DA9">
            <w:pPr>
              <w:contextualSpacing/>
              <w:jc w:val="center"/>
              <w:rPr>
                <w:sz w:val="20"/>
                <w:szCs w:val="20"/>
              </w:rPr>
            </w:pPr>
            <w:r w:rsidRPr="009D5B83">
              <w:rPr>
                <w:sz w:val="20"/>
                <w:szCs w:val="20"/>
              </w:rPr>
              <w:t>Венгрия (5.5) + Словакия (4.3)</w:t>
            </w:r>
          </w:p>
        </w:tc>
      </w:tr>
      <w:tr w:rsidR="00A05656" w:rsidRPr="009D5B83" w14:paraId="1FE735C9" w14:textId="77777777" w:rsidTr="00016DA9">
        <w:tc>
          <w:tcPr>
            <w:tcW w:w="3114" w:type="dxa"/>
            <w:tcBorders>
              <w:top w:val="nil"/>
              <w:left w:val="single" w:sz="4" w:space="0" w:color="auto"/>
              <w:bottom w:val="nil"/>
              <w:right w:val="single" w:sz="4" w:space="0" w:color="auto"/>
            </w:tcBorders>
          </w:tcPr>
          <w:p w14:paraId="3B16325B" w14:textId="77777777" w:rsidR="00A05656" w:rsidRPr="009D5B83" w:rsidRDefault="00A05656" w:rsidP="00016DA9">
            <w:pPr>
              <w:ind w:left="1416"/>
              <w:contextualSpacing/>
              <w:rPr>
                <w:sz w:val="20"/>
                <w:szCs w:val="20"/>
              </w:rPr>
            </w:pPr>
            <w:r w:rsidRPr="009D5B83">
              <w:rPr>
                <w:sz w:val="20"/>
                <w:szCs w:val="20"/>
              </w:rPr>
              <w:t>Танкеры</w:t>
            </w:r>
          </w:p>
        </w:tc>
        <w:tc>
          <w:tcPr>
            <w:tcW w:w="3260" w:type="dxa"/>
            <w:tcBorders>
              <w:top w:val="nil"/>
              <w:left w:val="single" w:sz="4" w:space="0" w:color="auto"/>
              <w:bottom w:val="nil"/>
              <w:right w:val="single" w:sz="4" w:space="0" w:color="auto"/>
            </w:tcBorders>
          </w:tcPr>
          <w:p w14:paraId="5D969D15" w14:textId="77777777" w:rsidR="00A05656" w:rsidRPr="009D5B83" w:rsidRDefault="00A05656" w:rsidP="00016DA9">
            <w:pPr>
              <w:contextualSpacing/>
              <w:jc w:val="center"/>
              <w:rPr>
                <w:sz w:val="20"/>
                <w:szCs w:val="20"/>
              </w:rPr>
            </w:pPr>
            <w:r w:rsidRPr="009D5B83">
              <w:rPr>
                <w:sz w:val="20"/>
                <w:szCs w:val="20"/>
              </w:rPr>
              <w:t>Болгария (3.6)</w:t>
            </w:r>
          </w:p>
        </w:tc>
        <w:tc>
          <w:tcPr>
            <w:tcW w:w="2970" w:type="dxa"/>
            <w:tcBorders>
              <w:top w:val="nil"/>
              <w:left w:val="single" w:sz="4" w:space="0" w:color="auto"/>
              <w:bottom w:val="nil"/>
              <w:right w:val="single" w:sz="4" w:space="0" w:color="auto"/>
            </w:tcBorders>
          </w:tcPr>
          <w:p w14:paraId="7615082A" w14:textId="77777777" w:rsidR="00A05656" w:rsidRPr="009D5B83" w:rsidRDefault="00A05656" w:rsidP="00016DA9">
            <w:pPr>
              <w:contextualSpacing/>
              <w:jc w:val="center"/>
              <w:rPr>
                <w:sz w:val="20"/>
                <w:szCs w:val="20"/>
              </w:rPr>
            </w:pPr>
            <w:r w:rsidRPr="009D5B83">
              <w:rPr>
                <w:sz w:val="20"/>
                <w:szCs w:val="20"/>
              </w:rPr>
              <w:t>20.7</w:t>
            </w:r>
          </w:p>
        </w:tc>
      </w:tr>
      <w:tr w:rsidR="00A05656" w:rsidRPr="009D5B83" w14:paraId="3F9C80E1" w14:textId="77777777" w:rsidTr="00016DA9">
        <w:tc>
          <w:tcPr>
            <w:tcW w:w="3114" w:type="dxa"/>
            <w:tcBorders>
              <w:top w:val="nil"/>
              <w:left w:val="single" w:sz="4" w:space="0" w:color="auto"/>
              <w:bottom w:val="nil"/>
              <w:right w:val="single" w:sz="4" w:space="0" w:color="auto"/>
            </w:tcBorders>
          </w:tcPr>
          <w:p w14:paraId="040723AF" w14:textId="77777777" w:rsidR="00A05656" w:rsidRPr="009D5B83" w:rsidRDefault="00A05656" w:rsidP="00016DA9">
            <w:pPr>
              <w:ind w:left="1416"/>
              <w:contextualSpacing/>
              <w:rPr>
                <w:sz w:val="20"/>
                <w:szCs w:val="20"/>
              </w:rPr>
            </w:pPr>
            <w:r w:rsidRPr="009D5B83">
              <w:rPr>
                <w:sz w:val="20"/>
                <w:szCs w:val="20"/>
              </w:rPr>
              <w:t>Другое</w:t>
            </w:r>
          </w:p>
        </w:tc>
        <w:tc>
          <w:tcPr>
            <w:tcW w:w="3260" w:type="dxa"/>
            <w:tcBorders>
              <w:top w:val="nil"/>
              <w:left w:val="single" w:sz="4" w:space="0" w:color="auto"/>
              <w:bottom w:val="nil"/>
              <w:right w:val="single" w:sz="4" w:space="0" w:color="auto"/>
            </w:tcBorders>
          </w:tcPr>
          <w:p w14:paraId="20F0A4E0" w14:textId="77777777" w:rsidR="00A05656" w:rsidRPr="009D5B83" w:rsidRDefault="00A05656" w:rsidP="00016DA9">
            <w:pPr>
              <w:contextualSpacing/>
              <w:jc w:val="center"/>
              <w:rPr>
                <w:sz w:val="20"/>
                <w:szCs w:val="20"/>
              </w:rPr>
            </w:pPr>
            <w:r w:rsidRPr="009D5B83">
              <w:rPr>
                <w:sz w:val="20"/>
                <w:szCs w:val="20"/>
              </w:rPr>
              <w:t>0</w:t>
            </w:r>
          </w:p>
        </w:tc>
        <w:tc>
          <w:tcPr>
            <w:tcW w:w="2970" w:type="dxa"/>
            <w:tcBorders>
              <w:top w:val="nil"/>
              <w:left w:val="single" w:sz="4" w:space="0" w:color="auto"/>
              <w:bottom w:val="nil"/>
              <w:right w:val="single" w:sz="4" w:space="0" w:color="auto"/>
            </w:tcBorders>
          </w:tcPr>
          <w:p w14:paraId="4AF1F6F9" w14:textId="77777777" w:rsidR="00A05656" w:rsidRPr="009D5B83" w:rsidRDefault="00A05656" w:rsidP="00016DA9">
            <w:pPr>
              <w:contextualSpacing/>
              <w:jc w:val="center"/>
              <w:rPr>
                <w:sz w:val="20"/>
                <w:szCs w:val="20"/>
              </w:rPr>
            </w:pPr>
            <w:r w:rsidRPr="009D5B83">
              <w:rPr>
                <w:sz w:val="20"/>
                <w:szCs w:val="20"/>
              </w:rPr>
              <w:t>10.1</w:t>
            </w:r>
          </w:p>
        </w:tc>
      </w:tr>
      <w:tr w:rsidR="00A05656" w:rsidRPr="009D5B83" w14:paraId="49489EF5" w14:textId="77777777" w:rsidTr="00016DA9">
        <w:tc>
          <w:tcPr>
            <w:tcW w:w="3114" w:type="dxa"/>
            <w:tcBorders>
              <w:top w:val="nil"/>
              <w:left w:val="single" w:sz="4" w:space="0" w:color="auto"/>
              <w:bottom w:val="nil"/>
              <w:right w:val="single" w:sz="4" w:space="0" w:color="auto"/>
            </w:tcBorders>
          </w:tcPr>
          <w:p w14:paraId="72090A15" w14:textId="77777777" w:rsidR="00A05656" w:rsidRPr="009D5B83" w:rsidRDefault="00A05656" w:rsidP="00016DA9">
            <w:pPr>
              <w:ind w:left="708"/>
              <w:contextualSpacing/>
              <w:rPr>
                <w:sz w:val="20"/>
                <w:szCs w:val="20"/>
              </w:rPr>
            </w:pPr>
            <w:r w:rsidRPr="009D5B83">
              <w:rPr>
                <w:sz w:val="20"/>
                <w:szCs w:val="20"/>
              </w:rPr>
              <w:t>США</w:t>
            </w:r>
          </w:p>
        </w:tc>
        <w:tc>
          <w:tcPr>
            <w:tcW w:w="3260" w:type="dxa"/>
            <w:tcBorders>
              <w:top w:val="nil"/>
              <w:left w:val="single" w:sz="4" w:space="0" w:color="auto"/>
              <w:bottom w:val="nil"/>
              <w:right w:val="single" w:sz="4" w:space="0" w:color="auto"/>
            </w:tcBorders>
          </w:tcPr>
          <w:p w14:paraId="5FD4B95E" w14:textId="77777777" w:rsidR="00A05656" w:rsidRPr="009D5B83" w:rsidRDefault="00A05656" w:rsidP="00016DA9">
            <w:pPr>
              <w:contextualSpacing/>
              <w:jc w:val="center"/>
              <w:rPr>
                <w:sz w:val="20"/>
                <w:szCs w:val="20"/>
                <w:lang w:val="en-US"/>
              </w:rPr>
            </w:pPr>
            <w:r w:rsidRPr="009D5B83">
              <w:rPr>
                <w:sz w:val="20"/>
                <w:szCs w:val="20"/>
                <w:lang w:val="en-US"/>
              </w:rPr>
              <w:t>0</w:t>
            </w:r>
          </w:p>
        </w:tc>
        <w:tc>
          <w:tcPr>
            <w:tcW w:w="2970" w:type="dxa"/>
            <w:tcBorders>
              <w:top w:val="nil"/>
              <w:left w:val="single" w:sz="4" w:space="0" w:color="auto"/>
              <w:bottom w:val="nil"/>
              <w:right w:val="single" w:sz="4" w:space="0" w:color="auto"/>
            </w:tcBorders>
          </w:tcPr>
          <w:p w14:paraId="7ED84128" w14:textId="77777777" w:rsidR="00A05656" w:rsidRPr="009D5B83" w:rsidRDefault="00A05656" w:rsidP="00016DA9">
            <w:pPr>
              <w:contextualSpacing/>
              <w:jc w:val="center"/>
              <w:rPr>
                <w:sz w:val="20"/>
                <w:szCs w:val="20"/>
              </w:rPr>
            </w:pPr>
            <w:r w:rsidRPr="009D5B83">
              <w:rPr>
                <w:sz w:val="20"/>
                <w:szCs w:val="20"/>
              </w:rPr>
              <w:t>0</w:t>
            </w:r>
          </w:p>
        </w:tc>
      </w:tr>
      <w:tr w:rsidR="00A05656" w:rsidRPr="009D5B83" w14:paraId="4460FB75" w14:textId="77777777" w:rsidTr="00016DA9">
        <w:tc>
          <w:tcPr>
            <w:tcW w:w="3114" w:type="dxa"/>
            <w:tcBorders>
              <w:top w:val="nil"/>
              <w:left w:val="single" w:sz="4" w:space="0" w:color="auto"/>
              <w:bottom w:val="nil"/>
              <w:right w:val="single" w:sz="4" w:space="0" w:color="auto"/>
            </w:tcBorders>
          </w:tcPr>
          <w:p w14:paraId="0206E790" w14:textId="77777777" w:rsidR="00A05656" w:rsidRPr="009D5B83" w:rsidRDefault="00A05656" w:rsidP="00016DA9">
            <w:pPr>
              <w:ind w:left="708"/>
              <w:contextualSpacing/>
              <w:rPr>
                <w:sz w:val="20"/>
                <w:szCs w:val="20"/>
              </w:rPr>
            </w:pPr>
            <w:r w:rsidRPr="009D5B83">
              <w:rPr>
                <w:sz w:val="20"/>
                <w:szCs w:val="20"/>
              </w:rPr>
              <w:t>Китай</w:t>
            </w:r>
          </w:p>
        </w:tc>
        <w:tc>
          <w:tcPr>
            <w:tcW w:w="3260" w:type="dxa"/>
            <w:tcBorders>
              <w:top w:val="nil"/>
              <w:left w:val="single" w:sz="4" w:space="0" w:color="auto"/>
              <w:bottom w:val="nil"/>
              <w:right w:val="single" w:sz="4" w:space="0" w:color="auto"/>
            </w:tcBorders>
          </w:tcPr>
          <w:p w14:paraId="5DEE2886" w14:textId="77777777" w:rsidR="00A05656" w:rsidRPr="009D5B83" w:rsidRDefault="00A05656" w:rsidP="00016DA9">
            <w:pPr>
              <w:contextualSpacing/>
              <w:jc w:val="center"/>
              <w:rPr>
                <w:sz w:val="20"/>
                <w:szCs w:val="20"/>
              </w:rPr>
            </w:pPr>
            <w:r w:rsidRPr="009D5B83">
              <w:rPr>
                <w:sz w:val="20"/>
                <w:szCs w:val="20"/>
              </w:rPr>
              <w:t>79.6</w:t>
            </w:r>
          </w:p>
        </w:tc>
        <w:tc>
          <w:tcPr>
            <w:tcW w:w="2970" w:type="dxa"/>
            <w:tcBorders>
              <w:top w:val="nil"/>
              <w:left w:val="single" w:sz="4" w:space="0" w:color="auto"/>
              <w:bottom w:val="nil"/>
              <w:right w:val="single" w:sz="4" w:space="0" w:color="auto"/>
            </w:tcBorders>
          </w:tcPr>
          <w:p w14:paraId="149572C7" w14:textId="77777777" w:rsidR="00A05656" w:rsidRPr="009D5B83" w:rsidRDefault="00A05656" w:rsidP="00016DA9">
            <w:pPr>
              <w:contextualSpacing/>
              <w:jc w:val="center"/>
              <w:rPr>
                <w:sz w:val="20"/>
                <w:szCs w:val="20"/>
              </w:rPr>
            </w:pPr>
            <w:r w:rsidRPr="009D5B83">
              <w:rPr>
                <w:sz w:val="20"/>
                <w:szCs w:val="20"/>
              </w:rPr>
              <w:t>97</w:t>
            </w:r>
          </w:p>
        </w:tc>
      </w:tr>
      <w:tr w:rsidR="00A05656" w:rsidRPr="009D5B83" w14:paraId="51138F18" w14:textId="77777777" w:rsidTr="00016DA9">
        <w:tc>
          <w:tcPr>
            <w:tcW w:w="3114" w:type="dxa"/>
            <w:tcBorders>
              <w:top w:val="nil"/>
              <w:bottom w:val="single" w:sz="4" w:space="0" w:color="auto"/>
            </w:tcBorders>
          </w:tcPr>
          <w:p w14:paraId="579B9610" w14:textId="77777777" w:rsidR="00A05656" w:rsidRPr="009D5B83" w:rsidRDefault="00A05656" w:rsidP="00016DA9">
            <w:pPr>
              <w:ind w:left="708"/>
              <w:contextualSpacing/>
              <w:rPr>
                <w:sz w:val="20"/>
                <w:szCs w:val="20"/>
              </w:rPr>
            </w:pPr>
            <w:r w:rsidRPr="009D5B83">
              <w:rPr>
                <w:sz w:val="20"/>
                <w:szCs w:val="20"/>
              </w:rPr>
              <w:t>Остальные</w:t>
            </w:r>
          </w:p>
        </w:tc>
        <w:tc>
          <w:tcPr>
            <w:tcW w:w="3260" w:type="dxa"/>
            <w:tcBorders>
              <w:top w:val="nil"/>
              <w:bottom w:val="single" w:sz="4" w:space="0" w:color="auto"/>
            </w:tcBorders>
          </w:tcPr>
          <w:p w14:paraId="06D8C67F" w14:textId="77777777" w:rsidR="00A05656" w:rsidRPr="009D5B83" w:rsidRDefault="00A05656" w:rsidP="00016DA9">
            <w:pPr>
              <w:contextualSpacing/>
              <w:jc w:val="center"/>
              <w:rPr>
                <w:sz w:val="20"/>
                <w:szCs w:val="20"/>
              </w:rPr>
            </w:pPr>
            <w:r w:rsidRPr="009D5B83">
              <w:rPr>
                <w:sz w:val="20"/>
                <w:szCs w:val="20"/>
              </w:rPr>
              <w:t>35.4</w:t>
            </w:r>
          </w:p>
        </w:tc>
        <w:tc>
          <w:tcPr>
            <w:tcW w:w="2970" w:type="dxa"/>
            <w:tcBorders>
              <w:top w:val="nil"/>
              <w:bottom w:val="single" w:sz="4" w:space="0" w:color="auto"/>
            </w:tcBorders>
          </w:tcPr>
          <w:p w14:paraId="4543B214" w14:textId="77777777" w:rsidR="00A05656" w:rsidRPr="009D5B83" w:rsidRDefault="00A05656" w:rsidP="00016DA9">
            <w:pPr>
              <w:contextualSpacing/>
              <w:jc w:val="center"/>
              <w:rPr>
                <w:sz w:val="20"/>
                <w:szCs w:val="20"/>
              </w:rPr>
            </w:pPr>
            <w:r w:rsidRPr="009D5B83">
              <w:rPr>
                <w:sz w:val="20"/>
                <w:szCs w:val="20"/>
              </w:rPr>
              <w:t>43</w:t>
            </w:r>
          </w:p>
        </w:tc>
      </w:tr>
      <w:tr w:rsidR="00A05656" w:rsidRPr="009D5B83" w14:paraId="486BAFA7" w14:textId="77777777" w:rsidTr="00016DA9">
        <w:tc>
          <w:tcPr>
            <w:tcW w:w="3114" w:type="dxa"/>
            <w:tcBorders>
              <w:bottom w:val="nil"/>
            </w:tcBorders>
          </w:tcPr>
          <w:p w14:paraId="76655FC9" w14:textId="77777777" w:rsidR="00A05656" w:rsidRPr="009D5B83" w:rsidRDefault="00A05656" w:rsidP="00016DA9">
            <w:pPr>
              <w:contextualSpacing/>
              <w:rPr>
                <w:sz w:val="20"/>
                <w:szCs w:val="20"/>
              </w:rPr>
            </w:pPr>
            <w:r w:rsidRPr="009D5B83">
              <w:rPr>
                <w:sz w:val="20"/>
                <w:szCs w:val="20"/>
              </w:rPr>
              <w:t xml:space="preserve">Экспорт 2025 г., </w:t>
            </w:r>
            <w:proofErr w:type="gramStart"/>
            <w:r w:rsidRPr="009D5B83">
              <w:rPr>
                <w:sz w:val="20"/>
                <w:szCs w:val="20"/>
              </w:rPr>
              <w:t>млн</w:t>
            </w:r>
            <w:proofErr w:type="gramEnd"/>
            <w:r w:rsidRPr="009D5B83">
              <w:rPr>
                <w:sz w:val="20"/>
                <w:szCs w:val="20"/>
              </w:rPr>
              <w:t xml:space="preserve"> т</w:t>
            </w:r>
          </w:p>
        </w:tc>
        <w:tc>
          <w:tcPr>
            <w:tcW w:w="3260" w:type="dxa"/>
            <w:tcBorders>
              <w:bottom w:val="nil"/>
            </w:tcBorders>
          </w:tcPr>
          <w:p w14:paraId="2A189A95" w14:textId="77777777" w:rsidR="00A05656" w:rsidRPr="009D5B83" w:rsidRDefault="00A05656" w:rsidP="00016DA9">
            <w:pPr>
              <w:contextualSpacing/>
              <w:jc w:val="center"/>
              <w:rPr>
                <w:sz w:val="20"/>
                <w:szCs w:val="20"/>
                <w:lang w:val="en-US"/>
              </w:rPr>
            </w:pPr>
            <w:r w:rsidRPr="009D5B83">
              <w:rPr>
                <w:sz w:val="20"/>
                <w:szCs w:val="20"/>
              </w:rPr>
              <w:t>124</w:t>
            </w:r>
            <w:r w:rsidRPr="009D5B83">
              <w:rPr>
                <w:sz w:val="20"/>
                <w:szCs w:val="20"/>
                <w:lang w:val="en-US"/>
              </w:rPr>
              <w:t>.1</w:t>
            </w:r>
          </w:p>
        </w:tc>
        <w:tc>
          <w:tcPr>
            <w:tcW w:w="2970" w:type="dxa"/>
            <w:tcBorders>
              <w:bottom w:val="nil"/>
            </w:tcBorders>
          </w:tcPr>
          <w:p w14:paraId="0CEF03A6" w14:textId="77777777" w:rsidR="00A05656" w:rsidRPr="009D5B83" w:rsidRDefault="00A05656" w:rsidP="00016DA9">
            <w:pPr>
              <w:contextualSpacing/>
              <w:jc w:val="center"/>
              <w:rPr>
                <w:sz w:val="20"/>
                <w:szCs w:val="20"/>
              </w:rPr>
            </w:pPr>
            <w:r w:rsidRPr="009D5B83">
              <w:rPr>
                <w:sz w:val="20"/>
                <w:szCs w:val="20"/>
              </w:rPr>
              <w:t>181</w:t>
            </w:r>
          </w:p>
        </w:tc>
      </w:tr>
      <w:tr w:rsidR="00A05656" w:rsidRPr="009D5B83" w14:paraId="3DC7E2F7" w14:textId="77777777" w:rsidTr="00016DA9">
        <w:tc>
          <w:tcPr>
            <w:tcW w:w="3114" w:type="dxa"/>
            <w:tcBorders>
              <w:top w:val="nil"/>
              <w:left w:val="single" w:sz="4" w:space="0" w:color="auto"/>
              <w:bottom w:val="nil"/>
              <w:right w:val="single" w:sz="4" w:space="0" w:color="auto"/>
            </w:tcBorders>
          </w:tcPr>
          <w:p w14:paraId="663E63EB" w14:textId="77777777" w:rsidR="00A05656" w:rsidRPr="009D5B83" w:rsidRDefault="00A05656" w:rsidP="00016DA9">
            <w:pPr>
              <w:ind w:left="708"/>
              <w:contextualSpacing/>
              <w:rPr>
                <w:sz w:val="20"/>
                <w:szCs w:val="20"/>
              </w:rPr>
            </w:pPr>
            <w:r w:rsidRPr="009D5B83">
              <w:rPr>
                <w:sz w:val="20"/>
                <w:szCs w:val="20"/>
              </w:rPr>
              <w:t>ЕС</w:t>
            </w:r>
          </w:p>
        </w:tc>
        <w:tc>
          <w:tcPr>
            <w:tcW w:w="3260" w:type="dxa"/>
            <w:tcBorders>
              <w:top w:val="nil"/>
              <w:left w:val="single" w:sz="4" w:space="0" w:color="auto"/>
              <w:bottom w:val="nil"/>
              <w:right w:val="single" w:sz="4" w:space="0" w:color="auto"/>
            </w:tcBorders>
          </w:tcPr>
          <w:p w14:paraId="028C2ECD" w14:textId="77777777" w:rsidR="00A05656" w:rsidRPr="009D5B83" w:rsidRDefault="00A05656" w:rsidP="00016DA9">
            <w:pPr>
              <w:contextualSpacing/>
              <w:jc w:val="center"/>
              <w:rPr>
                <w:sz w:val="20"/>
                <w:szCs w:val="20"/>
              </w:rPr>
            </w:pPr>
            <w:r w:rsidRPr="009D5B83">
              <w:rPr>
                <w:sz w:val="20"/>
                <w:szCs w:val="20"/>
              </w:rPr>
              <w:t>9.8</w:t>
            </w:r>
          </w:p>
        </w:tc>
        <w:tc>
          <w:tcPr>
            <w:tcW w:w="2970" w:type="dxa"/>
            <w:tcBorders>
              <w:top w:val="nil"/>
              <w:left w:val="single" w:sz="4" w:space="0" w:color="auto"/>
              <w:bottom w:val="nil"/>
              <w:right w:val="single" w:sz="4" w:space="0" w:color="auto"/>
            </w:tcBorders>
          </w:tcPr>
          <w:p w14:paraId="56EC2EAF" w14:textId="77777777" w:rsidR="00A05656" w:rsidRPr="009D5B83" w:rsidRDefault="00A05656" w:rsidP="00016DA9">
            <w:pPr>
              <w:contextualSpacing/>
              <w:jc w:val="center"/>
              <w:rPr>
                <w:sz w:val="20"/>
                <w:szCs w:val="20"/>
              </w:rPr>
            </w:pPr>
            <w:r w:rsidRPr="009D5B83">
              <w:rPr>
                <w:sz w:val="20"/>
                <w:szCs w:val="20"/>
              </w:rPr>
              <w:t>40.6</w:t>
            </w:r>
          </w:p>
        </w:tc>
      </w:tr>
      <w:tr w:rsidR="00A05656" w:rsidRPr="009D5B83" w14:paraId="0D7C7351" w14:textId="77777777" w:rsidTr="00016DA9">
        <w:tc>
          <w:tcPr>
            <w:tcW w:w="3114" w:type="dxa"/>
            <w:tcBorders>
              <w:top w:val="nil"/>
              <w:left w:val="single" w:sz="4" w:space="0" w:color="auto"/>
              <w:bottom w:val="nil"/>
              <w:right w:val="single" w:sz="4" w:space="0" w:color="auto"/>
            </w:tcBorders>
          </w:tcPr>
          <w:p w14:paraId="385B0415" w14:textId="77777777" w:rsidR="00A05656" w:rsidRPr="009D5B83" w:rsidRDefault="00A05656" w:rsidP="00016DA9">
            <w:pPr>
              <w:ind w:left="1416"/>
              <w:contextualSpacing/>
              <w:rPr>
                <w:sz w:val="20"/>
                <w:szCs w:val="20"/>
              </w:rPr>
            </w:pPr>
            <w:r w:rsidRPr="009D5B83">
              <w:rPr>
                <w:sz w:val="20"/>
                <w:szCs w:val="20"/>
              </w:rPr>
              <w:t>Трубопровод</w:t>
            </w:r>
          </w:p>
        </w:tc>
        <w:tc>
          <w:tcPr>
            <w:tcW w:w="3260" w:type="dxa"/>
            <w:tcBorders>
              <w:top w:val="nil"/>
              <w:left w:val="single" w:sz="4" w:space="0" w:color="auto"/>
              <w:bottom w:val="nil"/>
              <w:right w:val="single" w:sz="4" w:space="0" w:color="auto"/>
            </w:tcBorders>
          </w:tcPr>
          <w:p w14:paraId="16B8781E" w14:textId="77777777" w:rsidR="00A05656" w:rsidRPr="009D5B83" w:rsidRDefault="00A05656" w:rsidP="00016DA9">
            <w:pPr>
              <w:contextualSpacing/>
              <w:jc w:val="center"/>
              <w:rPr>
                <w:sz w:val="20"/>
                <w:szCs w:val="20"/>
              </w:rPr>
            </w:pPr>
            <w:r w:rsidRPr="009D5B83">
              <w:rPr>
                <w:sz w:val="20"/>
                <w:szCs w:val="20"/>
              </w:rPr>
              <w:t>Венгрия (5.5) + Словакия (4.3)</w:t>
            </w:r>
          </w:p>
        </w:tc>
        <w:tc>
          <w:tcPr>
            <w:tcW w:w="2970" w:type="dxa"/>
            <w:tcBorders>
              <w:top w:val="nil"/>
              <w:left w:val="single" w:sz="4" w:space="0" w:color="auto"/>
              <w:bottom w:val="nil"/>
              <w:right w:val="single" w:sz="4" w:space="0" w:color="auto"/>
            </w:tcBorders>
          </w:tcPr>
          <w:p w14:paraId="3DE4CC3F" w14:textId="77777777" w:rsidR="00A05656" w:rsidRPr="009D5B83" w:rsidRDefault="00A05656" w:rsidP="00016DA9">
            <w:pPr>
              <w:contextualSpacing/>
              <w:jc w:val="center"/>
              <w:rPr>
                <w:sz w:val="20"/>
                <w:szCs w:val="20"/>
              </w:rPr>
            </w:pPr>
            <w:r w:rsidRPr="009D5B83">
              <w:rPr>
                <w:sz w:val="20"/>
                <w:szCs w:val="20"/>
              </w:rPr>
              <w:t>Венгрия (5.5) + Словакия (4.3)</w:t>
            </w:r>
          </w:p>
        </w:tc>
      </w:tr>
      <w:tr w:rsidR="00A05656" w:rsidRPr="009D5B83" w14:paraId="2E09386A" w14:textId="77777777" w:rsidTr="00016DA9">
        <w:tc>
          <w:tcPr>
            <w:tcW w:w="3114" w:type="dxa"/>
            <w:tcBorders>
              <w:top w:val="nil"/>
              <w:left w:val="single" w:sz="4" w:space="0" w:color="auto"/>
              <w:bottom w:val="nil"/>
              <w:right w:val="single" w:sz="4" w:space="0" w:color="auto"/>
            </w:tcBorders>
          </w:tcPr>
          <w:p w14:paraId="7A60A983" w14:textId="77777777" w:rsidR="00A05656" w:rsidRPr="009D5B83" w:rsidRDefault="00A05656" w:rsidP="00016DA9">
            <w:pPr>
              <w:ind w:left="1416"/>
              <w:contextualSpacing/>
              <w:rPr>
                <w:sz w:val="20"/>
                <w:szCs w:val="20"/>
              </w:rPr>
            </w:pPr>
            <w:r w:rsidRPr="009D5B83">
              <w:rPr>
                <w:sz w:val="20"/>
                <w:szCs w:val="20"/>
              </w:rPr>
              <w:t>Танкеры</w:t>
            </w:r>
          </w:p>
        </w:tc>
        <w:tc>
          <w:tcPr>
            <w:tcW w:w="3260" w:type="dxa"/>
            <w:tcBorders>
              <w:top w:val="nil"/>
              <w:left w:val="single" w:sz="4" w:space="0" w:color="auto"/>
              <w:bottom w:val="nil"/>
              <w:right w:val="single" w:sz="4" w:space="0" w:color="auto"/>
            </w:tcBorders>
          </w:tcPr>
          <w:p w14:paraId="6954048B" w14:textId="77777777" w:rsidR="00A05656" w:rsidRPr="009D5B83" w:rsidRDefault="00A05656" w:rsidP="00016DA9">
            <w:pPr>
              <w:contextualSpacing/>
              <w:jc w:val="center"/>
              <w:rPr>
                <w:sz w:val="20"/>
                <w:szCs w:val="20"/>
              </w:rPr>
            </w:pPr>
            <w:r w:rsidRPr="009D5B83">
              <w:rPr>
                <w:sz w:val="20"/>
                <w:szCs w:val="20"/>
              </w:rPr>
              <w:t>0</w:t>
            </w:r>
          </w:p>
        </w:tc>
        <w:tc>
          <w:tcPr>
            <w:tcW w:w="2970" w:type="dxa"/>
            <w:tcBorders>
              <w:top w:val="nil"/>
              <w:left w:val="single" w:sz="4" w:space="0" w:color="auto"/>
              <w:bottom w:val="nil"/>
              <w:right w:val="single" w:sz="4" w:space="0" w:color="auto"/>
            </w:tcBorders>
          </w:tcPr>
          <w:p w14:paraId="573F2F5F" w14:textId="77777777" w:rsidR="00A05656" w:rsidRPr="009D5B83" w:rsidRDefault="00A05656" w:rsidP="00016DA9">
            <w:pPr>
              <w:contextualSpacing/>
              <w:jc w:val="center"/>
              <w:rPr>
                <w:sz w:val="20"/>
                <w:szCs w:val="20"/>
              </w:rPr>
            </w:pPr>
            <w:r w:rsidRPr="009D5B83">
              <w:rPr>
                <w:sz w:val="20"/>
                <w:szCs w:val="20"/>
              </w:rPr>
              <w:t>20.7</w:t>
            </w:r>
          </w:p>
        </w:tc>
      </w:tr>
      <w:tr w:rsidR="00A05656" w:rsidRPr="009D5B83" w14:paraId="61FB606A" w14:textId="77777777" w:rsidTr="00016DA9">
        <w:tc>
          <w:tcPr>
            <w:tcW w:w="3114" w:type="dxa"/>
            <w:tcBorders>
              <w:top w:val="nil"/>
              <w:left w:val="single" w:sz="4" w:space="0" w:color="auto"/>
              <w:bottom w:val="nil"/>
              <w:right w:val="single" w:sz="4" w:space="0" w:color="auto"/>
            </w:tcBorders>
          </w:tcPr>
          <w:p w14:paraId="32C5F960" w14:textId="77777777" w:rsidR="00A05656" w:rsidRPr="009D5B83" w:rsidRDefault="00A05656" w:rsidP="00016DA9">
            <w:pPr>
              <w:ind w:left="1416"/>
              <w:contextualSpacing/>
              <w:rPr>
                <w:sz w:val="20"/>
                <w:szCs w:val="20"/>
              </w:rPr>
            </w:pPr>
            <w:r w:rsidRPr="009D5B83">
              <w:rPr>
                <w:sz w:val="20"/>
                <w:szCs w:val="20"/>
              </w:rPr>
              <w:t>Другое</w:t>
            </w:r>
          </w:p>
        </w:tc>
        <w:tc>
          <w:tcPr>
            <w:tcW w:w="3260" w:type="dxa"/>
            <w:tcBorders>
              <w:top w:val="nil"/>
              <w:left w:val="single" w:sz="4" w:space="0" w:color="auto"/>
              <w:bottom w:val="nil"/>
              <w:right w:val="single" w:sz="4" w:space="0" w:color="auto"/>
            </w:tcBorders>
          </w:tcPr>
          <w:p w14:paraId="6FFC9A8F" w14:textId="77777777" w:rsidR="00A05656" w:rsidRPr="009D5B83" w:rsidRDefault="00A05656" w:rsidP="00016DA9">
            <w:pPr>
              <w:contextualSpacing/>
              <w:jc w:val="center"/>
              <w:rPr>
                <w:sz w:val="20"/>
                <w:szCs w:val="20"/>
              </w:rPr>
            </w:pPr>
            <w:r w:rsidRPr="009D5B83">
              <w:rPr>
                <w:sz w:val="20"/>
                <w:szCs w:val="20"/>
              </w:rPr>
              <w:t>0</w:t>
            </w:r>
          </w:p>
        </w:tc>
        <w:tc>
          <w:tcPr>
            <w:tcW w:w="2970" w:type="dxa"/>
            <w:tcBorders>
              <w:top w:val="nil"/>
              <w:left w:val="single" w:sz="4" w:space="0" w:color="auto"/>
              <w:bottom w:val="nil"/>
              <w:right w:val="single" w:sz="4" w:space="0" w:color="auto"/>
            </w:tcBorders>
          </w:tcPr>
          <w:p w14:paraId="48C2531D" w14:textId="77777777" w:rsidR="00A05656" w:rsidRPr="009D5B83" w:rsidRDefault="00A05656" w:rsidP="00016DA9">
            <w:pPr>
              <w:contextualSpacing/>
              <w:jc w:val="center"/>
              <w:rPr>
                <w:sz w:val="20"/>
                <w:szCs w:val="20"/>
              </w:rPr>
            </w:pPr>
            <w:r w:rsidRPr="009D5B83">
              <w:rPr>
                <w:sz w:val="20"/>
                <w:szCs w:val="20"/>
              </w:rPr>
              <w:t>10.1</w:t>
            </w:r>
          </w:p>
        </w:tc>
      </w:tr>
      <w:tr w:rsidR="00A05656" w:rsidRPr="009D5B83" w14:paraId="0A8CFAC3" w14:textId="77777777" w:rsidTr="00016DA9">
        <w:tc>
          <w:tcPr>
            <w:tcW w:w="3114" w:type="dxa"/>
            <w:tcBorders>
              <w:top w:val="nil"/>
              <w:left w:val="single" w:sz="4" w:space="0" w:color="auto"/>
              <w:bottom w:val="nil"/>
              <w:right w:val="single" w:sz="4" w:space="0" w:color="auto"/>
            </w:tcBorders>
          </w:tcPr>
          <w:p w14:paraId="03AEBD65" w14:textId="77777777" w:rsidR="00A05656" w:rsidRPr="009D5B83" w:rsidRDefault="00A05656" w:rsidP="00016DA9">
            <w:pPr>
              <w:ind w:left="708"/>
              <w:contextualSpacing/>
              <w:rPr>
                <w:sz w:val="20"/>
                <w:szCs w:val="20"/>
              </w:rPr>
            </w:pPr>
            <w:r w:rsidRPr="009D5B83">
              <w:rPr>
                <w:sz w:val="20"/>
                <w:szCs w:val="20"/>
              </w:rPr>
              <w:t>США</w:t>
            </w:r>
          </w:p>
        </w:tc>
        <w:tc>
          <w:tcPr>
            <w:tcW w:w="3260" w:type="dxa"/>
            <w:tcBorders>
              <w:top w:val="nil"/>
              <w:left w:val="single" w:sz="4" w:space="0" w:color="auto"/>
              <w:bottom w:val="nil"/>
              <w:right w:val="single" w:sz="4" w:space="0" w:color="auto"/>
            </w:tcBorders>
          </w:tcPr>
          <w:p w14:paraId="61A47AF8" w14:textId="77777777" w:rsidR="00A05656" w:rsidRPr="009D5B83" w:rsidRDefault="00A05656" w:rsidP="00016DA9">
            <w:pPr>
              <w:contextualSpacing/>
              <w:jc w:val="center"/>
              <w:rPr>
                <w:sz w:val="20"/>
                <w:szCs w:val="20"/>
              </w:rPr>
            </w:pPr>
            <w:r w:rsidRPr="009D5B83">
              <w:rPr>
                <w:sz w:val="20"/>
                <w:szCs w:val="20"/>
              </w:rPr>
              <w:t>0</w:t>
            </w:r>
          </w:p>
        </w:tc>
        <w:tc>
          <w:tcPr>
            <w:tcW w:w="2970" w:type="dxa"/>
            <w:tcBorders>
              <w:top w:val="nil"/>
              <w:left w:val="single" w:sz="4" w:space="0" w:color="auto"/>
              <w:bottom w:val="nil"/>
              <w:right w:val="single" w:sz="4" w:space="0" w:color="auto"/>
            </w:tcBorders>
          </w:tcPr>
          <w:p w14:paraId="7E0E6D88" w14:textId="77777777" w:rsidR="00A05656" w:rsidRPr="009D5B83" w:rsidRDefault="00A05656" w:rsidP="00016DA9">
            <w:pPr>
              <w:contextualSpacing/>
              <w:jc w:val="center"/>
              <w:rPr>
                <w:sz w:val="20"/>
                <w:szCs w:val="20"/>
              </w:rPr>
            </w:pPr>
            <w:r w:rsidRPr="009D5B83">
              <w:rPr>
                <w:sz w:val="20"/>
                <w:szCs w:val="20"/>
              </w:rPr>
              <w:t>0</w:t>
            </w:r>
          </w:p>
        </w:tc>
      </w:tr>
      <w:tr w:rsidR="00A05656" w:rsidRPr="009D5B83" w14:paraId="484FAAFF" w14:textId="77777777" w:rsidTr="00016DA9">
        <w:tc>
          <w:tcPr>
            <w:tcW w:w="3114" w:type="dxa"/>
            <w:tcBorders>
              <w:top w:val="nil"/>
              <w:left w:val="single" w:sz="4" w:space="0" w:color="auto"/>
              <w:bottom w:val="nil"/>
              <w:right w:val="single" w:sz="4" w:space="0" w:color="auto"/>
            </w:tcBorders>
          </w:tcPr>
          <w:p w14:paraId="5D7CC429" w14:textId="77777777" w:rsidR="00A05656" w:rsidRPr="009D5B83" w:rsidRDefault="00A05656" w:rsidP="00016DA9">
            <w:pPr>
              <w:ind w:left="708"/>
              <w:contextualSpacing/>
              <w:rPr>
                <w:sz w:val="20"/>
                <w:szCs w:val="20"/>
              </w:rPr>
            </w:pPr>
            <w:r w:rsidRPr="009D5B83">
              <w:rPr>
                <w:sz w:val="20"/>
                <w:szCs w:val="20"/>
              </w:rPr>
              <w:t>Китай</w:t>
            </w:r>
          </w:p>
        </w:tc>
        <w:tc>
          <w:tcPr>
            <w:tcW w:w="3260" w:type="dxa"/>
            <w:tcBorders>
              <w:top w:val="nil"/>
              <w:left w:val="single" w:sz="4" w:space="0" w:color="auto"/>
              <w:bottom w:val="nil"/>
              <w:right w:val="single" w:sz="4" w:space="0" w:color="auto"/>
            </w:tcBorders>
          </w:tcPr>
          <w:p w14:paraId="167E3103" w14:textId="77777777" w:rsidR="00A05656" w:rsidRPr="009D5B83" w:rsidRDefault="00A05656" w:rsidP="00016DA9">
            <w:pPr>
              <w:contextualSpacing/>
              <w:jc w:val="center"/>
              <w:rPr>
                <w:sz w:val="20"/>
                <w:szCs w:val="20"/>
              </w:rPr>
            </w:pPr>
            <w:r w:rsidRPr="009D5B83">
              <w:rPr>
                <w:sz w:val="20"/>
                <w:szCs w:val="20"/>
              </w:rPr>
              <w:t>79.6</w:t>
            </w:r>
          </w:p>
        </w:tc>
        <w:tc>
          <w:tcPr>
            <w:tcW w:w="2970" w:type="dxa"/>
            <w:tcBorders>
              <w:top w:val="nil"/>
              <w:left w:val="single" w:sz="4" w:space="0" w:color="auto"/>
              <w:bottom w:val="nil"/>
              <w:right w:val="single" w:sz="4" w:space="0" w:color="auto"/>
            </w:tcBorders>
          </w:tcPr>
          <w:p w14:paraId="022B0AF3" w14:textId="77777777" w:rsidR="00A05656" w:rsidRPr="009D5B83" w:rsidRDefault="00A05656" w:rsidP="00016DA9">
            <w:pPr>
              <w:contextualSpacing/>
              <w:jc w:val="center"/>
              <w:rPr>
                <w:sz w:val="20"/>
                <w:szCs w:val="20"/>
              </w:rPr>
            </w:pPr>
            <w:r w:rsidRPr="009D5B83">
              <w:rPr>
                <w:sz w:val="20"/>
                <w:szCs w:val="20"/>
              </w:rPr>
              <w:t>97</w:t>
            </w:r>
          </w:p>
        </w:tc>
      </w:tr>
      <w:tr w:rsidR="00A05656" w:rsidRPr="009D5B83" w14:paraId="429E757D" w14:textId="77777777" w:rsidTr="00016DA9">
        <w:tc>
          <w:tcPr>
            <w:tcW w:w="3114" w:type="dxa"/>
            <w:tcBorders>
              <w:top w:val="nil"/>
              <w:left w:val="single" w:sz="4" w:space="0" w:color="auto"/>
              <w:bottom w:val="single" w:sz="4" w:space="0" w:color="auto"/>
              <w:right w:val="single" w:sz="4" w:space="0" w:color="auto"/>
            </w:tcBorders>
          </w:tcPr>
          <w:p w14:paraId="335FE49D" w14:textId="77777777" w:rsidR="00A05656" w:rsidRPr="009D5B83" w:rsidRDefault="00A05656" w:rsidP="00016DA9">
            <w:pPr>
              <w:ind w:left="708"/>
              <w:contextualSpacing/>
              <w:rPr>
                <w:sz w:val="20"/>
                <w:szCs w:val="20"/>
              </w:rPr>
            </w:pPr>
            <w:r w:rsidRPr="009D5B83">
              <w:rPr>
                <w:sz w:val="20"/>
                <w:szCs w:val="20"/>
              </w:rPr>
              <w:t>Остальные</w:t>
            </w:r>
          </w:p>
        </w:tc>
        <w:tc>
          <w:tcPr>
            <w:tcW w:w="3260" w:type="dxa"/>
            <w:tcBorders>
              <w:top w:val="nil"/>
              <w:left w:val="single" w:sz="4" w:space="0" w:color="auto"/>
              <w:bottom w:val="single" w:sz="4" w:space="0" w:color="auto"/>
              <w:right w:val="single" w:sz="4" w:space="0" w:color="auto"/>
            </w:tcBorders>
          </w:tcPr>
          <w:p w14:paraId="00D21BB4" w14:textId="77777777" w:rsidR="00A05656" w:rsidRPr="009D5B83" w:rsidRDefault="00A05656" w:rsidP="00016DA9">
            <w:pPr>
              <w:contextualSpacing/>
              <w:jc w:val="center"/>
              <w:rPr>
                <w:sz w:val="20"/>
                <w:szCs w:val="20"/>
              </w:rPr>
            </w:pPr>
            <w:r w:rsidRPr="009D5B83">
              <w:rPr>
                <w:sz w:val="20"/>
                <w:szCs w:val="20"/>
              </w:rPr>
              <w:t>35.4</w:t>
            </w:r>
          </w:p>
        </w:tc>
        <w:tc>
          <w:tcPr>
            <w:tcW w:w="2970" w:type="dxa"/>
            <w:tcBorders>
              <w:top w:val="nil"/>
              <w:left w:val="single" w:sz="4" w:space="0" w:color="auto"/>
              <w:bottom w:val="single" w:sz="4" w:space="0" w:color="auto"/>
              <w:right w:val="single" w:sz="4" w:space="0" w:color="auto"/>
            </w:tcBorders>
          </w:tcPr>
          <w:p w14:paraId="177D7281" w14:textId="77777777" w:rsidR="00A05656" w:rsidRPr="009D5B83" w:rsidRDefault="00A05656" w:rsidP="00016DA9">
            <w:pPr>
              <w:contextualSpacing/>
              <w:jc w:val="center"/>
              <w:rPr>
                <w:sz w:val="20"/>
                <w:szCs w:val="20"/>
              </w:rPr>
            </w:pPr>
            <w:r w:rsidRPr="009D5B83">
              <w:rPr>
                <w:sz w:val="20"/>
                <w:szCs w:val="20"/>
              </w:rPr>
              <w:t>43</w:t>
            </w:r>
          </w:p>
        </w:tc>
      </w:tr>
    </w:tbl>
    <w:p w14:paraId="61D17EB3" w14:textId="7B548D54" w:rsidR="00437C96" w:rsidRPr="009D5B83" w:rsidRDefault="00437C96" w:rsidP="00A05656">
      <w:pPr>
        <w:pStyle w:val="afc"/>
        <w:ind w:left="0"/>
        <w:rPr>
          <w:sz w:val="20"/>
        </w:rPr>
      </w:pPr>
      <w:r w:rsidRPr="009D5B83">
        <w:rPr>
          <w:i/>
          <w:iCs/>
          <w:sz w:val="20"/>
        </w:rPr>
        <w:t>Источник:</w:t>
      </w:r>
      <w:r w:rsidRPr="009D5B83">
        <w:rPr>
          <w:sz w:val="20"/>
        </w:rPr>
        <w:t xml:space="preserve"> составлено авторами на основе открытых данных Минэкономразвития России, ФТС России, </w:t>
      </w:r>
      <w:r w:rsidRPr="009D5B83">
        <w:rPr>
          <w:sz w:val="20"/>
          <w:lang w:val="en-US"/>
        </w:rPr>
        <w:t>BP</w:t>
      </w:r>
      <w:r w:rsidRPr="009D5B83">
        <w:rPr>
          <w:sz w:val="20"/>
        </w:rPr>
        <w:t xml:space="preserve">, </w:t>
      </w:r>
      <w:r w:rsidRPr="009D5B83">
        <w:rPr>
          <w:sz w:val="20"/>
          <w:lang w:val="en-US"/>
        </w:rPr>
        <w:t>EIA</w:t>
      </w:r>
      <w:r w:rsidRPr="009D5B83">
        <w:rPr>
          <w:sz w:val="20"/>
        </w:rPr>
        <w:t>.</w:t>
      </w:r>
    </w:p>
    <w:p w14:paraId="3CF670EB" w14:textId="77777777" w:rsidR="00437C96" w:rsidRPr="009D5B83" w:rsidRDefault="00437C96" w:rsidP="00437C96">
      <w:pPr>
        <w:pStyle w:val="afc"/>
        <w:ind w:firstLine="0"/>
        <w:rPr>
          <w:sz w:val="22"/>
          <w:szCs w:val="22"/>
        </w:rPr>
      </w:pPr>
    </w:p>
    <w:p w14:paraId="5556C3AF" w14:textId="77777777" w:rsidR="00437C96" w:rsidRPr="00E103B9" w:rsidRDefault="00437C96" w:rsidP="00A35722">
      <w:pPr>
        <w:pStyle w:val="afc"/>
        <w:spacing w:before="0" w:after="60"/>
        <w:ind w:left="0" w:firstLine="709"/>
        <w:rPr>
          <w:rFonts w:eastAsiaTheme="minorHAnsi"/>
          <w:sz w:val="28"/>
          <w:szCs w:val="24"/>
        </w:rPr>
      </w:pPr>
      <w:r w:rsidRPr="00E103B9">
        <w:rPr>
          <w:bCs/>
          <w:sz w:val="28"/>
          <w:szCs w:val="24"/>
        </w:rPr>
        <w:t>Пессимистический сценарий (Сценарий 1) предполагает, что: 1) в</w:t>
      </w:r>
      <w:r w:rsidRPr="00E103B9">
        <w:rPr>
          <w:rFonts w:eastAsiaTheme="minorHAnsi"/>
          <w:sz w:val="28"/>
          <w:szCs w:val="24"/>
        </w:rPr>
        <w:t xml:space="preserve">се введенные санкции в ответ на начало специальной военной операции России на Украине, касающиеся нефтяной отрасли, соблюдаются в полном объеме; 2) объемы экспорта российской нефти в страны, которые ввели санкции, нельзя перенаправить, а высвободившийся объем нефти на мировом рынке займут поставщики, обладающие возможностью быстрого наращивания объемов производства и не имеющие ограничения по страхованию и финансированию танкерных перевозок: свободные мощности в сентябре 2022 г. Саудовской Аравии оцениваются в 1,2 </w:t>
      </w:r>
      <w:proofErr w:type="gramStart"/>
      <w:r w:rsidRPr="00E103B9">
        <w:rPr>
          <w:rFonts w:eastAsiaTheme="minorHAnsi"/>
          <w:sz w:val="28"/>
          <w:szCs w:val="24"/>
        </w:rPr>
        <w:t>млн</w:t>
      </w:r>
      <w:proofErr w:type="gramEnd"/>
      <w:r w:rsidRPr="00E103B9">
        <w:rPr>
          <w:rFonts w:eastAsiaTheme="minorHAnsi"/>
          <w:sz w:val="28"/>
          <w:szCs w:val="24"/>
        </w:rPr>
        <w:t xml:space="preserve"> </w:t>
      </w:r>
      <w:proofErr w:type="spellStart"/>
      <w:r w:rsidRPr="00E103B9">
        <w:rPr>
          <w:rFonts w:eastAsiaTheme="minorHAnsi"/>
          <w:sz w:val="28"/>
          <w:szCs w:val="24"/>
        </w:rPr>
        <w:t>барр</w:t>
      </w:r>
      <w:proofErr w:type="spellEnd"/>
      <w:r w:rsidRPr="00E103B9">
        <w:rPr>
          <w:rFonts w:eastAsiaTheme="minorHAnsi"/>
          <w:sz w:val="28"/>
          <w:szCs w:val="24"/>
        </w:rPr>
        <w:t xml:space="preserve">./ </w:t>
      </w:r>
      <w:proofErr w:type="spellStart"/>
      <w:r w:rsidRPr="00E103B9">
        <w:rPr>
          <w:rFonts w:eastAsiaTheme="minorHAnsi"/>
          <w:sz w:val="28"/>
          <w:szCs w:val="24"/>
        </w:rPr>
        <w:t>сут</w:t>
      </w:r>
      <w:proofErr w:type="spellEnd"/>
      <w:r w:rsidRPr="00E103B9">
        <w:rPr>
          <w:rFonts w:eastAsiaTheme="minorHAnsi"/>
          <w:sz w:val="28"/>
          <w:szCs w:val="24"/>
        </w:rPr>
        <w:t xml:space="preserve">., у ОАЭ – почти 1 млн </w:t>
      </w:r>
      <w:proofErr w:type="spellStart"/>
      <w:r w:rsidRPr="00E103B9">
        <w:rPr>
          <w:rFonts w:eastAsiaTheme="minorHAnsi"/>
          <w:sz w:val="28"/>
          <w:szCs w:val="24"/>
        </w:rPr>
        <w:t>барр</w:t>
      </w:r>
      <w:proofErr w:type="spellEnd"/>
      <w:r w:rsidRPr="00E103B9">
        <w:rPr>
          <w:rFonts w:eastAsiaTheme="minorHAnsi"/>
          <w:sz w:val="28"/>
          <w:szCs w:val="24"/>
        </w:rPr>
        <w:t>./</w:t>
      </w:r>
      <w:proofErr w:type="spellStart"/>
      <w:r w:rsidRPr="00E103B9">
        <w:rPr>
          <w:rFonts w:eastAsiaTheme="minorHAnsi"/>
          <w:sz w:val="28"/>
          <w:szCs w:val="24"/>
        </w:rPr>
        <w:t>сут</w:t>
      </w:r>
      <w:proofErr w:type="spellEnd"/>
      <w:r w:rsidRPr="00E103B9">
        <w:rPr>
          <w:rFonts w:eastAsiaTheme="minorHAnsi"/>
          <w:sz w:val="28"/>
          <w:szCs w:val="24"/>
        </w:rPr>
        <w:t xml:space="preserve">.; потенциал постепенного наращивания нефтедобычи также есть у Венесуэлы и Ирана (которые при этом находятся под санкциями США) – до 2,5 </w:t>
      </w:r>
      <w:proofErr w:type="gramStart"/>
      <w:r w:rsidRPr="00E103B9">
        <w:rPr>
          <w:rFonts w:eastAsiaTheme="minorHAnsi"/>
          <w:sz w:val="28"/>
          <w:szCs w:val="24"/>
        </w:rPr>
        <w:t>млн</w:t>
      </w:r>
      <w:proofErr w:type="gramEnd"/>
      <w:r w:rsidRPr="00E103B9">
        <w:rPr>
          <w:rFonts w:eastAsiaTheme="minorHAnsi"/>
          <w:sz w:val="28"/>
          <w:szCs w:val="24"/>
        </w:rPr>
        <w:t xml:space="preserve"> </w:t>
      </w:r>
      <w:proofErr w:type="spellStart"/>
      <w:r w:rsidRPr="00E103B9">
        <w:rPr>
          <w:rFonts w:eastAsiaTheme="minorHAnsi"/>
          <w:sz w:val="28"/>
          <w:szCs w:val="24"/>
        </w:rPr>
        <w:t>барр</w:t>
      </w:r>
      <w:proofErr w:type="spellEnd"/>
      <w:r w:rsidRPr="00E103B9">
        <w:rPr>
          <w:rFonts w:eastAsiaTheme="minorHAnsi"/>
          <w:sz w:val="28"/>
          <w:szCs w:val="24"/>
        </w:rPr>
        <w:t>./</w:t>
      </w:r>
      <w:proofErr w:type="spellStart"/>
      <w:r w:rsidRPr="00E103B9">
        <w:rPr>
          <w:rFonts w:eastAsiaTheme="minorHAnsi"/>
          <w:sz w:val="28"/>
          <w:szCs w:val="24"/>
        </w:rPr>
        <w:t>сут</w:t>
      </w:r>
      <w:proofErr w:type="spellEnd"/>
      <w:r w:rsidRPr="00E103B9">
        <w:rPr>
          <w:rFonts w:eastAsiaTheme="minorHAnsi"/>
          <w:sz w:val="28"/>
          <w:szCs w:val="24"/>
        </w:rPr>
        <w:t xml:space="preserve">.; максимальный рост добычи в США оценивается в 0,7–1,0 млн </w:t>
      </w:r>
      <w:proofErr w:type="spellStart"/>
      <w:r w:rsidRPr="00E103B9">
        <w:rPr>
          <w:rFonts w:eastAsiaTheme="minorHAnsi"/>
          <w:sz w:val="28"/>
          <w:szCs w:val="24"/>
        </w:rPr>
        <w:t>барр</w:t>
      </w:r>
      <w:proofErr w:type="spellEnd"/>
      <w:r w:rsidRPr="00E103B9">
        <w:rPr>
          <w:rFonts w:eastAsiaTheme="minorHAnsi"/>
          <w:sz w:val="28"/>
          <w:szCs w:val="24"/>
        </w:rPr>
        <w:t>./</w:t>
      </w:r>
      <w:proofErr w:type="spellStart"/>
      <w:r w:rsidRPr="00E103B9">
        <w:rPr>
          <w:rFonts w:eastAsiaTheme="minorHAnsi"/>
          <w:sz w:val="28"/>
          <w:szCs w:val="24"/>
        </w:rPr>
        <w:t>сут</w:t>
      </w:r>
      <w:proofErr w:type="spellEnd"/>
      <w:r w:rsidRPr="00E103B9">
        <w:rPr>
          <w:rFonts w:eastAsiaTheme="minorHAnsi"/>
          <w:sz w:val="28"/>
          <w:szCs w:val="24"/>
        </w:rPr>
        <w:t xml:space="preserve">., но он может быть ограничен необходимостью погашения накопленных долгов и ожиданиями инвесторов о выплате дивидендов, в то время как наращивание объемов добычи будет связано с дополнительными инвестициями. </w:t>
      </w:r>
    </w:p>
    <w:p w14:paraId="7C9DE205" w14:textId="77777777" w:rsidR="00437C96" w:rsidRPr="00E103B9" w:rsidRDefault="00437C96" w:rsidP="00A35722">
      <w:pPr>
        <w:pStyle w:val="afc"/>
        <w:spacing w:before="0" w:after="60"/>
        <w:ind w:left="0" w:firstLine="709"/>
        <w:rPr>
          <w:rFonts w:eastAsiaTheme="minorHAnsi"/>
          <w:sz w:val="28"/>
          <w:szCs w:val="24"/>
        </w:rPr>
      </w:pPr>
      <w:r w:rsidRPr="00E103B9">
        <w:rPr>
          <w:rFonts w:eastAsiaTheme="minorHAnsi"/>
          <w:sz w:val="28"/>
          <w:szCs w:val="24"/>
        </w:rPr>
        <w:lastRenderedPageBreak/>
        <w:t xml:space="preserve">Согласно Сценарию 1 объемы экспорта нефти из России в 2023–2025 гг. будут сокращаться: 16,6 </w:t>
      </w:r>
      <w:proofErr w:type="gramStart"/>
      <w:r w:rsidRPr="00E103B9">
        <w:rPr>
          <w:rFonts w:eastAsiaTheme="minorHAnsi"/>
          <w:sz w:val="28"/>
          <w:szCs w:val="24"/>
        </w:rPr>
        <w:t>млн</w:t>
      </w:r>
      <w:proofErr w:type="gramEnd"/>
      <w:r w:rsidRPr="00E103B9">
        <w:rPr>
          <w:rFonts w:eastAsiaTheme="minorHAnsi"/>
          <w:sz w:val="28"/>
          <w:szCs w:val="24"/>
        </w:rPr>
        <w:t xml:space="preserve"> т в 2023 г., 13,4 в 2024 г. и 9,8 в 2025 г. В ответ на это сокращение будет сокращаться объем добычи нефти и производства нефтепродуктов.</w:t>
      </w:r>
    </w:p>
    <w:p w14:paraId="4FF4C4AA" w14:textId="77777777" w:rsidR="00437C96" w:rsidRPr="00E103B9" w:rsidRDefault="00437C96" w:rsidP="00A35722">
      <w:pPr>
        <w:pStyle w:val="afc"/>
        <w:spacing w:before="0" w:after="60"/>
        <w:ind w:left="0" w:firstLine="709"/>
        <w:rPr>
          <w:bCs/>
          <w:sz w:val="28"/>
          <w:szCs w:val="24"/>
        </w:rPr>
      </w:pPr>
      <w:proofErr w:type="gramStart"/>
      <w:r w:rsidRPr="00E103B9">
        <w:rPr>
          <w:bCs/>
          <w:sz w:val="28"/>
          <w:szCs w:val="24"/>
        </w:rPr>
        <w:t>Оптимистический сценарий предполагает, что: 1) в</w:t>
      </w:r>
      <w:r w:rsidRPr="00E103B9">
        <w:rPr>
          <w:rFonts w:eastAsiaTheme="minorHAnsi"/>
          <w:sz w:val="28"/>
          <w:szCs w:val="24"/>
        </w:rPr>
        <w:t>веденные санкции будут исполняться нестрого: нефть, которая добывалась для экспорта в Европу, можно будет частично перенаправить на восточное направление (Китай, Индия); 2) будут присутствовать</w:t>
      </w:r>
      <w:r w:rsidRPr="00E103B9">
        <w:rPr>
          <w:bCs/>
          <w:sz w:val="28"/>
          <w:szCs w:val="24"/>
        </w:rPr>
        <w:t xml:space="preserve"> «серые схемы» реализации российской нефти на европейском рынке.</w:t>
      </w:r>
      <w:proofErr w:type="gramEnd"/>
    </w:p>
    <w:p w14:paraId="7C29887E" w14:textId="77777777" w:rsidR="00437C96" w:rsidRPr="00E103B9" w:rsidRDefault="00437C96" w:rsidP="00A35722">
      <w:pPr>
        <w:pStyle w:val="afc"/>
        <w:spacing w:before="0" w:after="60"/>
        <w:ind w:left="0" w:firstLine="709"/>
        <w:rPr>
          <w:rFonts w:eastAsiaTheme="minorHAnsi"/>
          <w:sz w:val="28"/>
          <w:szCs w:val="24"/>
        </w:rPr>
      </w:pPr>
      <w:r w:rsidRPr="00E103B9">
        <w:rPr>
          <w:rFonts w:eastAsiaTheme="minorHAnsi"/>
          <w:sz w:val="28"/>
          <w:szCs w:val="24"/>
        </w:rPr>
        <w:t xml:space="preserve">Полученные результаты свидетельствуют о том, что параметры, заложенные в Законопроект, являются достаточно оптимистичными: объемы экспорта нефти в 2022 г. составят 243 </w:t>
      </w:r>
      <w:proofErr w:type="gramStart"/>
      <w:r w:rsidRPr="00E103B9">
        <w:rPr>
          <w:rFonts w:eastAsiaTheme="minorHAnsi"/>
          <w:sz w:val="28"/>
          <w:szCs w:val="24"/>
        </w:rPr>
        <w:t>млн</w:t>
      </w:r>
      <w:proofErr w:type="gramEnd"/>
      <w:r w:rsidRPr="00E103B9">
        <w:rPr>
          <w:rFonts w:eastAsiaTheme="minorHAnsi"/>
          <w:sz w:val="28"/>
          <w:szCs w:val="24"/>
        </w:rPr>
        <w:t xml:space="preserve"> т, в 2023 г. – 250 млн т, в 2024 г. – 255 млн т, в 2025 г. – 260 млн т. По нашим расчетам, в случае реализации хотя бы ряда перечисленных выше рисков отклонение от целевых параметров добычи и экспорта нефти может быть значительным.</w:t>
      </w:r>
    </w:p>
    <w:p w14:paraId="606648B3" w14:textId="1FC5128E" w:rsidR="00437C96" w:rsidRPr="00E103B9" w:rsidRDefault="00437C96" w:rsidP="00A35722">
      <w:pPr>
        <w:spacing w:after="60"/>
        <w:ind w:firstLine="709"/>
        <w:contextualSpacing/>
        <w:jc w:val="both"/>
        <w:rPr>
          <w:rFonts w:eastAsia="Calibri"/>
          <w:sz w:val="28"/>
        </w:rPr>
      </w:pPr>
      <w:r w:rsidRPr="00E103B9">
        <w:rPr>
          <w:sz w:val="28"/>
        </w:rPr>
        <w:t xml:space="preserve">Согласно последнему прогнозу </w:t>
      </w:r>
      <w:r w:rsidRPr="00E103B9">
        <w:rPr>
          <w:sz w:val="28"/>
          <w:lang w:val="en-US"/>
        </w:rPr>
        <w:t>EIA</w:t>
      </w:r>
      <w:r w:rsidRPr="00E103B9">
        <w:rPr>
          <w:rStyle w:val="aa"/>
          <w:sz w:val="28"/>
        </w:rPr>
        <w:footnoteReference w:id="34"/>
      </w:r>
      <w:r w:rsidR="007D5408" w:rsidRPr="00E103B9">
        <w:rPr>
          <w:sz w:val="28"/>
        </w:rPr>
        <w:t xml:space="preserve"> (</w:t>
      </w:r>
      <w:r w:rsidR="007D5408" w:rsidRPr="00E103B9">
        <w:rPr>
          <w:i/>
          <w:iCs/>
          <w:sz w:val="28"/>
        </w:rPr>
        <w:t>таблица 5</w:t>
      </w:r>
      <w:r w:rsidR="007D5408" w:rsidRPr="00E103B9">
        <w:rPr>
          <w:sz w:val="28"/>
        </w:rPr>
        <w:t>)</w:t>
      </w:r>
      <w:r w:rsidRPr="00E103B9">
        <w:rPr>
          <w:sz w:val="28"/>
        </w:rPr>
        <w:t xml:space="preserve">, цена на нефть сорта </w:t>
      </w:r>
      <w:r w:rsidRPr="00E103B9">
        <w:rPr>
          <w:sz w:val="28"/>
          <w:lang w:val="en-US"/>
        </w:rPr>
        <w:t>Brent</w:t>
      </w:r>
      <w:r w:rsidRPr="00E103B9">
        <w:rPr>
          <w:sz w:val="28"/>
        </w:rPr>
        <w:t xml:space="preserve"> в 2023 г. составит 96,91</w:t>
      </w:r>
      <w:r w:rsidRPr="00E103B9">
        <w:rPr>
          <w:rFonts w:eastAsia="Calibri"/>
          <w:sz w:val="28"/>
        </w:rPr>
        <w:t xml:space="preserve"> долларов США за баррель</w:t>
      </w:r>
      <w:r w:rsidRPr="00E103B9">
        <w:rPr>
          <w:sz w:val="28"/>
        </w:rPr>
        <w:t xml:space="preserve">, по прогнозу </w:t>
      </w:r>
      <w:r w:rsidR="00317ABB" w:rsidRPr="00E103B9">
        <w:rPr>
          <w:sz w:val="28"/>
        </w:rPr>
        <w:t>ОЭСР</w:t>
      </w:r>
      <w:r w:rsidRPr="00E103B9">
        <w:rPr>
          <w:rStyle w:val="aa"/>
          <w:sz w:val="28"/>
        </w:rPr>
        <w:footnoteReference w:id="35"/>
      </w:r>
      <w:r w:rsidRPr="00E103B9">
        <w:rPr>
          <w:sz w:val="28"/>
        </w:rPr>
        <w:t xml:space="preserve"> средняя мировая цена на нефть в 2023 г. составит 121,9 </w:t>
      </w:r>
      <w:r w:rsidRPr="00E103B9">
        <w:rPr>
          <w:rFonts w:eastAsia="Calibri"/>
          <w:sz w:val="28"/>
        </w:rPr>
        <w:t>долларов США за баррель</w:t>
      </w:r>
      <w:r w:rsidRPr="00E103B9">
        <w:rPr>
          <w:sz w:val="28"/>
        </w:rPr>
        <w:t>. По прогнозу Центрального Банка России</w:t>
      </w:r>
      <w:r w:rsidRPr="00E103B9">
        <w:rPr>
          <w:rStyle w:val="aa"/>
          <w:sz w:val="28"/>
        </w:rPr>
        <w:footnoteReference w:id="36"/>
      </w:r>
      <w:r w:rsidRPr="00E103B9">
        <w:rPr>
          <w:sz w:val="28"/>
        </w:rPr>
        <w:t xml:space="preserve"> цена на нефть марки </w:t>
      </w:r>
      <w:r w:rsidRPr="00E103B9">
        <w:rPr>
          <w:sz w:val="28"/>
          <w:lang w:val="en-US"/>
        </w:rPr>
        <w:t>Urals</w:t>
      </w:r>
      <w:r w:rsidRPr="00E103B9">
        <w:rPr>
          <w:sz w:val="28"/>
        </w:rPr>
        <w:t xml:space="preserve"> в 2023 г. составит 70 </w:t>
      </w:r>
      <w:r w:rsidRPr="00E103B9">
        <w:rPr>
          <w:rFonts w:eastAsia="Calibri"/>
          <w:sz w:val="28"/>
        </w:rPr>
        <w:t xml:space="preserve">долларов США за баррель. Учитывая, что марка </w:t>
      </w:r>
      <w:r w:rsidRPr="00E103B9">
        <w:rPr>
          <w:rFonts w:eastAsia="Calibri"/>
          <w:sz w:val="28"/>
          <w:lang w:val="en-US"/>
        </w:rPr>
        <w:t>Urals</w:t>
      </w:r>
      <w:r w:rsidRPr="00E103B9">
        <w:rPr>
          <w:rFonts w:eastAsia="Calibri"/>
          <w:sz w:val="28"/>
        </w:rPr>
        <w:t xml:space="preserve"> торгуется с некоторым дисконтом к марке </w:t>
      </w:r>
      <w:r w:rsidRPr="00E103B9">
        <w:rPr>
          <w:rFonts w:eastAsia="Calibri"/>
          <w:sz w:val="28"/>
          <w:lang w:val="en-US"/>
        </w:rPr>
        <w:t>Brent</w:t>
      </w:r>
      <w:r w:rsidRPr="00E103B9">
        <w:rPr>
          <w:rFonts w:eastAsia="Calibri"/>
          <w:sz w:val="28"/>
        </w:rPr>
        <w:t xml:space="preserve"> (с февраля 2022 г. спред между </w:t>
      </w:r>
      <w:r w:rsidRPr="00E103B9">
        <w:rPr>
          <w:rFonts w:eastAsia="Calibri"/>
          <w:sz w:val="28"/>
          <w:lang w:val="en-US"/>
        </w:rPr>
        <w:t>Urals</w:t>
      </w:r>
      <w:r w:rsidRPr="00E103B9">
        <w:rPr>
          <w:rFonts w:eastAsia="Calibri"/>
          <w:sz w:val="28"/>
        </w:rPr>
        <w:t xml:space="preserve"> и </w:t>
      </w:r>
      <w:r w:rsidRPr="00E103B9">
        <w:rPr>
          <w:rFonts w:eastAsia="Calibri"/>
          <w:sz w:val="28"/>
          <w:lang w:val="en-US"/>
        </w:rPr>
        <w:t>Brent</w:t>
      </w:r>
      <w:r w:rsidRPr="00E103B9">
        <w:rPr>
          <w:rFonts w:eastAsia="Calibri"/>
          <w:sz w:val="28"/>
        </w:rPr>
        <w:t xml:space="preserve"> начал стремительно расти с 2,8 до 30 долларов США за баррель), используемые значения цены на нефть для расчета значений в Законопроекте согласуются с международными прогнозами.</w:t>
      </w:r>
    </w:p>
    <w:p w14:paraId="74A7731F" w14:textId="48BF91C1" w:rsidR="008F67BB" w:rsidRPr="009D5B83" w:rsidRDefault="00437C96" w:rsidP="00A35722">
      <w:pPr>
        <w:spacing w:after="60"/>
        <w:contextualSpacing/>
        <w:jc w:val="right"/>
        <w:rPr>
          <w:rFonts w:eastAsia="Calibri"/>
          <w:i/>
          <w:iCs/>
        </w:rPr>
      </w:pPr>
      <w:r w:rsidRPr="009D5B83">
        <w:rPr>
          <w:rFonts w:eastAsia="Calibri"/>
          <w:i/>
          <w:iCs/>
        </w:rPr>
        <w:t xml:space="preserve">Таблица </w:t>
      </w:r>
      <w:r w:rsidR="007D5408" w:rsidRPr="009D5B83">
        <w:rPr>
          <w:rFonts w:eastAsia="Calibri"/>
          <w:i/>
          <w:iCs/>
        </w:rPr>
        <w:t>5</w:t>
      </w:r>
    </w:p>
    <w:p w14:paraId="1F322C2A" w14:textId="77777777" w:rsidR="007931B0" w:rsidRPr="009D5B83" w:rsidRDefault="007931B0" w:rsidP="00A35722">
      <w:pPr>
        <w:spacing w:after="60"/>
        <w:contextualSpacing/>
        <w:jc w:val="right"/>
        <w:rPr>
          <w:rFonts w:eastAsia="Calibri"/>
          <w:i/>
          <w:iCs/>
        </w:rPr>
      </w:pPr>
    </w:p>
    <w:p w14:paraId="4EFFEFD7" w14:textId="3709B735" w:rsidR="00437C96" w:rsidRPr="009D5B83" w:rsidRDefault="00437C96" w:rsidP="00A35722">
      <w:pPr>
        <w:spacing w:after="60"/>
        <w:contextualSpacing/>
        <w:jc w:val="center"/>
        <w:rPr>
          <w:rFonts w:eastAsia="Calibri"/>
          <w:b/>
          <w:bCs/>
        </w:rPr>
      </w:pPr>
      <w:r w:rsidRPr="009D5B83">
        <w:rPr>
          <w:rFonts w:eastAsia="Calibri"/>
          <w:b/>
          <w:bCs/>
        </w:rPr>
        <w:t>Прогнозные значения цен на нефть на 2023 г.</w:t>
      </w:r>
    </w:p>
    <w:p w14:paraId="0AC63E3B" w14:textId="77777777" w:rsidR="008F67BB" w:rsidRPr="009D5B83" w:rsidRDefault="008F67BB" w:rsidP="008F67BB">
      <w:pPr>
        <w:spacing w:after="240"/>
        <w:contextualSpacing/>
        <w:jc w:val="center"/>
        <w:rPr>
          <w:rFonts w:eastAsia="Calibri"/>
          <w:b/>
          <w:bCs/>
        </w:rPr>
      </w:pPr>
    </w:p>
    <w:tbl>
      <w:tblPr>
        <w:tblStyle w:val="a4"/>
        <w:tblW w:w="8841" w:type="dxa"/>
        <w:tblInd w:w="-5" w:type="dxa"/>
        <w:tblLook w:val="04A0" w:firstRow="1" w:lastRow="0" w:firstColumn="1" w:lastColumn="0" w:noHBand="0" w:noVBand="1"/>
      </w:tblPr>
      <w:tblGrid>
        <w:gridCol w:w="2696"/>
        <w:gridCol w:w="1625"/>
        <w:gridCol w:w="1506"/>
        <w:gridCol w:w="1507"/>
        <w:gridCol w:w="1507"/>
      </w:tblGrid>
      <w:tr w:rsidR="00437C96" w:rsidRPr="009D5B83" w14:paraId="54476987" w14:textId="77777777" w:rsidTr="008F67BB">
        <w:tc>
          <w:tcPr>
            <w:tcW w:w="2696" w:type="dxa"/>
          </w:tcPr>
          <w:p w14:paraId="4BA0EBC3" w14:textId="0848E7FB" w:rsidR="00437C96" w:rsidRPr="009D5B83" w:rsidRDefault="00B71920" w:rsidP="00A35722">
            <w:pPr>
              <w:spacing w:after="60"/>
              <w:contextualSpacing/>
              <w:jc w:val="center"/>
              <w:rPr>
                <w:rFonts w:eastAsia="Calibri"/>
                <w:b/>
                <w:bCs/>
                <w:sz w:val="20"/>
                <w:szCs w:val="20"/>
              </w:rPr>
            </w:pPr>
            <w:r w:rsidRPr="009D5B83">
              <w:rPr>
                <w:rFonts w:eastAsia="Calibri"/>
                <w:b/>
                <w:bCs/>
                <w:sz w:val="20"/>
                <w:szCs w:val="20"/>
              </w:rPr>
              <w:t xml:space="preserve">Цена на нефть, </w:t>
            </w:r>
            <w:proofErr w:type="spellStart"/>
            <w:proofErr w:type="gramStart"/>
            <w:r w:rsidRPr="009D5B83">
              <w:rPr>
                <w:rFonts w:eastAsia="Calibri"/>
                <w:b/>
                <w:bCs/>
                <w:sz w:val="20"/>
                <w:szCs w:val="20"/>
              </w:rPr>
              <w:t>долл</w:t>
            </w:r>
            <w:proofErr w:type="spellEnd"/>
            <w:proofErr w:type="gramEnd"/>
            <w:r w:rsidRPr="009D5B83">
              <w:rPr>
                <w:rFonts w:eastAsia="Calibri"/>
                <w:b/>
                <w:bCs/>
                <w:sz w:val="20"/>
                <w:szCs w:val="20"/>
              </w:rPr>
              <w:t>/</w:t>
            </w:r>
            <w:proofErr w:type="spellStart"/>
            <w:r w:rsidRPr="009D5B83">
              <w:rPr>
                <w:rFonts w:eastAsia="Calibri"/>
                <w:b/>
                <w:bCs/>
                <w:sz w:val="20"/>
                <w:szCs w:val="20"/>
              </w:rPr>
              <w:t>барр</w:t>
            </w:r>
            <w:proofErr w:type="spellEnd"/>
            <w:r w:rsidRPr="009D5B83">
              <w:rPr>
                <w:rFonts w:eastAsia="Calibri"/>
                <w:b/>
                <w:bCs/>
                <w:sz w:val="20"/>
                <w:szCs w:val="20"/>
              </w:rPr>
              <w:t>.</w:t>
            </w:r>
          </w:p>
        </w:tc>
        <w:tc>
          <w:tcPr>
            <w:tcW w:w="1625" w:type="dxa"/>
          </w:tcPr>
          <w:p w14:paraId="77817DD0" w14:textId="77777777" w:rsidR="00437C96" w:rsidRPr="009D5B83" w:rsidRDefault="00437C96" w:rsidP="00A35722">
            <w:pPr>
              <w:spacing w:after="60"/>
              <w:contextualSpacing/>
              <w:jc w:val="center"/>
              <w:rPr>
                <w:rFonts w:eastAsia="Calibri"/>
                <w:b/>
                <w:bCs/>
                <w:sz w:val="20"/>
                <w:szCs w:val="20"/>
              </w:rPr>
            </w:pPr>
            <w:r w:rsidRPr="009D5B83">
              <w:rPr>
                <w:rFonts w:eastAsia="Calibri"/>
                <w:b/>
                <w:bCs/>
                <w:sz w:val="20"/>
                <w:szCs w:val="20"/>
              </w:rPr>
              <w:t>Законопроект</w:t>
            </w:r>
          </w:p>
        </w:tc>
        <w:tc>
          <w:tcPr>
            <w:tcW w:w="1506" w:type="dxa"/>
          </w:tcPr>
          <w:p w14:paraId="3DC49CEF" w14:textId="77777777" w:rsidR="00437C96" w:rsidRPr="009D5B83" w:rsidRDefault="00437C96" w:rsidP="00A35722">
            <w:pPr>
              <w:spacing w:after="60"/>
              <w:contextualSpacing/>
              <w:jc w:val="center"/>
              <w:rPr>
                <w:rFonts w:eastAsia="Calibri"/>
                <w:b/>
                <w:bCs/>
                <w:sz w:val="20"/>
                <w:szCs w:val="20"/>
              </w:rPr>
            </w:pPr>
            <w:r w:rsidRPr="009D5B83">
              <w:rPr>
                <w:rFonts w:eastAsia="Calibri"/>
                <w:b/>
                <w:bCs/>
                <w:sz w:val="20"/>
                <w:szCs w:val="20"/>
                <w:lang w:val="en-US"/>
              </w:rPr>
              <w:t>EIA</w:t>
            </w:r>
          </w:p>
        </w:tc>
        <w:tc>
          <w:tcPr>
            <w:tcW w:w="1507" w:type="dxa"/>
          </w:tcPr>
          <w:p w14:paraId="3AC546C7" w14:textId="77777777" w:rsidR="00437C96" w:rsidRPr="009D5B83" w:rsidRDefault="00437C96" w:rsidP="00A35722">
            <w:pPr>
              <w:spacing w:after="60"/>
              <w:contextualSpacing/>
              <w:jc w:val="center"/>
              <w:rPr>
                <w:rFonts w:eastAsia="Calibri"/>
                <w:b/>
                <w:bCs/>
                <w:sz w:val="20"/>
                <w:szCs w:val="20"/>
                <w:lang w:val="en-US"/>
              </w:rPr>
            </w:pPr>
            <w:r w:rsidRPr="009D5B83">
              <w:rPr>
                <w:rFonts w:eastAsia="Calibri"/>
                <w:b/>
                <w:bCs/>
                <w:sz w:val="20"/>
                <w:szCs w:val="20"/>
                <w:lang w:val="en-US"/>
              </w:rPr>
              <w:t>OECD</w:t>
            </w:r>
          </w:p>
        </w:tc>
        <w:tc>
          <w:tcPr>
            <w:tcW w:w="1507" w:type="dxa"/>
          </w:tcPr>
          <w:p w14:paraId="3D3924D9" w14:textId="77777777" w:rsidR="00437C96" w:rsidRPr="009D5B83" w:rsidRDefault="00437C96" w:rsidP="00A35722">
            <w:pPr>
              <w:spacing w:after="60"/>
              <w:contextualSpacing/>
              <w:jc w:val="center"/>
              <w:rPr>
                <w:rFonts w:eastAsia="Calibri"/>
                <w:b/>
                <w:bCs/>
                <w:sz w:val="20"/>
                <w:szCs w:val="20"/>
              </w:rPr>
            </w:pPr>
            <w:r w:rsidRPr="009D5B83">
              <w:rPr>
                <w:rFonts w:eastAsia="Calibri"/>
                <w:b/>
                <w:bCs/>
                <w:sz w:val="20"/>
                <w:szCs w:val="20"/>
              </w:rPr>
              <w:t>ЦБ РФ</w:t>
            </w:r>
          </w:p>
        </w:tc>
      </w:tr>
      <w:tr w:rsidR="00437C96" w:rsidRPr="009D5B83" w14:paraId="6CB740F8" w14:textId="77777777" w:rsidTr="008F67BB">
        <w:tc>
          <w:tcPr>
            <w:tcW w:w="2696" w:type="dxa"/>
          </w:tcPr>
          <w:p w14:paraId="1E5C1B43" w14:textId="77777777" w:rsidR="00437C96" w:rsidRPr="009D5B83" w:rsidRDefault="00437C96" w:rsidP="0054320B">
            <w:pPr>
              <w:spacing w:after="60"/>
              <w:ind w:left="708"/>
              <w:contextualSpacing/>
              <w:jc w:val="both"/>
              <w:rPr>
                <w:rFonts w:eastAsia="Calibri"/>
                <w:sz w:val="20"/>
                <w:szCs w:val="20"/>
                <w:lang w:val="en-US"/>
              </w:rPr>
            </w:pPr>
            <w:r w:rsidRPr="009D5B83">
              <w:rPr>
                <w:rFonts w:eastAsia="Calibri"/>
                <w:sz w:val="20"/>
                <w:szCs w:val="20"/>
                <w:lang w:val="en-US"/>
              </w:rPr>
              <w:t>Brent</w:t>
            </w:r>
          </w:p>
        </w:tc>
        <w:tc>
          <w:tcPr>
            <w:tcW w:w="1625" w:type="dxa"/>
            <w:vAlign w:val="bottom"/>
          </w:tcPr>
          <w:p w14:paraId="4E8EA039" w14:textId="77777777" w:rsidR="00437C96" w:rsidRPr="009D5B83" w:rsidRDefault="00437C96" w:rsidP="0054320B">
            <w:pPr>
              <w:spacing w:after="60"/>
              <w:contextualSpacing/>
              <w:jc w:val="center"/>
              <w:rPr>
                <w:rFonts w:eastAsia="Calibri"/>
                <w:sz w:val="20"/>
                <w:szCs w:val="20"/>
              </w:rPr>
            </w:pPr>
            <w:r w:rsidRPr="009D5B83">
              <w:rPr>
                <w:rFonts w:eastAsia="Calibri"/>
                <w:sz w:val="20"/>
                <w:szCs w:val="20"/>
              </w:rPr>
              <w:t>-</w:t>
            </w:r>
          </w:p>
        </w:tc>
        <w:tc>
          <w:tcPr>
            <w:tcW w:w="1506" w:type="dxa"/>
            <w:vAlign w:val="bottom"/>
          </w:tcPr>
          <w:p w14:paraId="50A57E1A" w14:textId="77777777" w:rsidR="00437C96" w:rsidRPr="009D5B83" w:rsidRDefault="00437C96" w:rsidP="0054320B">
            <w:pPr>
              <w:spacing w:after="60"/>
              <w:contextualSpacing/>
              <w:jc w:val="center"/>
              <w:rPr>
                <w:rFonts w:eastAsia="Calibri"/>
                <w:sz w:val="20"/>
                <w:szCs w:val="20"/>
              </w:rPr>
            </w:pPr>
            <w:r w:rsidRPr="009D5B83">
              <w:rPr>
                <w:rFonts w:eastAsia="Calibri"/>
                <w:sz w:val="20"/>
                <w:szCs w:val="20"/>
              </w:rPr>
              <w:t>96.91</w:t>
            </w:r>
          </w:p>
        </w:tc>
        <w:tc>
          <w:tcPr>
            <w:tcW w:w="1507" w:type="dxa"/>
            <w:vAlign w:val="bottom"/>
          </w:tcPr>
          <w:p w14:paraId="77E38BA6" w14:textId="77777777" w:rsidR="00437C96" w:rsidRPr="009D5B83" w:rsidRDefault="00437C96" w:rsidP="0054320B">
            <w:pPr>
              <w:spacing w:after="60"/>
              <w:contextualSpacing/>
              <w:jc w:val="center"/>
              <w:rPr>
                <w:rFonts w:eastAsia="Calibri"/>
                <w:sz w:val="20"/>
                <w:szCs w:val="20"/>
              </w:rPr>
            </w:pPr>
            <w:r w:rsidRPr="009D5B83">
              <w:rPr>
                <w:rFonts w:eastAsia="Calibri"/>
                <w:sz w:val="20"/>
                <w:szCs w:val="20"/>
              </w:rPr>
              <w:t>121.9*</w:t>
            </w:r>
          </w:p>
        </w:tc>
        <w:tc>
          <w:tcPr>
            <w:tcW w:w="1507" w:type="dxa"/>
            <w:vAlign w:val="bottom"/>
          </w:tcPr>
          <w:p w14:paraId="6F716832" w14:textId="77777777" w:rsidR="00437C96" w:rsidRPr="009D5B83" w:rsidRDefault="00437C96" w:rsidP="0054320B">
            <w:pPr>
              <w:spacing w:after="60"/>
              <w:contextualSpacing/>
              <w:jc w:val="center"/>
              <w:rPr>
                <w:rFonts w:eastAsia="Calibri"/>
                <w:sz w:val="20"/>
                <w:szCs w:val="20"/>
                <w:lang w:val="en-US"/>
              </w:rPr>
            </w:pPr>
            <w:r w:rsidRPr="009D5B83">
              <w:rPr>
                <w:rFonts w:eastAsia="Calibri"/>
                <w:sz w:val="20"/>
                <w:szCs w:val="20"/>
                <w:lang w:val="en-US"/>
              </w:rPr>
              <w:t>-</w:t>
            </w:r>
          </w:p>
        </w:tc>
      </w:tr>
      <w:tr w:rsidR="00437C96" w:rsidRPr="009D5B83" w14:paraId="5AEC5694" w14:textId="77777777" w:rsidTr="008F67BB">
        <w:tc>
          <w:tcPr>
            <w:tcW w:w="2696" w:type="dxa"/>
          </w:tcPr>
          <w:p w14:paraId="4D445F35" w14:textId="77777777" w:rsidR="00437C96" w:rsidRPr="009D5B83" w:rsidRDefault="00437C96" w:rsidP="0054320B">
            <w:pPr>
              <w:spacing w:after="60"/>
              <w:ind w:left="708"/>
              <w:contextualSpacing/>
              <w:jc w:val="both"/>
              <w:rPr>
                <w:rFonts w:eastAsia="Calibri"/>
                <w:sz w:val="20"/>
                <w:szCs w:val="20"/>
                <w:lang w:val="en-US"/>
              </w:rPr>
            </w:pPr>
            <w:r w:rsidRPr="009D5B83">
              <w:rPr>
                <w:rFonts w:eastAsia="Calibri"/>
                <w:sz w:val="20"/>
                <w:szCs w:val="20"/>
                <w:lang w:val="en-US"/>
              </w:rPr>
              <w:t>Urals</w:t>
            </w:r>
          </w:p>
        </w:tc>
        <w:tc>
          <w:tcPr>
            <w:tcW w:w="1625" w:type="dxa"/>
            <w:vAlign w:val="bottom"/>
          </w:tcPr>
          <w:p w14:paraId="53054A7F" w14:textId="77777777" w:rsidR="00437C96" w:rsidRPr="009D5B83" w:rsidRDefault="00437C96" w:rsidP="0054320B">
            <w:pPr>
              <w:spacing w:after="60"/>
              <w:contextualSpacing/>
              <w:jc w:val="center"/>
              <w:rPr>
                <w:rFonts w:eastAsia="Calibri"/>
                <w:sz w:val="20"/>
                <w:szCs w:val="20"/>
              </w:rPr>
            </w:pPr>
            <w:r w:rsidRPr="009D5B83">
              <w:rPr>
                <w:rFonts w:eastAsia="Calibri"/>
                <w:sz w:val="20"/>
                <w:szCs w:val="20"/>
              </w:rPr>
              <w:t>70</w:t>
            </w:r>
            <w:r w:rsidRPr="009D5B83">
              <w:rPr>
                <w:rFonts w:eastAsia="Calibri"/>
                <w:sz w:val="20"/>
                <w:szCs w:val="20"/>
                <w:lang w:val="en-US"/>
              </w:rPr>
              <w:t>.</w:t>
            </w:r>
            <w:r w:rsidRPr="009D5B83">
              <w:rPr>
                <w:rFonts w:eastAsia="Calibri"/>
                <w:sz w:val="20"/>
                <w:szCs w:val="20"/>
              </w:rPr>
              <w:t>1</w:t>
            </w:r>
          </w:p>
        </w:tc>
        <w:tc>
          <w:tcPr>
            <w:tcW w:w="1506" w:type="dxa"/>
            <w:vAlign w:val="bottom"/>
          </w:tcPr>
          <w:p w14:paraId="0D07C69A" w14:textId="77777777" w:rsidR="00437C96" w:rsidRPr="009D5B83" w:rsidRDefault="00437C96" w:rsidP="0054320B">
            <w:pPr>
              <w:spacing w:after="60"/>
              <w:contextualSpacing/>
              <w:jc w:val="center"/>
              <w:rPr>
                <w:rFonts w:eastAsia="Calibri"/>
                <w:sz w:val="20"/>
                <w:szCs w:val="20"/>
              </w:rPr>
            </w:pPr>
          </w:p>
        </w:tc>
        <w:tc>
          <w:tcPr>
            <w:tcW w:w="1507" w:type="dxa"/>
            <w:vAlign w:val="bottom"/>
          </w:tcPr>
          <w:p w14:paraId="7E5ABAF6" w14:textId="77777777" w:rsidR="00437C96" w:rsidRPr="009D5B83" w:rsidRDefault="00437C96" w:rsidP="0054320B">
            <w:pPr>
              <w:spacing w:after="60"/>
              <w:contextualSpacing/>
              <w:jc w:val="center"/>
              <w:rPr>
                <w:rFonts w:eastAsia="Calibri"/>
                <w:sz w:val="20"/>
                <w:szCs w:val="20"/>
              </w:rPr>
            </w:pPr>
          </w:p>
        </w:tc>
        <w:tc>
          <w:tcPr>
            <w:tcW w:w="1507" w:type="dxa"/>
            <w:vAlign w:val="bottom"/>
          </w:tcPr>
          <w:p w14:paraId="79C37855" w14:textId="77777777" w:rsidR="00437C96" w:rsidRPr="009D5B83" w:rsidRDefault="00437C96" w:rsidP="0054320B">
            <w:pPr>
              <w:spacing w:after="60"/>
              <w:contextualSpacing/>
              <w:jc w:val="center"/>
              <w:rPr>
                <w:rFonts w:eastAsia="Calibri"/>
                <w:sz w:val="20"/>
                <w:szCs w:val="20"/>
              </w:rPr>
            </w:pPr>
            <w:r w:rsidRPr="009D5B83">
              <w:rPr>
                <w:rFonts w:eastAsia="Calibri"/>
                <w:sz w:val="20"/>
                <w:szCs w:val="20"/>
              </w:rPr>
              <w:t>70</w:t>
            </w:r>
          </w:p>
        </w:tc>
      </w:tr>
    </w:tbl>
    <w:p w14:paraId="1B77A37E" w14:textId="77777777" w:rsidR="007931B0" w:rsidRPr="009D5B83" w:rsidRDefault="00437C96" w:rsidP="00437C96">
      <w:pPr>
        <w:spacing w:after="60"/>
        <w:ind w:firstLine="709"/>
        <w:contextualSpacing/>
        <w:jc w:val="both"/>
        <w:rPr>
          <w:rFonts w:eastAsia="Calibri"/>
          <w:i/>
          <w:iCs/>
          <w:sz w:val="20"/>
          <w:szCs w:val="20"/>
        </w:rPr>
      </w:pPr>
      <w:r w:rsidRPr="009D5B83">
        <w:rPr>
          <w:rFonts w:eastAsia="Calibri"/>
          <w:i/>
          <w:iCs/>
          <w:sz w:val="20"/>
          <w:szCs w:val="20"/>
        </w:rPr>
        <w:t xml:space="preserve">Примечание: </w:t>
      </w:r>
      <w:r w:rsidRPr="009D5B83">
        <w:rPr>
          <w:rFonts w:eastAsia="Calibri"/>
          <w:sz w:val="20"/>
          <w:szCs w:val="20"/>
        </w:rPr>
        <w:t>* - прогноз на июнь 2022 г.</w:t>
      </w:r>
    </w:p>
    <w:p w14:paraId="37C255CA" w14:textId="374C5811" w:rsidR="00437C96" w:rsidRPr="009D5B83" w:rsidRDefault="00437C96" w:rsidP="00437C96">
      <w:pPr>
        <w:spacing w:after="60"/>
        <w:ind w:firstLine="709"/>
        <w:contextualSpacing/>
        <w:jc w:val="both"/>
        <w:rPr>
          <w:rFonts w:eastAsia="Calibri"/>
          <w:i/>
          <w:iCs/>
          <w:sz w:val="20"/>
          <w:szCs w:val="20"/>
        </w:rPr>
      </w:pPr>
      <w:r w:rsidRPr="009D5B83">
        <w:rPr>
          <w:rFonts w:eastAsia="Calibri"/>
          <w:i/>
          <w:iCs/>
          <w:sz w:val="20"/>
          <w:szCs w:val="20"/>
        </w:rPr>
        <w:t>Источник</w:t>
      </w:r>
      <w:r w:rsidR="00817132">
        <w:rPr>
          <w:rFonts w:eastAsia="Calibri"/>
          <w:i/>
          <w:iCs/>
          <w:sz w:val="20"/>
          <w:szCs w:val="20"/>
        </w:rPr>
        <w:t>:</w:t>
      </w:r>
      <w:r w:rsidRPr="009D5B83">
        <w:rPr>
          <w:rFonts w:eastAsia="Calibri"/>
          <w:i/>
          <w:iCs/>
          <w:sz w:val="20"/>
          <w:szCs w:val="20"/>
        </w:rPr>
        <w:t xml:space="preserve"> </w:t>
      </w:r>
      <w:r w:rsidRPr="009D5B83">
        <w:rPr>
          <w:rFonts w:eastAsia="Calibri"/>
          <w:sz w:val="20"/>
          <w:szCs w:val="20"/>
        </w:rPr>
        <w:t>составлено авторами</w:t>
      </w:r>
      <w:r w:rsidRPr="009D5B83">
        <w:rPr>
          <w:rFonts w:eastAsia="Calibri"/>
          <w:i/>
          <w:iCs/>
          <w:sz w:val="20"/>
          <w:szCs w:val="20"/>
        </w:rPr>
        <w:t>.</w:t>
      </w:r>
    </w:p>
    <w:p w14:paraId="3562010C" w14:textId="77777777" w:rsidR="00437C96" w:rsidRPr="009D5B83" w:rsidRDefault="00437C96" w:rsidP="00437C96">
      <w:pPr>
        <w:spacing w:after="120"/>
        <w:ind w:firstLine="709"/>
        <w:contextualSpacing/>
        <w:jc w:val="both"/>
      </w:pPr>
    </w:p>
    <w:p w14:paraId="0BCEFAF6" w14:textId="77777777" w:rsidR="00437C96" w:rsidRPr="00E103B9" w:rsidRDefault="00437C96" w:rsidP="00437C96">
      <w:pPr>
        <w:spacing w:after="120"/>
        <w:ind w:firstLine="709"/>
        <w:contextualSpacing/>
        <w:jc w:val="both"/>
        <w:rPr>
          <w:sz w:val="28"/>
        </w:rPr>
      </w:pPr>
      <w:r w:rsidRPr="00E103B9">
        <w:rPr>
          <w:sz w:val="28"/>
        </w:rPr>
        <w:t xml:space="preserve">Таким образом, принятый в расчетах доходов федерального бюджета на 2023 г. прогноз цены российской нефти на мировом рынке, с точки зрения текущего положения и сопоставления с другими прогнозами, может рассматриваться как консервативный (сохраняет спред 2022 г. по сравнению с прогнозами по цене на нефть марки </w:t>
      </w:r>
      <w:r w:rsidRPr="00E103B9">
        <w:rPr>
          <w:sz w:val="28"/>
          <w:lang w:val="en-US"/>
        </w:rPr>
        <w:t>Brent</w:t>
      </w:r>
      <w:r w:rsidRPr="00E103B9">
        <w:rPr>
          <w:sz w:val="28"/>
        </w:rPr>
        <w:t>). При этом существует ряд развилок, которые вносят большую неопределенность в перспективы российского энергетического сектора.</w:t>
      </w:r>
    </w:p>
    <w:p w14:paraId="1E7E5B6D" w14:textId="77777777" w:rsidR="00437C96" w:rsidRPr="00E103B9" w:rsidRDefault="00437C96" w:rsidP="00437C96">
      <w:pPr>
        <w:rPr>
          <w:sz w:val="22"/>
          <w:szCs w:val="20"/>
        </w:rPr>
      </w:pPr>
    </w:p>
    <w:p w14:paraId="708636F1" w14:textId="0A900153" w:rsidR="00437C96" w:rsidRPr="00E103B9" w:rsidRDefault="006B103B" w:rsidP="006B103B">
      <w:pPr>
        <w:keepNext/>
        <w:spacing w:after="240"/>
        <w:jc w:val="center"/>
        <w:outlineLvl w:val="1"/>
        <w:rPr>
          <w:b/>
          <w:sz w:val="28"/>
          <w:szCs w:val="20"/>
        </w:rPr>
      </w:pPr>
      <w:bookmarkStart w:id="9" w:name="_Toc116593932"/>
      <w:r w:rsidRPr="00E103B9">
        <w:rPr>
          <w:b/>
          <w:sz w:val="28"/>
          <w:szCs w:val="20"/>
        </w:rPr>
        <w:lastRenderedPageBreak/>
        <w:t>3</w:t>
      </w:r>
      <w:r w:rsidR="00437C96" w:rsidRPr="00E103B9">
        <w:rPr>
          <w:b/>
          <w:sz w:val="28"/>
          <w:szCs w:val="20"/>
        </w:rPr>
        <w:t xml:space="preserve">.3 </w:t>
      </w:r>
      <w:proofErr w:type="spellStart"/>
      <w:r w:rsidR="00437C96" w:rsidRPr="00E103B9">
        <w:rPr>
          <w:b/>
          <w:sz w:val="28"/>
          <w:szCs w:val="20"/>
        </w:rPr>
        <w:t>Ненефтегазовые</w:t>
      </w:r>
      <w:proofErr w:type="spellEnd"/>
      <w:r w:rsidR="00437C96" w:rsidRPr="00E103B9">
        <w:rPr>
          <w:b/>
          <w:sz w:val="28"/>
          <w:szCs w:val="20"/>
        </w:rPr>
        <w:t xml:space="preserve"> доходы</w:t>
      </w:r>
      <w:bookmarkEnd w:id="9"/>
    </w:p>
    <w:p w14:paraId="32A582C9" w14:textId="39BEC8AB" w:rsidR="006B103B" w:rsidRPr="00E103B9" w:rsidRDefault="006B103B" w:rsidP="006B103B">
      <w:pPr>
        <w:spacing w:after="120"/>
        <w:ind w:firstLine="709"/>
        <w:jc w:val="both"/>
        <w:rPr>
          <w:sz w:val="28"/>
          <w:lang w:eastAsia="en-US"/>
        </w:rPr>
      </w:pPr>
      <w:bookmarkStart w:id="10" w:name="_Toc53135990"/>
      <w:r w:rsidRPr="00E103B9">
        <w:rPr>
          <w:sz w:val="28"/>
          <w:lang w:eastAsia="en-US"/>
        </w:rPr>
        <w:t xml:space="preserve">Общий уровень поступлений </w:t>
      </w:r>
      <w:proofErr w:type="spellStart"/>
      <w:r w:rsidRPr="00E103B9">
        <w:rPr>
          <w:sz w:val="28"/>
          <w:lang w:eastAsia="en-US"/>
        </w:rPr>
        <w:t>ненефтегазовых</w:t>
      </w:r>
      <w:proofErr w:type="spellEnd"/>
      <w:r w:rsidRPr="00E103B9">
        <w:rPr>
          <w:sz w:val="28"/>
          <w:lang w:eastAsia="en-US"/>
        </w:rPr>
        <w:t xml:space="preserve"> доходов федерального бюджета в долях ВВП, согласно Законопроекту, вырастет незначительно с 11,0% ВВП в 2022 г. до 11,4% ВВП в 2025 г. (</w:t>
      </w:r>
      <w:r w:rsidRPr="00E103B9">
        <w:rPr>
          <w:i/>
          <w:iCs/>
          <w:sz w:val="28"/>
          <w:lang w:eastAsia="en-US"/>
        </w:rPr>
        <w:t>таблиц</w:t>
      </w:r>
      <w:r w:rsidR="00C473F9" w:rsidRPr="00E103B9">
        <w:rPr>
          <w:i/>
          <w:iCs/>
          <w:sz w:val="28"/>
          <w:lang w:eastAsia="en-US"/>
        </w:rPr>
        <w:t>а</w:t>
      </w:r>
      <w:r w:rsidR="007D5408" w:rsidRPr="00E103B9">
        <w:rPr>
          <w:i/>
          <w:iCs/>
          <w:sz w:val="28"/>
          <w:lang w:eastAsia="en-US"/>
        </w:rPr>
        <w:t xml:space="preserve"> 6</w:t>
      </w:r>
      <w:r w:rsidRPr="00E103B9">
        <w:rPr>
          <w:sz w:val="28"/>
          <w:lang w:eastAsia="en-US"/>
        </w:rPr>
        <w:t>). Далее подробнее остановимся на наиболее финансово значимых для бюджета налогах.</w:t>
      </w:r>
    </w:p>
    <w:p w14:paraId="12972E5E" w14:textId="566A5D07" w:rsidR="006B103B" w:rsidRPr="006B103B" w:rsidRDefault="006B103B" w:rsidP="006B103B">
      <w:pPr>
        <w:keepNext/>
        <w:spacing w:before="120"/>
        <w:jc w:val="right"/>
        <w:rPr>
          <w:bCs/>
          <w:i/>
          <w:szCs w:val="20"/>
        </w:rPr>
      </w:pPr>
      <w:r w:rsidRPr="006B103B">
        <w:rPr>
          <w:bCs/>
          <w:i/>
          <w:szCs w:val="20"/>
        </w:rPr>
        <w:t xml:space="preserve">Таблица </w:t>
      </w:r>
      <w:r w:rsidR="007D5408" w:rsidRPr="009D5B83">
        <w:rPr>
          <w:bCs/>
          <w:i/>
          <w:noProof/>
          <w:szCs w:val="20"/>
        </w:rPr>
        <w:t>6</w:t>
      </w:r>
    </w:p>
    <w:p w14:paraId="4CDA7B5A" w14:textId="77777777" w:rsidR="006B103B" w:rsidRPr="006B103B" w:rsidRDefault="006B103B" w:rsidP="006B103B">
      <w:pPr>
        <w:spacing w:before="60" w:after="120"/>
        <w:jc w:val="center"/>
        <w:rPr>
          <w:rFonts w:eastAsia="Calibri"/>
          <w:b/>
          <w:szCs w:val="20"/>
          <w:lang w:eastAsia="en-US"/>
        </w:rPr>
      </w:pPr>
      <w:r w:rsidRPr="006B103B">
        <w:rPr>
          <w:rFonts w:eastAsia="Calibri"/>
          <w:b/>
          <w:szCs w:val="20"/>
          <w:lang w:eastAsia="en-US"/>
        </w:rPr>
        <w:t xml:space="preserve">Поступления </w:t>
      </w:r>
      <w:proofErr w:type="spellStart"/>
      <w:r w:rsidRPr="006B103B">
        <w:rPr>
          <w:rFonts w:eastAsia="Calibri"/>
          <w:b/>
          <w:szCs w:val="20"/>
          <w:lang w:eastAsia="en-US"/>
        </w:rPr>
        <w:t>ненефтегазовых</w:t>
      </w:r>
      <w:proofErr w:type="spellEnd"/>
      <w:r w:rsidRPr="006B103B">
        <w:rPr>
          <w:rFonts w:eastAsia="Calibri"/>
          <w:b/>
          <w:szCs w:val="20"/>
          <w:lang w:eastAsia="en-US"/>
        </w:rPr>
        <w:t xml:space="preserve"> доходов в федеральный бюджет в 2022-2025 гг.</w:t>
      </w:r>
    </w:p>
    <w:tbl>
      <w:tblPr>
        <w:tblStyle w:val="11"/>
        <w:tblW w:w="9345" w:type="dxa"/>
        <w:tblLook w:val="04A0" w:firstRow="1" w:lastRow="0" w:firstColumn="1" w:lastColumn="0" w:noHBand="0" w:noVBand="1"/>
      </w:tblPr>
      <w:tblGrid>
        <w:gridCol w:w="1922"/>
        <w:gridCol w:w="851"/>
        <w:gridCol w:w="920"/>
        <w:gridCol w:w="1124"/>
        <w:gridCol w:w="844"/>
        <w:gridCol w:w="983"/>
        <w:gridCol w:w="859"/>
        <w:gridCol w:w="983"/>
        <w:gridCol w:w="859"/>
      </w:tblGrid>
      <w:tr w:rsidR="006B103B" w:rsidRPr="003D3DEF" w14:paraId="123FEC4B" w14:textId="77777777" w:rsidTr="00133B80">
        <w:trPr>
          <w:trHeight w:val="315"/>
        </w:trPr>
        <w:tc>
          <w:tcPr>
            <w:tcW w:w="1922" w:type="dxa"/>
            <w:vMerge w:val="restart"/>
            <w:vAlign w:val="center"/>
            <w:hideMark/>
          </w:tcPr>
          <w:p w14:paraId="74BB162A"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Показатель</w:t>
            </w:r>
          </w:p>
        </w:tc>
        <w:tc>
          <w:tcPr>
            <w:tcW w:w="3739" w:type="dxa"/>
            <w:gridSpan w:val="4"/>
            <w:hideMark/>
          </w:tcPr>
          <w:p w14:paraId="484E4DBB" w14:textId="77777777" w:rsidR="006B103B" w:rsidRPr="003D3DEF" w:rsidRDefault="006B103B" w:rsidP="006B103B">
            <w:pPr>
              <w:spacing w:after="60"/>
              <w:jc w:val="center"/>
              <w:rPr>
                <w:rFonts w:ascii="Times New Roman" w:hAnsi="Times New Roman" w:cs="Times New Roman"/>
                <w:b/>
                <w:bCs/>
                <w:i/>
                <w:iCs/>
                <w:color w:val="000000"/>
                <w:sz w:val="20"/>
                <w:szCs w:val="20"/>
              </w:rPr>
            </w:pPr>
            <w:r w:rsidRPr="003D3DEF">
              <w:rPr>
                <w:rFonts w:ascii="Times New Roman" w:hAnsi="Times New Roman" w:cs="Times New Roman"/>
                <w:b/>
                <w:bCs/>
                <w:i/>
                <w:iCs/>
                <w:color w:val="000000"/>
                <w:sz w:val="20"/>
                <w:szCs w:val="20"/>
              </w:rPr>
              <w:t>% к ВВП</w:t>
            </w:r>
          </w:p>
        </w:tc>
        <w:tc>
          <w:tcPr>
            <w:tcW w:w="3684" w:type="dxa"/>
            <w:gridSpan w:val="4"/>
            <w:hideMark/>
          </w:tcPr>
          <w:p w14:paraId="7F08DE2A" w14:textId="77777777" w:rsidR="006B103B" w:rsidRPr="003D3DEF" w:rsidRDefault="006B103B" w:rsidP="006B103B">
            <w:pPr>
              <w:spacing w:after="60"/>
              <w:jc w:val="center"/>
              <w:rPr>
                <w:rFonts w:ascii="Times New Roman" w:hAnsi="Times New Roman" w:cs="Times New Roman"/>
                <w:b/>
                <w:bCs/>
                <w:i/>
                <w:iCs/>
                <w:color w:val="000000"/>
                <w:sz w:val="20"/>
                <w:szCs w:val="20"/>
              </w:rPr>
            </w:pPr>
            <w:r w:rsidRPr="003D3DEF">
              <w:rPr>
                <w:rFonts w:ascii="Times New Roman" w:hAnsi="Times New Roman" w:cs="Times New Roman"/>
                <w:b/>
                <w:bCs/>
                <w:i/>
                <w:iCs/>
                <w:color w:val="000000"/>
                <w:sz w:val="20"/>
                <w:szCs w:val="20"/>
              </w:rPr>
              <w:t>% к итогу</w:t>
            </w:r>
          </w:p>
        </w:tc>
      </w:tr>
      <w:tr w:rsidR="006B103B" w:rsidRPr="003D3DEF" w14:paraId="00A4A902" w14:textId="77777777" w:rsidTr="00133B80">
        <w:trPr>
          <w:trHeight w:val="315"/>
        </w:trPr>
        <w:tc>
          <w:tcPr>
            <w:tcW w:w="1922" w:type="dxa"/>
            <w:vMerge/>
            <w:hideMark/>
          </w:tcPr>
          <w:p w14:paraId="3958B69D" w14:textId="77777777" w:rsidR="006B103B" w:rsidRPr="003D3DEF" w:rsidRDefault="006B103B" w:rsidP="006B103B">
            <w:pPr>
              <w:spacing w:after="60"/>
              <w:rPr>
                <w:rFonts w:ascii="Times New Roman" w:hAnsi="Times New Roman" w:cs="Times New Roman"/>
                <w:color w:val="000000"/>
                <w:sz w:val="20"/>
                <w:szCs w:val="20"/>
              </w:rPr>
            </w:pPr>
          </w:p>
        </w:tc>
        <w:tc>
          <w:tcPr>
            <w:tcW w:w="851" w:type="dxa"/>
            <w:vAlign w:val="center"/>
            <w:hideMark/>
          </w:tcPr>
          <w:p w14:paraId="1B6275CF"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2022 г.</w:t>
            </w:r>
          </w:p>
        </w:tc>
        <w:tc>
          <w:tcPr>
            <w:tcW w:w="920" w:type="dxa"/>
            <w:vAlign w:val="center"/>
            <w:hideMark/>
          </w:tcPr>
          <w:p w14:paraId="2B4E58B2"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2023 г.</w:t>
            </w:r>
          </w:p>
        </w:tc>
        <w:tc>
          <w:tcPr>
            <w:tcW w:w="1124" w:type="dxa"/>
            <w:vAlign w:val="center"/>
            <w:hideMark/>
          </w:tcPr>
          <w:p w14:paraId="77AD7DFA"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2024 г.</w:t>
            </w:r>
          </w:p>
        </w:tc>
        <w:tc>
          <w:tcPr>
            <w:tcW w:w="844" w:type="dxa"/>
            <w:vAlign w:val="center"/>
            <w:hideMark/>
          </w:tcPr>
          <w:p w14:paraId="55C6CD70"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2025 г.</w:t>
            </w:r>
          </w:p>
        </w:tc>
        <w:tc>
          <w:tcPr>
            <w:tcW w:w="983" w:type="dxa"/>
            <w:vAlign w:val="center"/>
            <w:hideMark/>
          </w:tcPr>
          <w:p w14:paraId="46C43800"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2022 г.</w:t>
            </w:r>
          </w:p>
        </w:tc>
        <w:tc>
          <w:tcPr>
            <w:tcW w:w="859" w:type="dxa"/>
            <w:vAlign w:val="center"/>
            <w:hideMark/>
          </w:tcPr>
          <w:p w14:paraId="70A52A91"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2023 г.</w:t>
            </w:r>
          </w:p>
        </w:tc>
        <w:tc>
          <w:tcPr>
            <w:tcW w:w="983" w:type="dxa"/>
            <w:vAlign w:val="center"/>
            <w:hideMark/>
          </w:tcPr>
          <w:p w14:paraId="0B5F0353"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2024 г.</w:t>
            </w:r>
          </w:p>
        </w:tc>
        <w:tc>
          <w:tcPr>
            <w:tcW w:w="859" w:type="dxa"/>
            <w:vAlign w:val="center"/>
            <w:hideMark/>
          </w:tcPr>
          <w:p w14:paraId="570F4A5D"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2025 г.</w:t>
            </w:r>
          </w:p>
        </w:tc>
      </w:tr>
      <w:tr w:rsidR="006B103B" w:rsidRPr="003D3DEF" w14:paraId="59B1B350" w14:textId="77777777" w:rsidTr="00133B80">
        <w:trPr>
          <w:trHeight w:val="315"/>
        </w:trPr>
        <w:tc>
          <w:tcPr>
            <w:tcW w:w="1922" w:type="dxa"/>
            <w:vMerge/>
            <w:hideMark/>
          </w:tcPr>
          <w:p w14:paraId="47F44F53" w14:textId="77777777" w:rsidR="006B103B" w:rsidRPr="003D3DEF" w:rsidRDefault="006B103B" w:rsidP="006B103B">
            <w:pPr>
              <w:spacing w:after="60"/>
              <w:rPr>
                <w:rFonts w:ascii="Times New Roman" w:hAnsi="Times New Roman" w:cs="Times New Roman"/>
                <w:color w:val="000000"/>
                <w:sz w:val="20"/>
                <w:szCs w:val="20"/>
              </w:rPr>
            </w:pPr>
          </w:p>
        </w:tc>
        <w:tc>
          <w:tcPr>
            <w:tcW w:w="851" w:type="dxa"/>
            <w:hideMark/>
          </w:tcPr>
          <w:p w14:paraId="0293F355"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оценка</w:t>
            </w:r>
          </w:p>
        </w:tc>
        <w:tc>
          <w:tcPr>
            <w:tcW w:w="2888" w:type="dxa"/>
            <w:gridSpan w:val="3"/>
            <w:hideMark/>
          </w:tcPr>
          <w:p w14:paraId="00EAAA19"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прогноз</w:t>
            </w:r>
          </w:p>
        </w:tc>
        <w:tc>
          <w:tcPr>
            <w:tcW w:w="983" w:type="dxa"/>
            <w:hideMark/>
          </w:tcPr>
          <w:p w14:paraId="458C26A0"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оценка</w:t>
            </w:r>
          </w:p>
        </w:tc>
        <w:tc>
          <w:tcPr>
            <w:tcW w:w="2701" w:type="dxa"/>
            <w:gridSpan w:val="3"/>
            <w:hideMark/>
          </w:tcPr>
          <w:p w14:paraId="2CB292AD"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прогноз</w:t>
            </w:r>
          </w:p>
        </w:tc>
      </w:tr>
      <w:tr w:rsidR="006B103B" w:rsidRPr="003D3DEF" w14:paraId="2188A8C5" w14:textId="77777777" w:rsidTr="00133B80">
        <w:trPr>
          <w:trHeight w:val="315"/>
        </w:trPr>
        <w:tc>
          <w:tcPr>
            <w:tcW w:w="1922" w:type="dxa"/>
            <w:hideMark/>
          </w:tcPr>
          <w:p w14:paraId="1138F44F" w14:textId="77777777" w:rsidR="006B103B" w:rsidRPr="003D3DEF" w:rsidRDefault="006B103B" w:rsidP="006B103B">
            <w:pPr>
              <w:spacing w:after="60"/>
              <w:jc w:val="both"/>
              <w:rPr>
                <w:rFonts w:ascii="Times New Roman" w:hAnsi="Times New Roman" w:cs="Times New Roman"/>
                <w:b/>
                <w:bCs/>
                <w:iCs/>
                <w:color w:val="000000"/>
                <w:sz w:val="20"/>
                <w:szCs w:val="20"/>
              </w:rPr>
            </w:pPr>
            <w:proofErr w:type="spellStart"/>
            <w:r w:rsidRPr="003D3DEF">
              <w:rPr>
                <w:rFonts w:ascii="Times New Roman" w:hAnsi="Times New Roman" w:cs="Times New Roman"/>
                <w:b/>
                <w:bCs/>
                <w:iCs/>
                <w:color w:val="000000"/>
                <w:sz w:val="20"/>
                <w:szCs w:val="20"/>
              </w:rPr>
              <w:t>Ненефтегазовые</w:t>
            </w:r>
            <w:proofErr w:type="spellEnd"/>
            <w:r w:rsidRPr="003D3DEF">
              <w:rPr>
                <w:rFonts w:ascii="Times New Roman" w:hAnsi="Times New Roman" w:cs="Times New Roman"/>
                <w:b/>
                <w:bCs/>
                <w:iCs/>
                <w:color w:val="000000"/>
                <w:sz w:val="20"/>
                <w:szCs w:val="20"/>
              </w:rPr>
              <w:t xml:space="preserve"> доходы, в </w:t>
            </w:r>
            <w:proofErr w:type="spellStart"/>
            <w:r w:rsidRPr="003D3DEF">
              <w:rPr>
                <w:rFonts w:ascii="Times New Roman" w:hAnsi="Times New Roman" w:cs="Times New Roman"/>
                <w:b/>
                <w:bCs/>
                <w:iCs/>
                <w:color w:val="000000"/>
                <w:sz w:val="20"/>
                <w:szCs w:val="20"/>
              </w:rPr>
              <w:t>т.ч</w:t>
            </w:r>
            <w:proofErr w:type="spellEnd"/>
            <w:r w:rsidRPr="003D3DEF">
              <w:rPr>
                <w:rFonts w:ascii="Times New Roman" w:hAnsi="Times New Roman" w:cs="Times New Roman"/>
                <w:b/>
                <w:bCs/>
                <w:iCs/>
                <w:color w:val="000000"/>
                <w:sz w:val="20"/>
                <w:szCs w:val="20"/>
              </w:rPr>
              <w:t>.:</w:t>
            </w:r>
          </w:p>
        </w:tc>
        <w:tc>
          <w:tcPr>
            <w:tcW w:w="851" w:type="dxa"/>
            <w:noWrap/>
            <w:vAlign w:val="center"/>
            <w:hideMark/>
          </w:tcPr>
          <w:p w14:paraId="510131EC"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11,0</w:t>
            </w:r>
          </w:p>
        </w:tc>
        <w:tc>
          <w:tcPr>
            <w:tcW w:w="920" w:type="dxa"/>
            <w:noWrap/>
            <w:vAlign w:val="center"/>
            <w:hideMark/>
          </w:tcPr>
          <w:p w14:paraId="35E4FF8E"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11,5</w:t>
            </w:r>
          </w:p>
        </w:tc>
        <w:tc>
          <w:tcPr>
            <w:tcW w:w="1124" w:type="dxa"/>
            <w:noWrap/>
            <w:vAlign w:val="center"/>
            <w:hideMark/>
          </w:tcPr>
          <w:p w14:paraId="2D2CB5BE"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11,6</w:t>
            </w:r>
          </w:p>
        </w:tc>
        <w:tc>
          <w:tcPr>
            <w:tcW w:w="844" w:type="dxa"/>
            <w:noWrap/>
            <w:vAlign w:val="center"/>
            <w:hideMark/>
          </w:tcPr>
          <w:p w14:paraId="2744F49F"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11,4</w:t>
            </w:r>
          </w:p>
        </w:tc>
        <w:tc>
          <w:tcPr>
            <w:tcW w:w="983" w:type="dxa"/>
            <w:noWrap/>
            <w:vAlign w:val="center"/>
            <w:hideMark/>
          </w:tcPr>
          <w:p w14:paraId="1B692CE3"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57,9</w:t>
            </w:r>
          </w:p>
        </w:tc>
        <w:tc>
          <w:tcPr>
            <w:tcW w:w="859" w:type="dxa"/>
            <w:noWrap/>
            <w:vAlign w:val="center"/>
            <w:hideMark/>
          </w:tcPr>
          <w:p w14:paraId="2CEBD1FD"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65,8</w:t>
            </w:r>
          </w:p>
        </w:tc>
        <w:tc>
          <w:tcPr>
            <w:tcW w:w="983" w:type="dxa"/>
            <w:noWrap/>
            <w:vAlign w:val="center"/>
            <w:hideMark/>
          </w:tcPr>
          <w:p w14:paraId="6DE3A25C"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68,2</w:t>
            </w:r>
          </w:p>
        </w:tc>
        <w:tc>
          <w:tcPr>
            <w:tcW w:w="859" w:type="dxa"/>
            <w:noWrap/>
            <w:vAlign w:val="center"/>
            <w:hideMark/>
          </w:tcPr>
          <w:p w14:paraId="50D8A040" w14:textId="77777777" w:rsidR="006B103B" w:rsidRPr="003D3DEF" w:rsidRDefault="006B103B" w:rsidP="006B103B">
            <w:pPr>
              <w:spacing w:after="60"/>
              <w:jc w:val="center"/>
              <w:rPr>
                <w:rFonts w:ascii="Times New Roman" w:hAnsi="Times New Roman" w:cs="Times New Roman"/>
                <w:b/>
                <w:bCs/>
                <w:color w:val="000000"/>
                <w:sz w:val="20"/>
                <w:szCs w:val="20"/>
              </w:rPr>
            </w:pPr>
            <w:r w:rsidRPr="003D3DEF">
              <w:rPr>
                <w:rFonts w:ascii="Times New Roman" w:hAnsi="Times New Roman" w:cs="Times New Roman"/>
                <w:b/>
                <w:bCs/>
                <w:color w:val="000000"/>
                <w:sz w:val="20"/>
                <w:szCs w:val="20"/>
              </w:rPr>
              <w:t>69,7</w:t>
            </w:r>
          </w:p>
        </w:tc>
      </w:tr>
      <w:tr w:rsidR="006B103B" w:rsidRPr="003D3DEF" w14:paraId="08709A7D" w14:textId="77777777" w:rsidTr="00133B80">
        <w:trPr>
          <w:trHeight w:val="315"/>
        </w:trPr>
        <w:tc>
          <w:tcPr>
            <w:tcW w:w="1922" w:type="dxa"/>
            <w:hideMark/>
          </w:tcPr>
          <w:p w14:paraId="12BF482A" w14:textId="77777777" w:rsidR="006B103B" w:rsidRPr="003D3DEF" w:rsidRDefault="006B103B" w:rsidP="006B103B">
            <w:pPr>
              <w:spacing w:after="60"/>
              <w:jc w:val="both"/>
              <w:rPr>
                <w:rFonts w:ascii="Times New Roman" w:hAnsi="Times New Roman" w:cs="Times New Roman"/>
                <w:color w:val="000000"/>
                <w:sz w:val="20"/>
                <w:szCs w:val="20"/>
              </w:rPr>
            </w:pPr>
            <w:r w:rsidRPr="003D3DEF">
              <w:rPr>
                <w:rFonts w:ascii="Times New Roman" w:hAnsi="Times New Roman" w:cs="Times New Roman"/>
                <w:color w:val="000000"/>
                <w:sz w:val="20"/>
                <w:szCs w:val="20"/>
              </w:rPr>
              <w:t xml:space="preserve">   НДС, в </w:t>
            </w:r>
            <w:proofErr w:type="spellStart"/>
            <w:r w:rsidRPr="003D3DEF">
              <w:rPr>
                <w:rFonts w:ascii="Times New Roman" w:hAnsi="Times New Roman" w:cs="Times New Roman"/>
                <w:color w:val="000000"/>
                <w:sz w:val="20"/>
                <w:szCs w:val="20"/>
              </w:rPr>
              <w:t>т.ч</w:t>
            </w:r>
            <w:proofErr w:type="spellEnd"/>
            <w:r w:rsidRPr="003D3DEF">
              <w:rPr>
                <w:rFonts w:ascii="Times New Roman" w:hAnsi="Times New Roman" w:cs="Times New Roman"/>
                <w:color w:val="000000"/>
                <w:sz w:val="20"/>
                <w:szCs w:val="20"/>
              </w:rPr>
              <w:t>.:</w:t>
            </w:r>
          </w:p>
        </w:tc>
        <w:tc>
          <w:tcPr>
            <w:tcW w:w="851" w:type="dxa"/>
            <w:noWrap/>
            <w:vAlign w:val="center"/>
            <w:hideMark/>
          </w:tcPr>
          <w:p w14:paraId="4F40286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6,4</w:t>
            </w:r>
          </w:p>
        </w:tc>
        <w:tc>
          <w:tcPr>
            <w:tcW w:w="920" w:type="dxa"/>
            <w:noWrap/>
            <w:vAlign w:val="center"/>
            <w:hideMark/>
          </w:tcPr>
          <w:p w14:paraId="6B5A091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6,9</w:t>
            </w:r>
          </w:p>
        </w:tc>
        <w:tc>
          <w:tcPr>
            <w:tcW w:w="1124" w:type="dxa"/>
            <w:noWrap/>
            <w:vAlign w:val="center"/>
            <w:hideMark/>
          </w:tcPr>
          <w:p w14:paraId="781CDC1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7,0</w:t>
            </w:r>
          </w:p>
        </w:tc>
        <w:tc>
          <w:tcPr>
            <w:tcW w:w="844" w:type="dxa"/>
            <w:noWrap/>
            <w:vAlign w:val="center"/>
            <w:hideMark/>
          </w:tcPr>
          <w:p w14:paraId="0633C1D0"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7,0</w:t>
            </w:r>
          </w:p>
        </w:tc>
        <w:tc>
          <w:tcPr>
            <w:tcW w:w="983" w:type="dxa"/>
            <w:noWrap/>
            <w:vAlign w:val="center"/>
            <w:hideMark/>
          </w:tcPr>
          <w:p w14:paraId="0A9EF440"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34,0</w:t>
            </w:r>
          </w:p>
        </w:tc>
        <w:tc>
          <w:tcPr>
            <w:tcW w:w="859" w:type="dxa"/>
            <w:noWrap/>
            <w:vAlign w:val="center"/>
            <w:hideMark/>
          </w:tcPr>
          <w:p w14:paraId="0F0CEAC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39,9</w:t>
            </w:r>
          </w:p>
        </w:tc>
        <w:tc>
          <w:tcPr>
            <w:tcW w:w="983" w:type="dxa"/>
            <w:noWrap/>
            <w:vAlign w:val="center"/>
            <w:hideMark/>
          </w:tcPr>
          <w:p w14:paraId="7D96CE18"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41,1</w:t>
            </w:r>
          </w:p>
        </w:tc>
        <w:tc>
          <w:tcPr>
            <w:tcW w:w="859" w:type="dxa"/>
            <w:noWrap/>
            <w:vAlign w:val="center"/>
            <w:hideMark/>
          </w:tcPr>
          <w:p w14:paraId="1D6D62B6"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43,1</w:t>
            </w:r>
          </w:p>
        </w:tc>
      </w:tr>
      <w:tr w:rsidR="006B103B" w:rsidRPr="003D3DEF" w14:paraId="11C4FFEB" w14:textId="77777777" w:rsidTr="00133B80">
        <w:trPr>
          <w:trHeight w:val="315"/>
        </w:trPr>
        <w:tc>
          <w:tcPr>
            <w:tcW w:w="1922" w:type="dxa"/>
            <w:hideMark/>
          </w:tcPr>
          <w:p w14:paraId="62E373FE" w14:textId="77777777" w:rsidR="006B103B" w:rsidRPr="003D3DEF" w:rsidRDefault="006B103B" w:rsidP="006B103B">
            <w:pPr>
              <w:spacing w:after="60"/>
              <w:ind w:left="284"/>
              <w:rPr>
                <w:rFonts w:ascii="Times New Roman" w:hAnsi="Times New Roman" w:cs="Times New Roman"/>
                <w:color w:val="000000"/>
                <w:sz w:val="20"/>
                <w:szCs w:val="20"/>
              </w:rPr>
            </w:pPr>
            <w:r w:rsidRPr="003D3DEF">
              <w:rPr>
                <w:rFonts w:ascii="Times New Roman" w:hAnsi="Times New Roman" w:cs="Times New Roman"/>
                <w:color w:val="000000"/>
                <w:sz w:val="20"/>
                <w:szCs w:val="20"/>
              </w:rPr>
              <w:t xml:space="preserve"> НДС (внутренний)</w:t>
            </w:r>
          </w:p>
        </w:tc>
        <w:tc>
          <w:tcPr>
            <w:tcW w:w="851" w:type="dxa"/>
            <w:noWrap/>
            <w:vAlign w:val="center"/>
            <w:hideMark/>
          </w:tcPr>
          <w:p w14:paraId="4AE5B529"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4,3</w:t>
            </w:r>
          </w:p>
        </w:tc>
        <w:tc>
          <w:tcPr>
            <w:tcW w:w="920" w:type="dxa"/>
            <w:noWrap/>
            <w:vAlign w:val="center"/>
            <w:hideMark/>
          </w:tcPr>
          <w:p w14:paraId="6963B039"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4,7</w:t>
            </w:r>
          </w:p>
        </w:tc>
        <w:tc>
          <w:tcPr>
            <w:tcW w:w="1124" w:type="dxa"/>
            <w:noWrap/>
            <w:vAlign w:val="center"/>
            <w:hideMark/>
          </w:tcPr>
          <w:p w14:paraId="306C5BBE"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4,7</w:t>
            </w:r>
          </w:p>
        </w:tc>
        <w:tc>
          <w:tcPr>
            <w:tcW w:w="844" w:type="dxa"/>
            <w:noWrap/>
            <w:vAlign w:val="center"/>
            <w:hideMark/>
          </w:tcPr>
          <w:p w14:paraId="4808441E"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4,7</w:t>
            </w:r>
          </w:p>
        </w:tc>
        <w:tc>
          <w:tcPr>
            <w:tcW w:w="983" w:type="dxa"/>
            <w:noWrap/>
            <w:vAlign w:val="center"/>
            <w:hideMark/>
          </w:tcPr>
          <w:p w14:paraId="002A004E"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22,6</w:t>
            </w:r>
          </w:p>
        </w:tc>
        <w:tc>
          <w:tcPr>
            <w:tcW w:w="859" w:type="dxa"/>
            <w:noWrap/>
            <w:vAlign w:val="center"/>
            <w:hideMark/>
          </w:tcPr>
          <w:p w14:paraId="665A55C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26,7</w:t>
            </w:r>
          </w:p>
        </w:tc>
        <w:tc>
          <w:tcPr>
            <w:tcW w:w="983" w:type="dxa"/>
            <w:noWrap/>
            <w:vAlign w:val="center"/>
            <w:hideMark/>
          </w:tcPr>
          <w:p w14:paraId="329A6C6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27,4</w:t>
            </w:r>
          </w:p>
        </w:tc>
        <w:tc>
          <w:tcPr>
            <w:tcW w:w="859" w:type="dxa"/>
            <w:noWrap/>
            <w:vAlign w:val="center"/>
            <w:hideMark/>
          </w:tcPr>
          <w:p w14:paraId="693E3004"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28,9</w:t>
            </w:r>
          </w:p>
        </w:tc>
      </w:tr>
      <w:tr w:rsidR="006B103B" w:rsidRPr="003D3DEF" w14:paraId="1D97D626" w14:textId="77777777" w:rsidTr="00133B80">
        <w:trPr>
          <w:trHeight w:val="315"/>
        </w:trPr>
        <w:tc>
          <w:tcPr>
            <w:tcW w:w="1922" w:type="dxa"/>
            <w:hideMark/>
          </w:tcPr>
          <w:p w14:paraId="4D9A9484" w14:textId="77777777" w:rsidR="006B103B" w:rsidRPr="003D3DEF" w:rsidRDefault="006B103B" w:rsidP="006B103B">
            <w:pPr>
              <w:spacing w:after="60"/>
              <w:ind w:left="284"/>
              <w:rPr>
                <w:rFonts w:ascii="Times New Roman" w:hAnsi="Times New Roman" w:cs="Times New Roman"/>
                <w:color w:val="000000"/>
                <w:sz w:val="20"/>
                <w:szCs w:val="20"/>
              </w:rPr>
            </w:pPr>
            <w:r w:rsidRPr="003D3DEF">
              <w:rPr>
                <w:rFonts w:ascii="Times New Roman" w:hAnsi="Times New Roman" w:cs="Times New Roman"/>
                <w:color w:val="000000"/>
                <w:sz w:val="20"/>
                <w:szCs w:val="20"/>
              </w:rPr>
              <w:t xml:space="preserve"> НДС</w:t>
            </w:r>
            <w:r w:rsidRPr="003D3DEF">
              <w:rPr>
                <w:rFonts w:ascii="Times New Roman" w:hAnsi="Times New Roman" w:cs="Times New Roman"/>
                <w:color w:val="000000"/>
                <w:sz w:val="20"/>
                <w:szCs w:val="20"/>
                <w:lang w:val="en-US"/>
              </w:rPr>
              <w:t xml:space="preserve"> </w:t>
            </w:r>
            <w:r w:rsidRPr="003D3DEF">
              <w:rPr>
                <w:rFonts w:ascii="Times New Roman" w:hAnsi="Times New Roman" w:cs="Times New Roman"/>
                <w:color w:val="000000"/>
                <w:sz w:val="20"/>
                <w:szCs w:val="20"/>
              </w:rPr>
              <w:t>(импорт)</w:t>
            </w:r>
          </w:p>
        </w:tc>
        <w:tc>
          <w:tcPr>
            <w:tcW w:w="851" w:type="dxa"/>
            <w:noWrap/>
            <w:vAlign w:val="center"/>
            <w:hideMark/>
          </w:tcPr>
          <w:p w14:paraId="3E4063F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2,2</w:t>
            </w:r>
          </w:p>
        </w:tc>
        <w:tc>
          <w:tcPr>
            <w:tcW w:w="920" w:type="dxa"/>
            <w:noWrap/>
            <w:vAlign w:val="center"/>
            <w:hideMark/>
          </w:tcPr>
          <w:p w14:paraId="4748F186"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2,3</w:t>
            </w:r>
          </w:p>
        </w:tc>
        <w:tc>
          <w:tcPr>
            <w:tcW w:w="1124" w:type="dxa"/>
            <w:noWrap/>
            <w:vAlign w:val="center"/>
            <w:hideMark/>
          </w:tcPr>
          <w:p w14:paraId="54666AE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2,3</w:t>
            </w:r>
          </w:p>
        </w:tc>
        <w:tc>
          <w:tcPr>
            <w:tcW w:w="844" w:type="dxa"/>
            <w:noWrap/>
            <w:vAlign w:val="center"/>
            <w:hideMark/>
          </w:tcPr>
          <w:p w14:paraId="781F4BB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2,3</w:t>
            </w:r>
          </w:p>
        </w:tc>
        <w:tc>
          <w:tcPr>
            <w:tcW w:w="983" w:type="dxa"/>
            <w:noWrap/>
            <w:vAlign w:val="center"/>
            <w:hideMark/>
          </w:tcPr>
          <w:p w14:paraId="63A7E59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11,4</w:t>
            </w:r>
          </w:p>
        </w:tc>
        <w:tc>
          <w:tcPr>
            <w:tcW w:w="859" w:type="dxa"/>
            <w:noWrap/>
            <w:vAlign w:val="center"/>
            <w:hideMark/>
          </w:tcPr>
          <w:p w14:paraId="3B1F004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13,2</w:t>
            </w:r>
          </w:p>
        </w:tc>
        <w:tc>
          <w:tcPr>
            <w:tcW w:w="983" w:type="dxa"/>
            <w:noWrap/>
            <w:vAlign w:val="center"/>
            <w:hideMark/>
          </w:tcPr>
          <w:p w14:paraId="2F59C53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13,8</w:t>
            </w:r>
          </w:p>
        </w:tc>
        <w:tc>
          <w:tcPr>
            <w:tcW w:w="859" w:type="dxa"/>
            <w:noWrap/>
            <w:vAlign w:val="center"/>
            <w:hideMark/>
          </w:tcPr>
          <w:p w14:paraId="21F05FC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14,2</w:t>
            </w:r>
          </w:p>
        </w:tc>
      </w:tr>
      <w:tr w:rsidR="006B103B" w:rsidRPr="003D3DEF" w14:paraId="2449C358" w14:textId="77777777" w:rsidTr="00133B80">
        <w:trPr>
          <w:trHeight w:val="315"/>
        </w:trPr>
        <w:tc>
          <w:tcPr>
            <w:tcW w:w="1922" w:type="dxa"/>
            <w:noWrap/>
            <w:hideMark/>
          </w:tcPr>
          <w:p w14:paraId="64FF3CC1" w14:textId="77777777" w:rsidR="006B103B" w:rsidRPr="003D3DEF" w:rsidRDefault="006B103B" w:rsidP="006B103B">
            <w:pPr>
              <w:spacing w:after="60"/>
              <w:ind w:left="113"/>
              <w:jc w:val="both"/>
              <w:rPr>
                <w:rFonts w:ascii="Times New Roman" w:hAnsi="Times New Roman" w:cs="Times New Roman"/>
                <w:color w:val="000000"/>
                <w:sz w:val="20"/>
                <w:szCs w:val="20"/>
              </w:rPr>
            </w:pPr>
            <w:r w:rsidRPr="003D3DEF">
              <w:rPr>
                <w:rFonts w:ascii="Times New Roman" w:hAnsi="Times New Roman" w:cs="Times New Roman"/>
                <w:color w:val="000000"/>
                <w:sz w:val="20"/>
                <w:szCs w:val="20"/>
              </w:rPr>
              <w:t>Налог на прибыль</w:t>
            </w:r>
          </w:p>
        </w:tc>
        <w:tc>
          <w:tcPr>
            <w:tcW w:w="851" w:type="dxa"/>
            <w:noWrap/>
            <w:vAlign w:val="center"/>
            <w:hideMark/>
          </w:tcPr>
          <w:p w14:paraId="2ECAA6D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w:t>
            </w:r>
          </w:p>
        </w:tc>
        <w:tc>
          <w:tcPr>
            <w:tcW w:w="920" w:type="dxa"/>
            <w:noWrap/>
            <w:vAlign w:val="center"/>
            <w:hideMark/>
          </w:tcPr>
          <w:p w14:paraId="2F700B3B"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w:t>
            </w:r>
          </w:p>
        </w:tc>
        <w:tc>
          <w:tcPr>
            <w:tcW w:w="1124" w:type="dxa"/>
            <w:noWrap/>
            <w:vAlign w:val="center"/>
            <w:hideMark/>
          </w:tcPr>
          <w:p w14:paraId="786BB0F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w:t>
            </w:r>
          </w:p>
        </w:tc>
        <w:tc>
          <w:tcPr>
            <w:tcW w:w="844" w:type="dxa"/>
            <w:noWrap/>
            <w:vAlign w:val="center"/>
            <w:hideMark/>
          </w:tcPr>
          <w:p w14:paraId="56701DF0"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1,2</w:t>
            </w:r>
          </w:p>
        </w:tc>
        <w:tc>
          <w:tcPr>
            <w:tcW w:w="983" w:type="dxa"/>
            <w:noWrap/>
            <w:vAlign w:val="center"/>
            <w:hideMark/>
          </w:tcPr>
          <w:p w14:paraId="26395AED"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5,6</w:t>
            </w:r>
          </w:p>
        </w:tc>
        <w:tc>
          <w:tcPr>
            <w:tcW w:w="859" w:type="dxa"/>
            <w:noWrap/>
            <w:vAlign w:val="center"/>
            <w:hideMark/>
          </w:tcPr>
          <w:p w14:paraId="01620EAB"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6,2</w:t>
            </w:r>
          </w:p>
        </w:tc>
        <w:tc>
          <w:tcPr>
            <w:tcW w:w="983" w:type="dxa"/>
            <w:noWrap/>
            <w:vAlign w:val="center"/>
            <w:hideMark/>
          </w:tcPr>
          <w:p w14:paraId="29D95E0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6,7</w:t>
            </w:r>
          </w:p>
        </w:tc>
        <w:tc>
          <w:tcPr>
            <w:tcW w:w="859" w:type="dxa"/>
            <w:noWrap/>
            <w:vAlign w:val="center"/>
            <w:hideMark/>
          </w:tcPr>
          <w:p w14:paraId="12FA382D"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7,0</w:t>
            </w:r>
          </w:p>
        </w:tc>
      </w:tr>
      <w:tr w:rsidR="006B103B" w:rsidRPr="003D3DEF" w14:paraId="1A709ED0" w14:textId="77777777" w:rsidTr="00133B80">
        <w:trPr>
          <w:trHeight w:val="315"/>
        </w:trPr>
        <w:tc>
          <w:tcPr>
            <w:tcW w:w="1922" w:type="dxa"/>
          </w:tcPr>
          <w:p w14:paraId="3CD7D083" w14:textId="77777777" w:rsidR="006B103B" w:rsidRPr="003D3DEF" w:rsidRDefault="006B103B" w:rsidP="006B103B">
            <w:pPr>
              <w:spacing w:after="60"/>
              <w:ind w:left="113"/>
              <w:jc w:val="both"/>
              <w:rPr>
                <w:rFonts w:ascii="Times New Roman" w:hAnsi="Times New Roman" w:cs="Times New Roman"/>
                <w:color w:val="000000"/>
                <w:sz w:val="20"/>
                <w:szCs w:val="20"/>
              </w:rPr>
            </w:pPr>
            <w:r w:rsidRPr="003D3DEF">
              <w:rPr>
                <w:rFonts w:ascii="Times New Roman" w:hAnsi="Times New Roman" w:cs="Times New Roman"/>
                <w:color w:val="000000"/>
                <w:sz w:val="20"/>
                <w:szCs w:val="20"/>
              </w:rPr>
              <w:t>НДФЛ</w:t>
            </w:r>
          </w:p>
        </w:tc>
        <w:tc>
          <w:tcPr>
            <w:tcW w:w="851" w:type="dxa"/>
            <w:noWrap/>
            <w:vAlign w:val="center"/>
          </w:tcPr>
          <w:p w14:paraId="3E670300"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0,1</w:t>
            </w:r>
          </w:p>
        </w:tc>
        <w:tc>
          <w:tcPr>
            <w:tcW w:w="920" w:type="dxa"/>
            <w:noWrap/>
            <w:vAlign w:val="center"/>
          </w:tcPr>
          <w:p w14:paraId="10EAEB39"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0,1</w:t>
            </w:r>
          </w:p>
        </w:tc>
        <w:tc>
          <w:tcPr>
            <w:tcW w:w="1124" w:type="dxa"/>
            <w:noWrap/>
            <w:vAlign w:val="center"/>
          </w:tcPr>
          <w:p w14:paraId="1F4EA37B"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0,2</w:t>
            </w:r>
          </w:p>
        </w:tc>
        <w:tc>
          <w:tcPr>
            <w:tcW w:w="844" w:type="dxa"/>
            <w:noWrap/>
            <w:vAlign w:val="center"/>
          </w:tcPr>
          <w:p w14:paraId="26E25AE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0,2</w:t>
            </w:r>
          </w:p>
        </w:tc>
        <w:tc>
          <w:tcPr>
            <w:tcW w:w="983" w:type="dxa"/>
            <w:noWrap/>
            <w:vAlign w:val="center"/>
          </w:tcPr>
          <w:p w14:paraId="54C56897"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c>
          <w:tcPr>
            <w:tcW w:w="859" w:type="dxa"/>
            <w:noWrap/>
            <w:vAlign w:val="center"/>
          </w:tcPr>
          <w:p w14:paraId="344A568D"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0,6</w:t>
            </w:r>
          </w:p>
        </w:tc>
        <w:tc>
          <w:tcPr>
            <w:tcW w:w="983" w:type="dxa"/>
            <w:noWrap/>
            <w:vAlign w:val="center"/>
          </w:tcPr>
          <w:p w14:paraId="22E73611"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1,0</w:t>
            </w:r>
          </w:p>
        </w:tc>
        <w:tc>
          <w:tcPr>
            <w:tcW w:w="859" w:type="dxa"/>
            <w:noWrap/>
            <w:vAlign w:val="center"/>
          </w:tcPr>
          <w:p w14:paraId="1B11F1A9"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1,0</w:t>
            </w:r>
          </w:p>
        </w:tc>
      </w:tr>
      <w:tr w:rsidR="006B103B" w:rsidRPr="003D3DEF" w14:paraId="5B337803" w14:textId="77777777" w:rsidTr="00133B80">
        <w:trPr>
          <w:trHeight w:val="315"/>
        </w:trPr>
        <w:tc>
          <w:tcPr>
            <w:tcW w:w="1922" w:type="dxa"/>
            <w:hideMark/>
          </w:tcPr>
          <w:p w14:paraId="6D8950CD" w14:textId="77777777" w:rsidR="006B103B" w:rsidRPr="003D3DEF" w:rsidRDefault="006B103B" w:rsidP="006B103B">
            <w:pPr>
              <w:spacing w:after="60"/>
              <w:ind w:left="113"/>
              <w:jc w:val="both"/>
              <w:rPr>
                <w:rFonts w:ascii="Times New Roman" w:hAnsi="Times New Roman" w:cs="Times New Roman"/>
                <w:color w:val="000000"/>
                <w:sz w:val="20"/>
                <w:szCs w:val="20"/>
              </w:rPr>
            </w:pPr>
            <w:r w:rsidRPr="003D3DEF">
              <w:rPr>
                <w:rFonts w:ascii="Times New Roman" w:hAnsi="Times New Roman" w:cs="Times New Roman"/>
                <w:color w:val="000000"/>
                <w:sz w:val="20"/>
                <w:szCs w:val="20"/>
              </w:rPr>
              <w:t>Ввозные пошлины</w:t>
            </w:r>
          </w:p>
        </w:tc>
        <w:tc>
          <w:tcPr>
            <w:tcW w:w="851" w:type="dxa"/>
            <w:noWrap/>
            <w:vAlign w:val="center"/>
            <w:hideMark/>
          </w:tcPr>
          <w:p w14:paraId="47EDAE00"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0,4</w:t>
            </w:r>
          </w:p>
        </w:tc>
        <w:tc>
          <w:tcPr>
            <w:tcW w:w="920" w:type="dxa"/>
            <w:noWrap/>
            <w:vAlign w:val="center"/>
            <w:hideMark/>
          </w:tcPr>
          <w:p w14:paraId="043914A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c>
          <w:tcPr>
            <w:tcW w:w="1124" w:type="dxa"/>
            <w:noWrap/>
            <w:vAlign w:val="center"/>
            <w:hideMark/>
          </w:tcPr>
          <w:p w14:paraId="1CD97481"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c>
          <w:tcPr>
            <w:tcW w:w="844" w:type="dxa"/>
            <w:noWrap/>
            <w:vAlign w:val="center"/>
            <w:hideMark/>
          </w:tcPr>
          <w:p w14:paraId="5D5730A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c>
          <w:tcPr>
            <w:tcW w:w="983" w:type="dxa"/>
            <w:noWrap/>
            <w:vAlign w:val="center"/>
            <w:hideMark/>
          </w:tcPr>
          <w:p w14:paraId="74F38FC6"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2,2</w:t>
            </w:r>
          </w:p>
        </w:tc>
        <w:tc>
          <w:tcPr>
            <w:tcW w:w="859" w:type="dxa"/>
            <w:noWrap/>
            <w:vAlign w:val="center"/>
            <w:hideMark/>
          </w:tcPr>
          <w:p w14:paraId="3EDF95D7"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2,9</w:t>
            </w:r>
          </w:p>
        </w:tc>
        <w:tc>
          <w:tcPr>
            <w:tcW w:w="983" w:type="dxa"/>
            <w:noWrap/>
            <w:vAlign w:val="center"/>
            <w:hideMark/>
          </w:tcPr>
          <w:p w14:paraId="22843D2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3,1</w:t>
            </w:r>
          </w:p>
        </w:tc>
        <w:tc>
          <w:tcPr>
            <w:tcW w:w="859" w:type="dxa"/>
            <w:noWrap/>
            <w:vAlign w:val="center"/>
            <w:hideMark/>
          </w:tcPr>
          <w:p w14:paraId="462A2DF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3,2</w:t>
            </w:r>
          </w:p>
        </w:tc>
      </w:tr>
      <w:tr w:rsidR="006B103B" w:rsidRPr="003D3DEF" w14:paraId="659811F9" w14:textId="77777777" w:rsidTr="00133B80">
        <w:trPr>
          <w:trHeight w:val="315"/>
        </w:trPr>
        <w:tc>
          <w:tcPr>
            <w:tcW w:w="1922" w:type="dxa"/>
            <w:noWrap/>
          </w:tcPr>
          <w:p w14:paraId="608FE5E7" w14:textId="77777777" w:rsidR="006B103B" w:rsidRPr="003D3DEF" w:rsidRDefault="006B103B" w:rsidP="006B103B">
            <w:pPr>
              <w:spacing w:after="60"/>
              <w:ind w:left="113"/>
              <w:jc w:val="both"/>
              <w:rPr>
                <w:rFonts w:ascii="Times New Roman" w:hAnsi="Times New Roman" w:cs="Times New Roman"/>
                <w:color w:val="000000"/>
                <w:sz w:val="20"/>
                <w:szCs w:val="20"/>
              </w:rPr>
            </w:pPr>
            <w:r w:rsidRPr="003D3DEF">
              <w:rPr>
                <w:rFonts w:ascii="Times New Roman" w:hAnsi="Times New Roman" w:cs="Times New Roman"/>
                <w:color w:val="000000"/>
                <w:sz w:val="20"/>
                <w:szCs w:val="20"/>
              </w:rPr>
              <w:t xml:space="preserve">Акцизы, в </w:t>
            </w:r>
            <w:proofErr w:type="spellStart"/>
            <w:r w:rsidRPr="003D3DEF">
              <w:rPr>
                <w:rFonts w:ascii="Times New Roman" w:hAnsi="Times New Roman" w:cs="Times New Roman"/>
                <w:color w:val="000000"/>
                <w:sz w:val="20"/>
                <w:szCs w:val="20"/>
              </w:rPr>
              <w:t>т.ч</w:t>
            </w:r>
            <w:proofErr w:type="spellEnd"/>
            <w:r w:rsidRPr="003D3DEF">
              <w:rPr>
                <w:rFonts w:ascii="Times New Roman" w:hAnsi="Times New Roman" w:cs="Times New Roman"/>
                <w:color w:val="000000"/>
                <w:sz w:val="20"/>
                <w:szCs w:val="20"/>
              </w:rPr>
              <w:t>.:</w:t>
            </w:r>
          </w:p>
        </w:tc>
        <w:tc>
          <w:tcPr>
            <w:tcW w:w="851" w:type="dxa"/>
            <w:noWrap/>
            <w:vAlign w:val="center"/>
          </w:tcPr>
          <w:p w14:paraId="0B73AE74"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0,9</w:t>
            </w:r>
          </w:p>
        </w:tc>
        <w:tc>
          <w:tcPr>
            <w:tcW w:w="920" w:type="dxa"/>
            <w:noWrap/>
            <w:vAlign w:val="center"/>
          </w:tcPr>
          <w:p w14:paraId="6FF86251"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0,8</w:t>
            </w:r>
          </w:p>
        </w:tc>
        <w:tc>
          <w:tcPr>
            <w:tcW w:w="1124" w:type="dxa"/>
            <w:noWrap/>
            <w:vAlign w:val="center"/>
          </w:tcPr>
          <w:p w14:paraId="26E0B6E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0,8</w:t>
            </w:r>
          </w:p>
        </w:tc>
        <w:tc>
          <w:tcPr>
            <w:tcW w:w="844" w:type="dxa"/>
            <w:noWrap/>
            <w:vAlign w:val="center"/>
          </w:tcPr>
          <w:p w14:paraId="15D4E6E1"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0,7</w:t>
            </w:r>
          </w:p>
        </w:tc>
        <w:tc>
          <w:tcPr>
            <w:tcW w:w="983" w:type="dxa"/>
            <w:noWrap/>
            <w:vAlign w:val="center"/>
          </w:tcPr>
          <w:p w14:paraId="23A9F2F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4,4</w:t>
            </w:r>
          </w:p>
        </w:tc>
        <w:tc>
          <w:tcPr>
            <w:tcW w:w="859" w:type="dxa"/>
            <w:noWrap/>
            <w:vAlign w:val="center"/>
          </w:tcPr>
          <w:p w14:paraId="49DBEF6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4,7</w:t>
            </w:r>
          </w:p>
        </w:tc>
        <w:tc>
          <w:tcPr>
            <w:tcW w:w="983" w:type="dxa"/>
            <w:noWrap/>
            <w:vAlign w:val="center"/>
          </w:tcPr>
          <w:p w14:paraId="157B7F2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4,5</w:t>
            </w:r>
          </w:p>
        </w:tc>
        <w:tc>
          <w:tcPr>
            <w:tcW w:w="859" w:type="dxa"/>
            <w:noWrap/>
            <w:vAlign w:val="center"/>
          </w:tcPr>
          <w:p w14:paraId="3DC910D8"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4,6</w:t>
            </w:r>
          </w:p>
        </w:tc>
      </w:tr>
      <w:tr w:rsidR="006B103B" w:rsidRPr="003D3DEF" w14:paraId="00A98A09" w14:textId="77777777" w:rsidTr="00133B80">
        <w:trPr>
          <w:trHeight w:val="315"/>
        </w:trPr>
        <w:tc>
          <w:tcPr>
            <w:tcW w:w="1922" w:type="dxa"/>
            <w:hideMark/>
          </w:tcPr>
          <w:p w14:paraId="15F65FB1" w14:textId="77777777" w:rsidR="006B103B" w:rsidRPr="003D3DEF" w:rsidRDefault="006B103B" w:rsidP="006B103B">
            <w:pPr>
              <w:spacing w:after="60"/>
              <w:ind w:left="284"/>
              <w:rPr>
                <w:rFonts w:ascii="Times New Roman" w:hAnsi="Times New Roman" w:cs="Times New Roman"/>
                <w:color w:val="000000"/>
                <w:sz w:val="20"/>
                <w:szCs w:val="20"/>
              </w:rPr>
            </w:pPr>
            <w:r w:rsidRPr="003D3DEF">
              <w:rPr>
                <w:rFonts w:ascii="Times New Roman" w:hAnsi="Times New Roman" w:cs="Times New Roman"/>
                <w:color w:val="000000"/>
                <w:sz w:val="20"/>
                <w:szCs w:val="20"/>
              </w:rPr>
              <w:t xml:space="preserve">Акцизы (внутренние) </w:t>
            </w:r>
          </w:p>
        </w:tc>
        <w:tc>
          <w:tcPr>
            <w:tcW w:w="851" w:type="dxa"/>
            <w:noWrap/>
            <w:vAlign w:val="center"/>
            <w:hideMark/>
          </w:tcPr>
          <w:p w14:paraId="27C1C1C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0,8</w:t>
            </w:r>
          </w:p>
        </w:tc>
        <w:tc>
          <w:tcPr>
            <w:tcW w:w="920" w:type="dxa"/>
            <w:noWrap/>
            <w:vAlign w:val="center"/>
            <w:hideMark/>
          </w:tcPr>
          <w:p w14:paraId="4F34874D"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0,7</w:t>
            </w:r>
          </w:p>
        </w:tc>
        <w:tc>
          <w:tcPr>
            <w:tcW w:w="1124" w:type="dxa"/>
            <w:noWrap/>
            <w:vAlign w:val="center"/>
            <w:hideMark/>
          </w:tcPr>
          <w:p w14:paraId="2D3766C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0,7</w:t>
            </w:r>
          </w:p>
        </w:tc>
        <w:tc>
          <w:tcPr>
            <w:tcW w:w="844" w:type="dxa"/>
            <w:noWrap/>
            <w:vAlign w:val="center"/>
            <w:hideMark/>
          </w:tcPr>
          <w:p w14:paraId="416F611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0,6</w:t>
            </w:r>
          </w:p>
        </w:tc>
        <w:tc>
          <w:tcPr>
            <w:tcW w:w="983" w:type="dxa"/>
            <w:noWrap/>
            <w:vAlign w:val="center"/>
            <w:hideMark/>
          </w:tcPr>
          <w:p w14:paraId="68EBDBE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4,0</w:t>
            </w:r>
          </w:p>
        </w:tc>
        <w:tc>
          <w:tcPr>
            <w:tcW w:w="859" w:type="dxa"/>
            <w:noWrap/>
            <w:vAlign w:val="center"/>
            <w:hideMark/>
          </w:tcPr>
          <w:p w14:paraId="3B5F5FF8"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4,2</w:t>
            </w:r>
          </w:p>
        </w:tc>
        <w:tc>
          <w:tcPr>
            <w:tcW w:w="983" w:type="dxa"/>
            <w:noWrap/>
            <w:vAlign w:val="center"/>
            <w:hideMark/>
          </w:tcPr>
          <w:p w14:paraId="54F17207"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4,0</w:t>
            </w:r>
          </w:p>
        </w:tc>
        <w:tc>
          <w:tcPr>
            <w:tcW w:w="859" w:type="dxa"/>
            <w:noWrap/>
            <w:vAlign w:val="center"/>
            <w:hideMark/>
          </w:tcPr>
          <w:p w14:paraId="4DB05494"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4,1</w:t>
            </w:r>
          </w:p>
        </w:tc>
      </w:tr>
      <w:tr w:rsidR="006B103B" w:rsidRPr="003D3DEF" w14:paraId="3449F6BE" w14:textId="77777777" w:rsidTr="00133B80">
        <w:trPr>
          <w:trHeight w:val="315"/>
        </w:trPr>
        <w:tc>
          <w:tcPr>
            <w:tcW w:w="1922" w:type="dxa"/>
            <w:noWrap/>
            <w:hideMark/>
          </w:tcPr>
          <w:p w14:paraId="03212DB3" w14:textId="77777777" w:rsidR="006B103B" w:rsidRPr="003D3DEF" w:rsidRDefault="006B103B" w:rsidP="006B103B">
            <w:pPr>
              <w:spacing w:after="60"/>
              <w:ind w:left="284"/>
              <w:rPr>
                <w:rFonts w:ascii="Times New Roman" w:hAnsi="Times New Roman" w:cs="Times New Roman"/>
                <w:color w:val="000000"/>
                <w:sz w:val="20"/>
                <w:szCs w:val="20"/>
              </w:rPr>
            </w:pPr>
            <w:r w:rsidRPr="003D3DEF">
              <w:rPr>
                <w:rFonts w:ascii="Times New Roman" w:hAnsi="Times New Roman" w:cs="Times New Roman"/>
                <w:color w:val="000000"/>
                <w:sz w:val="20"/>
                <w:szCs w:val="20"/>
              </w:rPr>
              <w:t>Акцизы на импорт</w:t>
            </w:r>
          </w:p>
        </w:tc>
        <w:tc>
          <w:tcPr>
            <w:tcW w:w="851" w:type="dxa"/>
            <w:noWrap/>
            <w:vAlign w:val="center"/>
            <w:hideMark/>
          </w:tcPr>
          <w:p w14:paraId="2AE2E8DF"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0,1</w:t>
            </w:r>
          </w:p>
        </w:tc>
        <w:tc>
          <w:tcPr>
            <w:tcW w:w="920" w:type="dxa"/>
            <w:noWrap/>
            <w:vAlign w:val="center"/>
            <w:hideMark/>
          </w:tcPr>
          <w:p w14:paraId="5E0C84DE"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0,1</w:t>
            </w:r>
          </w:p>
        </w:tc>
        <w:tc>
          <w:tcPr>
            <w:tcW w:w="1124" w:type="dxa"/>
            <w:noWrap/>
            <w:vAlign w:val="center"/>
            <w:hideMark/>
          </w:tcPr>
          <w:p w14:paraId="21521FA4"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0,1</w:t>
            </w:r>
          </w:p>
        </w:tc>
        <w:tc>
          <w:tcPr>
            <w:tcW w:w="844" w:type="dxa"/>
            <w:noWrap/>
            <w:vAlign w:val="center"/>
            <w:hideMark/>
          </w:tcPr>
          <w:p w14:paraId="6694906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0,1</w:t>
            </w:r>
          </w:p>
        </w:tc>
        <w:tc>
          <w:tcPr>
            <w:tcW w:w="983" w:type="dxa"/>
            <w:noWrap/>
            <w:vAlign w:val="center"/>
            <w:hideMark/>
          </w:tcPr>
          <w:p w14:paraId="6C7561C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0,4</w:t>
            </w:r>
          </w:p>
        </w:tc>
        <w:tc>
          <w:tcPr>
            <w:tcW w:w="859" w:type="dxa"/>
            <w:noWrap/>
            <w:vAlign w:val="center"/>
            <w:hideMark/>
          </w:tcPr>
          <w:p w14:paraId="6E34709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c>
          <w:tcPr>
            <w:tcW w:w="983" w:type="dxa"/>
            <w:noWrap/>
            <w:vAlign w:val="center"/>
            <w:hideMark/>
          </w:tcPr>
          <w:p w14:paraId="6CCF7F42"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c>
          <w:tcPr>
            <w:tcW w:w="859" w:type="dxa"/>
            <w:noWrap/>
            <w:vAlign w:val="center"/>
            <w:hideMark/>
          </w:tcPr>
          <w:p w14:paraId="6F51E84E"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0,5</w:t>
            </w:r>
          </w:p>
        </w:tc>
      </w:tr>
      <w:tr w:rsidR="006B103B" w:rsidRPr="003D3DEF" w14:paraId="34E0ADC4" w14:textId="77777777" w:rsidTr="00133B80">
        <w:trPr>
          <w:trHeight w:val="315"/>
        </w:trPr>
        <w:tc>
          <w:tcPr>
            <w:tcW w:w="1922" w:type="dxa"/>
            <w:noWrap/>
            <w:hideMark/>
          </w:tcPr>
          <w:p w14:paraId="148B9AFD" w14:textId="77777777" w:rsidR="006B103B" w:rsidRPr="003D3DEF" w:rsidRDefault="006B103B" w:rsidP="006B103B">
            <w:pPr>
              <w:spacing w:after="60"/>
              <w:ind w:left="113"/>
              <w:jc w:val="both"/>
              <w:rPr>
                <w:rFonts w:ascii="Times New Roman" w:hAnsi="Times New Roman" w:cs="Times New Roman"/>
                <w:color w:val="000000"/>
                <w:sz w:val="20"/>
                <w:szCs w:val="20"/>
              </w:rPr>
            </w:pPr>
            <w:r w:rsidRPr="003D3DEF">
              <w:rPr>
                <w:rFonts w:ascii="Times New Roman" w:hAnsi="Times New Roman" w:cs="Times New Roman"/>
                <w:color w:val="000000"/>
                <w:sz w:val="20"/>
                <w:szCs w:val="20"/>
              </w:rPr>
              <w:t>Прочие доходы</w:t>
            </w:r>
          </w:p>
        </w:tc>
        <w:tc>
          <w:tcPr>
            <w:tcW w:w="851" w:type="dxa"/>
            <w:noWrap/>
            <w:vAlign w:val="center"/>
            <w:hideMark/>
          </w:tcPr>
          <w:p w14:paraId="4AC585B8"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2,1</w:t>
            </w:r>
          </w:p>
        </w:tc>
        <w:tc>
          <w:tcPr>
            <w:tcW w:w="920" w:type="dxa"/>
            <w:noWrap/>
            <w:vAlign w:val="center"/>
            <w:hideMark/>
          </w:tcPr>
          <w:p w14:paraId="16A7CB5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2,0</w:t>
            </w:r>
          </w:p>
        </w:tc>
        <w:tc>
          <w:tcPr>
            <w:tcW w:w="1124" w:type="dxa"/>
            <w:noWrap/>
            <w:vAlign w:val="center"/>
            <w:hideMark/>
          </w:tcPr>
          <w:p w14:paraId="3E2FDCB6"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2,0</w:t>
            </w:r>
          </w:p>
        </w:tc>
        <w:tc>
          <w:tcPr>
            <w:tcW w:w="844" w:type="dxa"/>
            <w:noWrap/>
            <w:vAlign w:val="center"/>
            <w:hideMark/>
          </w:tcPr>
          <w:p w14:paraId="4D32F660"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1,8</w:t>
            </w:r>
          </w:p>
        </w:tc>
        <w:tc>
          <w:tcPr>
            <w:tcW w:w="983" w:type="dxa"/>
            <w:noWrap/>
            <w:vAlign w:val="center"/>
            <w:hideMark/>
          </w:tcPr>
          <w:p w14:paraId="3722ACEC"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11,2</w:t>
            </w:r>
          </w:p>
        </w:tc>
        <w:tc>
          <w:tcPr>
            <w:tcW w:w="859" w:type="dxa"/>
            <w:noWrap/>
            <w:vAlign w:val="center"/>
            <w:hideMark/>
          </w:tcPr>
          <w:p w14:paraId="4850B0BA"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11,5</w:t>
            </w:r>
          </w:p>
        </w:tc>
        <w:tc>
          <w:tcPr>
            <w:tcW w:w="983" w:type="dxa"/>
            <w:noWrap/>
            <w:vAlign w:val="center"/>
            <w:hideMark/>
          </w:tcPr>
          <w:p w14:paraId="5A98A4FD"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11,8</w:t>
            </w:r>
          </w:p>
        </w:tc>
        <w:tc>
          <w:tcPr>
            <w:tcW w:w="859" w:type="dxa"/>
            <w:noWrap/>
            <w:vAlign w:val="center"/>
            <w:hideMark/>
          </w:tcPr>
          <w:p w14:paraId="2CFE5A73" w14:textId="77777777" w:rsidR="006B103B" w:rsidRPr="003D3DEF" w:rsidRDefault="006B103B" w:rsidP="006B103B">
            <w:pPr>
              <w:spacing w:after="60"/>
              <w:jc w:val="center"/>
              <w:rPr>
                <w:rFonts w:ascii="Times New Roman" w:hAnsi="Times New Roman" w:cs="Times New Roman"/>
                <w:color w:val="000000"/>
                <w:sz w:val="20"/>
                <w:szCs w:val="20"/>
              </w:rPr>
            </w:pPr>
            <w:r w:rsidRPr="003D3DEF">
              <w:rPr>
                <w:rFonts w:ascii="Times New Roman" w:hAnsi="Times New Roman" w:cs="Times New Roman"/>
                <w:color w:val="000000"/>
                <w:sz w:val="20"/>
                <w:szCs w:val="20"/>
              </w:rPr>
              <w:t>10,7</w:t>
            </w:r>
          </w:p>
        </w:tc>
      </w:tr>
    </w:tbl>
    <w:p w14:paraId="2A7716B0" w14:textId="77777777" w:rsidR="006B103B" w:rsidRPr="006B103B" w:rsidRDefault="006B103B" w:rsidP="006B103B">
      <w:pPr>
        <w:keepLines/>
        <w:spacing w:after="120"/>
        <w:ind w:firstLine="709"/>
        <w:jc w:val="both"/>
        <w:rPr>
          <w:rFonts w:eastAsia="Calibri"/>
          <w:sz w:val="20"/>
          <w:szCs w:val="20"/>
          <w:lang w:eastAsia="en-US"/>
        </w:rPr>
      </w:pPr>
      <w:r w:rsidRPr="006B103B">
        <w:rPr>
          <w:i/>
          <w:sz w:val="20"/>
          <w:szCs w:val="20"/>
        </w:rPr>
        <w:t>Источник:</w:t>
      </w:r>
      <w:r w:rsidRPr="006B103B">
        <w:rPr>
          <w:sz w:val="20"/>
          <w:szCs w:val="20"/>
        </w:rPr>
        <w:t xml:space="preserve"> Пояснительная записка, расчеты авторов.</w:t>
      </w:r>
    </w:p>
    <w:bookmarkEnd w:id="10"/>
    <w:p w14:paraId="72EAE03C" w14:textId="77777777" w:rsidR="00C473F9" w:rsidRPr="00E103B9" w:rsidRDefault="006B103B" w:rsidP="006B103B">
      <w:pPr>
        <w:spacing w:after="120"/>
        <w:ind w:firstLine="709"/>
        <w:jc w:val="both"/>
        <w:rPr>
          <w:b/>
          <w:bCs/>
          <w:sz w:val="28"/>
          <w:lang w:eastAsia="en-US"/>
        </w:rPr>
      </w:pPr>
      <w:r w:rsidRPr="00E103B9">
        <w:rPr>
          <w:b/>
          <w:bCs/>
          <w:i/>
          <w:iCs/>
          <w:sz w:val="28"/>
          <w:lang w:eastAsia="en-US"/>
        </w:rPr>
        <w:t>Налог на добавленную стоимость</w:t>
      </w:r>
    </w:p>
    <w:p w14:paraId="35AE39A7" w14:textId="2E7DB206" w:rsidR="006B103B" w:rsidRPr="00E103B9" w:rsidRDefault="006B103B" w:rsidP="006F170C">
      <w:pPr>
        <w:spacing w:after="60"/>
        <w:ind w:firstLine="709"/>
        <w:jc w:val="both"/>
        <w:rPr>
          <w:sz w:val="28"/>
          <w:lang w:eastAsia="en-US"/>
        </w:rPr>
      </w:pPr>
      <w:r w:rsidRPr="00E103B9">
        <w:rPr>
          <w:sz w:val="28"/>
          <w:lang w:eastAsia="en-US"/>
        </w:rPr>
        <w:t>Прогноз поступлений НДС в федеральный бюджет в 2022-2025 гг. представляется достаточно сбалансированным при прогнозируемых в Пояснительной записке макроэкономических условиях (</w:t>
      </w:r>
      <w:r w:rsidRPr="00E103B9">
        <w:rPr>
          <w:i/>
          <w:iCs/>
          <w:sz w:val="28"/>
          <w:lang w:eastAsia="en-US"/>
        </w:rPr>
        <w:t>таблиц</w:t>
      </w:r>
      <w:r w:rsidR="00C473F9" w:rsidRPr="00E103B9">
        <w:rPr>
          <w:i/>
          <w:iCs/>
          <w:sz w:val="28"/>
          <w:lang w:eastAsia="en-US"/>
        </w:rPr>
        <w:t xml:space="preserve">а </w:t>
      </w:r>
      <w:r w:rsidR="007D5408" w:rsidRPr="00E103B9">
        <w:rPr>
          <w:i/>
          <w:iCs/>
          <w:sz w:val="28"/>
          <w:lang w:eastAsia="en-US"/>
        </w:rPr>
        <w:t>7</w:t>
      </w:r>
      <w:r w:rsidRPr="00E103B9">
        <w:rPr>
          <w:sz w:val="28"/>
          <w:lang w:eastAsia="en-US"/>
        </w:rPr>
        <w:t>). В то же время, как было отмечено в разделе 1 настоящего документа, среднесрочный прогноз социально-экономического развития не учитывает в должной мере всех рисков и, следовательно, избыточно оптимистичен, а потому возможно заметное отклонения налоговых баз по компонентам НДС от ожидаемых значений. В частности, по нашим оценкам, Минфин России закладывает меньший спад импорта в 2022 г</w:t>
      </w:r>
      <w:r w:rsidR="00C473F9" w:rsidRPr="00E103B9">
        <w:rPr>
          <w:sz w:val="28"/>
          <w:lang w:eastAsia="en-US"/>
        </w:rPr>
        <w:t>.</w:t>
      </w:r>
      <w:r w:rsidRPr="00E103B9">
        <w:rPr>
          <w:sz w:val="28"/>
          <w:lang w:eastAsia="en-US"/>
        </w:rPr>
        <w:t xml:space="preserve"> и начало его восстановления уже в 2023 г</w:t>
      </w:r>
      <w:r w:rsidR="00C473F9" w:rsidRPr="00E103B9">
        <w:rPr>
          <w:sz w:val="28"/>
          <w:lang w:eastAsia="en-US"/>
        </w:rPr>
        <w:t>.</w:t>
      </w:r>
      <w:r w:rsidRPr="00E103B9">
        <w:rPr>
          <w:sz w:val="28"/>
          <w:lang w:eastAsia="en-US"/>
        </w:rPr>
        <w:t xml:space="preserve">, хотя условия для такого прогноза достаточно неблагоприятны. В частности, имеют место: </w:t>
      </w:r>
    </w:p>
    <w:p w14:paraId="77E67BBB" w14:textId="77777777" w:rsidR="006B103B" w:rsidRPr="00E103B9" w:rsidRDefault="006B103B" w:rsidP="006F170C">
      <w:pPr>
        <w:spacing w:after="60"/>
        <w:ind w:firstLine="709"/>
        <w:jc w:val="both"/>
        <w:rPr>
          <w:sz w:val="28"/>
          <w:lang w:eastAsia="en-US"/>
        </w:rPr>
      </w:pPr>
      <w:r w:rsidRPr="00E103B9">
        <w:rPr>
          <w:sz w:val="28"/>
          <w:lang w:eastAsia="en-US"/>
        </w:rPr>
        <w:t>- ограничения на импорт в Россию широкой номенклатуры промежуточной продукции и основных средств;</w:t>
      </w:r>
    </w:p>
    <w:p w14:paraId="60259A63" w14:textId="77777777" w:rsidR="006B103B" w:rsidRPr="00E103B9" w:rsidRDefault="006B103B" w:rsidP="006F170C">
      <w:pPr>
        <w:spacing w:after="60"/>
        <w:ind w:firstLine="709"/>
        <w:jc w:val="both"/>
        <w:rPr>
          <w:sz w:val="28"/>
          <w:lang w:eastAsia="en-US"/>
        </w:rPr>
      </w:pPr>
      <w:r w:rsidRPr="00E103B9">
        <w:rPr>
          <w:sz w:val="28"/>
          <w:lang w:eastAsia="en-US"/>
        </w:rPr>
        <w:t>- рост логистических затрат из-за отказа сотрудничества международных судоходных и транспортных компаний и ограниченной мощности портовой инфраструктуры на Дальнем Востоке;</w:t>
      </w:r>
    </w:p>
    <w:p w14:paraId="1DA09FB5" w14:textId="77777777" w:rsidR="006B103B" w:rsidRPr="00E103B9" w:rsidRDefault="006B103B" w:rsidP="006F170C">
      <w:pPr>
        <w:spacing w:after="60"/>
        <w:ind w:firstLine="709"/>
        <w:jc w:val="both"/>
        <w:rPr>
          <w:sz w:val="28"/>
          <w:lang w:eastAsia="en-US"/>
        </w:rPr>
      </w:pPr>
      <w:r w:rsidRPr="00E103B9">
        <w:rPr>
          <w:sz w:val="28"/>
          <w:lang w:eastAsia="en-US"/>
        </w:rPr>
        <w:lastRenderedPageBreak/>
        <w:t>- замена традиционных контрактов параллельным импортом, создающие риски теневого оборота.</w:t>
      </w:r>
    </w:p>
    <w:p w14:paraId="361BB121" w14:textId="77777777" w:rsidR="006B103B" w:rsidRPr="00E103B9" w:rsidRDefault="006B103B" w:rsidP="006F170C">
      <w:pPr>
        <w:spacing w:after="60"/>
        <w:ind w:firstLine="709"/>
        <w:jc w:val="both"/>
        <w:rPr>
          <w:sz w:val="28"/>
          <w:lang w:eastAsia="en-US"/>
        </w:rPr>
      </w:pPr>
      <w:r w:rsidRPr="00E103B9">
        <w:rPr>
          <w:sz w:val="28"/>
          <w:lang w:eastAsia="en-US"/>
        </w:rPr>
        <w:t xml:space="preserve">Как отмечалось ранее, прогноз доходов населения, заложенный в основу оценок Минфина России, занижает уровень инфляционного воздействия, а также влияние роста долговой нагрузки, снижение числа высокооплачиваемых рабочих мест и другие риски. </w:t>
      </w:r>
    </w:p>
    <w:p w14:paraId="5F6718AD" w14:textId="27235F02" w:rsidR="006B103B" w:rsidRPr="00E103B9" w:rsidRDefault="006B103B" w:rsidP="006F170C">
      <w:pPr>
        <w:spacing w:after="60"/>
        <w:ind w:firstLine="709"/>
        <w:jc w:val="both"/>
        <w:rPr>
          <w:sz w:val="28"/>
          <w:lang w:eastAsia="en-US"/>
        </w:rPr>
      </w:pPr>
      <w:r w:rsidRPr="00E103B9">
        <w:rPr>
          <w:sz w:val="28"/>
          <w:lang w:eastAsia="en-US"/>
        </w:rPr>
        <w:t xml:space="preserve">В конечном счете расхождения между нашими оценками и прогнозом Минфина России по НДС на импорт может доходить до 20%, а по НДС на внутреннее потребление – до 6%. В абсолютном выражении федеральный бюджет может не досчитаться порядка 1,0-1,2 </w:t>
      </w:r>
      <w:proofErr w:type="gramStart"/>
      <w:r w:rsidRPr="00E103B9">
        <w:rPr>
          <w:sz w:val="28"/>
          <w:lang w:eastAsia="en-US"/>
        </w:rPr>
        <w:t>трлн</w:t>
      </w:r>
      <w:proofErr w:type="gramEnd"/>
      <w:r w:rsidRPr="00E103B9">
        <w:rPr>
          <w:sz w:val="28"/>
          <w:lang w:eastAsia="en-US"/>
        </w:rPr>
        <w:t xml:space="preserve"> руб</w:t>
      </w:r>
      <w:r w:rsidR="002606E9" w:rsidRPr="00E103B9">
        <w:rPr>
          <w:sz w:val="28"/>
          <w:lang w:eastAsia="en-US"/>
        </w:rPr>
        <w:t xml:space="preserve">. </w:t>
      </w:r>
      <w:r w:rsidRPr="00E103B9">
        <w:rPr>
          <w:sz w:val="28"/>
          <w:lang w:eastAsia="en-US"/>
        </w:rPr>
        <w:t>по НДС ежегодно в 2023-2025 гг.</w:t>
      </w:r>
    </w:p>
    <w:p w14:paraId="112A8EF3" w14:textId="0C7241D4" w:rsidR="006B103B" w:rsidRPr="006B103B" w:rsidRDefault="006B103B" w:rsidP="006B103B">
      <w:pPr>
        <w:spacing w:before="120"/>
        <w:jc w:val="right"/>
        <w:rPr>
          <w:rFonts w:eastAsia="Calibri"/>
          <w:bCs/>
          <w:i/>
          <w:szCs w:val="20"/>
          <w:lang w:eastAsia="en-US"/>
        </w:rPr>
      </w:pPr>
      <w:r w:rsidRPr="006B103B">
        <w:rPr>
          <w:bCs/>
          <w:i/>
          <w:szCs w:val="20"/>
        </w:rPr>
        <w:t xml:space="preserve">Таблица </w:t>
      </w:r>
      <w:r w:rsidR="007D5408" w:rsidRPr="009D5B83">
        <w:rPr>
          <w:bCs/>
          <w:i/>
          <w:noProof/>
          <w:szCs w:val="20"/>
        </w:rPr>
        <w:t>7</w:t>
      </w:r>
    </w:p>
    <w:p w14:paraId="28BABB8C" w14:textId="77777777" w:rsidR="006B103B" w:rsidRPr="006B103B" w:rsidRDefault="006B103B" w:rsidP="006B103B">
      <w:pPr>
        <w:spacing w:before="60" w:after="120"/>
        <w:ind w:firstLine="567"/>
        <w:jc w:val="center"/>
        <w:rPr>
          <w:rFonts w:eastAsia="Calibri"/>
          <w:lang w:eastAsia="en-US"/>
        </w:rPr>
      </w:pPr>
      <w:r w:rsidRPr="006B103B">
        <w:rPr>
          <w:rFonts w:eastAsia="Calibri"/>
          <w:b/>
          <w:szCs w:val="20"/>
          <w:lang w:eastAsia="en-US"/>
        </w:rPr>
        <w:t xml:space="preserve">Сопоставление прогнозов поступления НДС в 2022-2025 гг., </w:t>
      </w:r>
      <w:proofErr w:type="gramStart"/>
      <w:r w:rsidRPr="006B103B">
        <w:rPr>
          <w:rFonts w:eastAsia="Calibri"/>
          <w:b/>
          <w:szCs w:val="20"/>
          <w:lang w:eastAsia="en-US"/>
        </w:rPr>
        <w:t>млрд</w:t>
      </w:r>
      <w:proofErr w:type="gramEnd"/>
      <w:r w:rsidRPr="006B103B">
        <w:rPr>
          <w:rFonts w:eastAsia="Calibri"/>
          <w:b/>
          <w:szCs w:val="20"/>
          <w:lang w:eastAsia="en-US"/>
        </w:rPr>
        <w:t xml:space="preserve"> руб.</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27"/>
        <w:gridCol w:w="1078"/>
        <w:gridCol w:w="56"/>
        <w:gridCol w:w="1050"/>
        <w:gridCol w:w="34"/>
        <w:gridCol w:w="1052"/>
        <w:gridCol w:w="19"/>
        <w:gridCol w:w="1106"/>
      </w:tblGrid>
      <w:tr w:rsidR="006B103B" w:rsidRPr="006B103B" w14:paraId="07CE7629" w14:textId="77777777" w:rsidTr="00133B80">
        <w:trPr>
          <w:trHeight w:val="300"/>
          <w:jc w:val="center"/>
        </w:trPr>
        <w:tc>
          <w:tcPr>
            <w:tcW w:w="4504" w:type="dxa"/>
            <w:shd w:val="clear" w:color="auto" w:fill="auto"/>
            <w:noWrap/>
            <w:vAlign w:val="center"/>
          </w:tcPr>
          <w:p w14:paraId="1EB9B756" w14:textId="77777777" w:rsidR="006B103B" w:rsidRPr="006B103B" w:rsidRDefault="006B103B" w:rsidP="006B103B">
            <w:pPr>
              <w:spacing w:after="60"/>
              <w:jc w:val="center"/>
              <w:rPr>
                <w:b/>
                <w:bCs/>
                <w:sz w:val="20"/>
                <w:szCs w:val="20"/>
              </w:rPr>
            </w:pPr>
            <w:r w:rsidRPr="006B103B">
              <w:rPr>
                <w:b/>
                <w:bCs/>
                <w:sz w:val="20"/>
                <w:szCs w:val="20"/>
              </w:rPr>
              <w:t>Показатель</w:t>
            </w:r>
          </w:p>
        </w:tc>
        <w:tc>
          <w:tcPr>
            <w:tcW w:w="1105" w:type="dxa"/>
            <w:gridSpan w:val="2"/>
            <w:shd w:val="clear" w:color="auto" w:fill="auto"/>
            <w:noWrap/>
            <w:vAlign w:val="center"/>
          </w:tcPr>
          <w:p w14:paraId="55BB3109" w14:textId="77777777" w:rsidR="006B103B" w:rsidRPr="006B103B" w:rsidRDefault="006B103B" w:rsidP="006B103B">
            <w:pPr>
              <w:spacing w:after="60"/>
              <w:jc w:val="center"/>
              <w:rPr>
                <w:sz w:val="20"/>
                <w:szCs w:val="20"/>
              </w:rPr>
            </w:pPr>
            <w:r w:rsidRPr="006B103B">
              <w:rPr>
                <w:rFonts w:eastAsia="Calibri"/>
                <w:b/>
                <w:bCs/>
                <w:color w:val="000000"/>
                <w:sz w:val="20"/>
                <w:szCs w:val="20"/>
              </w:rPr>
              <w:t>2022 г.</w:t>
            </w:r>
          </w:p>
        </w:tc>
        <w:tc>
          <w:tcPr>
            <w:tcW w:w="1106" w:type="dxa"/>
            <w:gridSpan w:val="2"/>
            <w:shd w:val="clear" w:color="auto" w:fill="auto"/>
            <w:noWrap/>
            <w:vAlign w:val="center"/>
          </w:tcPr>
          <w:p w14:paraId="09551B76" w14:textId="77777777" w:rsidR="006B103B" w:rsidRPr="006B103B" w:rsidRDefault="006B103B" w:rsidP="006B103B">
            <w:pPr>
              <w:spacing w:after="60"/>
              <w:jc w:val="center"/>
              <w:rPr>
                <w:sz w:val="20"/>
                <w:szCs w:val="20"/>
              </w:rPr>
            </w:pPr>
            <w:r w:rsidRPr="006B103B">
              <w:rPr>
                <w:rFonts w:eastAsia="Calibri"/>
                <w:b/>
                <w:bCs/>
                <w:color w:val="000000"/>
                <w:sz w:val="20"/>
                <w:szCs w:val="20"/>
              </w:rPr>
              <w:t>2023 г.</w:t>
            </w:r>
          </w:p>
        </w:tc>
        <w:tc>
          <w:tcPr>
            <w:tcW w:w="1105" w:type="dxa"/>
            <w:gridSpan w:val="3"/>
            <w:shd w:val="clear" w:color="auto" w:fill="auto"/>
            <w:noWrap/>
            <w:vAlign w:val="center"/>
          </w:tcPr>
          <w:p w14:paraId="210B34A4" w14:textId="77777777" w:rsidR="006B103B" w:rsidRPr="006B103B" w:rsidRDefault="006B103B" w:rsidP="006B103B">
            <w:pPr>
              <w:spacing w:after="60"/>
              <w:jc w:val="center"/>
              <w:rPr>
                <w:sz w:val="20"/>
                <w:szCs w:val="20"/>
              </w:rPr>
            </w:pPr>
            <w:r w:rsidRPr="006B103B">
              <w:rPr>
                <w:rFonts w:eastAsia="Calibri"/>
                <w:b/>
                <w:bCs/>
                <w:color w:val="000000"/>
                <w:sz w:val="20"/>
                <w:szCs w:val="20"/>
              </w:rPr>
              <w:t>2024 г.</w:t>
            </w:r>
          </w:p>
        </w:tc>
        <w:tc>
          <w:tcPr>
            <w:tcW w:w="1106" w:type="dxa"/>
            <w:shd w:val="clear" w:color="auto" w:fill="auto"/>
            <w:noWrap/>
            <w:vAlign w:val="center"/>
          </w:tcPr>
          <w:p w14:paraId="45EF48F3" w14:textId="77777777" w:rsidR="006B103B" w:rsidRPr="006B103B" w:rsidRDefault="006B103B" w:rsidP="006B103B">
            <w:pPr>
              <w:spacing w:after="60"/>
              <w:jc w:val="center"/>
              <w:rPr>
                <w:sz w:val="20"/>
                <w:szCs w:val="20"/>
              </w:rPr>
            </w:pPr>
            <w:r w:rsidRPr="006B103B">
              <w:rPr>
                <w:rFonts w:eastAsia="Calibri"/>
                <w:b/>
                <w:bCs/>
                <w:color w:val="000000"/>
                <w:sz w:val="20"/>
                <w:szCs w:val="20"/>
              </w:rPr>
              <w:t>2025 г.</w:t>
            </w:r>
          </w:p>
        </w:tc>
      </w:tr>
      <w:tr w:rsidR="006B103B" w:rsidRPr="006B103B" w14:paraId="55F703C7" w14:textId="77777777" w:rsidTr="00133B80">
        <w:trPr>
          <w:trHeight w:val="300"/>
          <w:jc w:val="center"/>
        </w:trPr>
        <w:tc>
          <w:tcPr>
            <w:tcW w:w="8926" w:type="dxa"/>
            <w:gridSpan w:val="9"/>
            <w:shd w:val="clear" w:color="auto" w:fill="auto"/>
            <w:noWrap/>
            <w:vAlign w:val="center"/>
          </w:tcPr>
          <w:p w14:paraId="1697BB3E" w14:textId="77777777" w:rsidR="006B103B" w:rsidRPr="006B103B" w:rsidRDefault="006B103B" w:rsidP="006B103B">
            <w:pPr>
              <w:spacing w:after="60"/>
              <w:jc w:val="center"/>
              <w:rPr>
                <w:b/>
                <w:sz w:val="20"/>
                <w:szCs w:val="20"/>
              </w:rPr>
            </w:pPr>
            <w:r w:rsidRPr="006B103B">
              <w:rPr>
                <w:b/>
                <w:sz w:val="20"/>
                <w:szCs w:val="20"/>
              </w:rPr>
              <w:t>Собственный прогноз</w:t>
            </w:r>
          </w:p>
        </w:tc>
      </w:tr>
      <w:tr w:rsidR="006B103B" w:rsidRPr="006B103B" w14:paraId="2FF3C736" w14:textId="77777777" w:rsidTr="00133B80">
        <w:trPr>
          <w:trHeight w:val="300"/>
          <w:jc w:val="center"/>
        </w:trPr>
        <w:tc>
          <w:tcPr>
            <w:tcW w:w="4504" w:type="dxa"/>
            <w:shd w:val="clear" w:color="auto" w:fill="auto"/>
            <w:noWrap/>
            <w:vAlign w:val="center"/>
            <w:hideMark/>
          </w:tcPr>
          <w:p w14:paraId="0058C35C" w14:textId="77777777" w:rsidR="006B103B" w:rsidRPr="006B103B" w:rsidRDefault="006B103B" w:rsidP="006B103B">
            <w:pPr>
              <w:spacing w:after="60"/>
              <w:rPr>
                <w:sz w:val="20"/>
                <w:szCs w:val="20"/>
              </w:rPr>
            </w:pPr>
            <w:r w:rsidRPr="006B103B">
              <w:rPr>
                <w:sz w:val="20"/>
                <w:szCs w:val="20"/>
              </w:rPr>
              <w:t>НДС на импорт</w:t>
            </w:r>
          </w:p>
        </w:tc>
        <w:tc>
          <w:tcPr>
            <w:tcW w:w="1105" w:type="dxa"/>
            <w:gridSpan w:val="2"/>
            <w:shd w:val="clear" w:color="auto" w:fill="auto"/>
            <w:noWrap/>
            <w:vAlign w:val="bottom"/>
            <w:hideMark/>
          </w:tcPr>
          <w:p w14:paraId="684B60A2" w14:textId="77777777" w:rsidR="006B103B" w:rsidRPr="006B103B" w:rsidRDefault="006B103B" w:rsidP="006B103B">
            <w:pPr>
              <w:spacing w:after="60"/>
              <w:jc w:val="center"/>
              <w:rPr>
                <w:color w:val="000000"/>
                <w:sz w:val="18"/>
                <w:szCs w:val="18"/>
              </w:rPr>
            </w:pPr>
            <w:r w:rsidRPr="006B103B">
              <w:rPr>
                <w:color w:val="000000"/>
                <w:sz w:val="18"/>
                <w:szCs w:val="18"/>
              </w:rPr>
              <w:t xml:space="preserve">2 829  </w:t>
            </w:r>
          </w:p>
        </w:tc>
        <w:tc>
          <w:tcPr>
            <w:tcW w:w="1106" w:type="dxa"/>
            <w:gridSpan w:val="2"/>
            <w:shd w:val="clear" w:color="auto" w:fill="auto"/>
            <w:noWrap/>
            <w:vAlign w:val="bottom"/>
            <w:hideMark/>
          </w:tcPr>
          <w:p w14:paraId="2EC71A3E" w14:textId="77777777" w:rsidR="006B103B" w:rsidRPr="006B103B" w:rsidRDefault="006B103B" w:rsidP="006B103B">
            <w:pPr>
              <w:spacing w:after="60"/>
              <w:jc w:val="center"/>
              <w:rPr>
                <w:color w:val="000000"/>
                <w:sz w:val="18"/>
                <w:szCs w:val="18"/>
              </w:rPr>
            </w:pPr>
            <w:r w:rsidRPr="006B103B">
              <w:rPr>
                <w:color w:val="000000"/>
                <w:sz w:val="18"/>
                <w:szCs w:val="18"/>
              </w:rPr>
              <w:t xml:space="preserve">2 870  </w:t>
            </w:r>
          </w:p>
        </w:tc>
        <w:tc>
          <w:tcPr>
            <w:tcW w:w="1105" w:type="dxa"/>
            <w:gridSpan w:val="3"/>
            <w:shd w:val="clear" w:color="auto" w:fill="auto"/>
            <w:noWrap/>
            <w:vAlign w:val="bottom"/>
            <w:hideMark/>
          </w:tcPr>
          <w:p w14:paraId="27469A43" w14:textId="77777777" w:rsidR="006B103B" w:rsidRPr="006B103B" w:rsidRDefault="006B103B" w:rsidP="006B103B">
            <w:pPr>
              <w:spacing w:after="60"/>
              <w:jc w:val="center"/>
              <w:rPr>
                <w:color w:val="000000"/>
                <w:sz w:val="18"/>
                <w:szCs w:val="18"/>
              </w:rPr>
            </w:pPr>
            <w:r w:rsidRPr="006B103B">
              <w:rPr>
                <w:color w:val="000000"/>
                <w:sz w:val="18"/>
                <w:szCs w:val="18"/>
              </w:rPr>
              <w:t xml:space="preserve">3 081  </w:t>
            </w:r>
          </w:p>
        </w:tc>
        <w:tc>
          <w:tcPr>
            <w:tcW w:w="1106" w:type="dxa"/>
            <w:shd w:val="clear" w:color="auto" w:fill="auto"/>
            <w:noWrap/>
            <w:vAlign w:val="bottom"/>
            <w:hideMark/>
          </w:tcPr>
          <w:p w14:paraId="5A98B8BB" w14:textId="77777777" w:rsidR="006B103B" w:rsidRPr="006B103B" w:rsidRDefault="006B103B" w:rsidP="006B103B">
            <w:pPr>
              <w:spacing w:after="60"/>
              <w:jc w:val="center"/>
              <w:rPr>
                <w:color w:val="000000"/>
                <w:sz w:val="18"/>
                <w:szCs w:val="18"/>
              </w:rPr>
            </w:pPr>
            <w:r w:rsidRPr="006B103B">
              <w:rPr>
                <w:color w:val="000000"/>
                <w:sz w:val="18"/>
                <w:szCs w:val="18"/>
              </w:rPr>
              <w:t xml:space="preserve">3 173  </w:t>
            </w:r>
          </w:p>
        </w:tc>
      </w:tr>
      <w:tr w:rsidR="006B103B" w:rsidRPr="006B103B" w14:paraId="2C817A67" w14:textId="77777777" w:rsidTr="00133B80">
        <w:trPr>
          <w:trHeight w:val="300"/>
          <w:jc w:val="center"/>
        </w:trPr>
        <w:tc>
          <w:tcPr>
            <w:tcW w:w="4504" w:type="dxa"/>
            <w:shd w:val="clear" w:color="auto" w:fill="auto"/>
            <w:noWrap/>
            <w:vAlign w:val="center"/>
            <w:hideMark/>
          </w:tcPr>
          <w:p w14:paraId="362E1DF6" w14:textId="77777777" w:rsidR="006B103B" w:rsidRPr="006B103B" w:rsidRDefault="006B103B" w:rsidP="006B103B">
            <w:pPr>
              <w:spacing w:after="60"/>
              <w:rPr>
                <w:sz w:val="20"/>
                <w:szCs w:val="20"/>
              </w:rPr>
            </w:pPr>
            <w:r w:rsidRPr="006B103B">
              <w:rPr>
                <w:sz w:val="20"/>
                <w:szCs w:val="20"/>
              </w:rPr>
              <w:t>НДС на внутреннее потребление</w:t>
            </w:r>
          </w:p>
        </w:tc>
        <w:tc>
          <w:tcPr>
            <w:tcW w:w="1105" w:type="dxa"/>
            <w:gridSpan w:val="2"/>
            <w:shd w:val="clear" w:color="auto" w:fill="auto"/>
            <w:noWrap/>
            <w:vAlign w:val="bottom"/>
            <w:hideMark/>
          </w:tcPr>
          <w:p w14:paraId="22403AD0" w14:textId="77777777" w:rsidR="006B103B" w:rsidRPr="006B103B" w:rsidRDefault="006B103B" w:rsidP="006B103B">
            <w:pPr>
              <w:spacing w:after="60"/>
              <w:jc w:val="center"/>
              <w:rPr>
                <w:color w:val="000000"/>
                <w:sz w:val="18"/>
                <w:szCs w:val="18"/>
              </w:rPr>
            </w:pPr>
            <w:r w:rsidRPr="006B103B">
              <w:rPr>
                <w:color w:val="000000"/>
                <w:sz w:val="18"/>
                <w:szCs w:val="18"/>
              </w:rPr>
              <w:t xml:space="preserve">6 340  </w:t>
            </w:r>
          </w:p>
        </w:tc>
        <w:tc>
          <w:tcPr>
            <w:tcW w:w="1106" w:type="dxa"/>
            <w:gridSpan w:val="2"/>
            <w:shd w:val="clear" w:color="auto" w:fill="auto"/>
            <w:noWrap/>
            <w:vAlign w:val="bottom"/>
            <w:hideMark/>
          </w:tcPr>
          <w:p w14:paraId="151D0C3D" w14:textId="77777777" w:rsidR="006B103B" w:rsidRPr="006B103B" w:rsidRDefault="006B103B" w:rsidP="006B103B">
            <w:pPr>
              <w:spacing w:after="60"/>
              <w:jc w:val="center"/>
              <w:rPr>
                <w:color w:val="000000"/>
                <w:sz w:val="18"/>
                <w:szCs w:val="18"/>
              </w:rPr>
            </w:pPr>
            <w:r w:rsidRPr="006B103B">
              <w:rPr>
                <w:color w:val="000000"/>
                <w:sz w:val="18"/>
                <w:szCs w:val="18"/>
              </w:rPr>
              <w:t xml:space="preserve">6 559  </w:t>
            </w:r>
          </w:p>
        </w:tc>
        <w:tc>
          <w:tcPr>
            <w:tcW w:w="1105" w:type="dxa"/>
            <w:gridSpan w:val="3"/>
            <w:shd w:val="clear" w:color="auto" w:fill="auto"/>
            <w:noWrap/>
            <w:vAlign w:val="bottom"/>
            <w:hideMark/>
          </w:tcPr>
          <w:p w14:paraId="166B4F5D" w14:textId="77777777" w:rsidR="006B103B" w:rsidRPr="006B103B" w:rsidRDefault="006B103B" w:rsidP="006B103B">
            <w:pPr>
              <w:spacing w:after="60"/>
              <w:jc w:val="center"/>
              <w:rPr>
                <w:color w:val="000000"/>
                <w:sz w:val="18"/>
                <w:szCs w:val="18"/>
              </w:rPr>
            </w:pPr>
            <w:r w:rsidRPr="006B103B">
              <w:rPr>
                <w:color w:val="000000"/>
                <w:sz w:val="18"/>
                <w:szCs w:val="18"/>
              </w:rPr>
              <w:t xml:space="preserve">7 067  </w:t>
            </w:r>
          </w:p>
        </w:tc>
        <w:tc>
          <w:tcPr>
            <w:tcW w:w="1106" w:type="dxa"/>
            <w:shd w:val="clear" w:color="auto" w:fill="auto"/>
            <w:noWrap/>
            <w:vAlign w:val="bottom"/>
            <w:hideMark/>
          </w:tcPr>
          <w:p w14:paraId="2DD0560A" w14:textId="77777777" w:rsidR="006B103B" w:rsidRPr="006B103B" w:rsidRDefault="006B103B" w:rsidP="006B103B">
            <w:pPr>
              <w:spacing w:after="60"/>
              <w:jc w:val="center"/>
              <w:rPr>
                <w:color w:val="000000"/>
                <w:sz w:val="18"/>
                <w:szCs w:val="18"/>
              </w:rPr>
            </w:pPr>
            <w:r w:rsidRPr="006B103B">
              <w:rPr>
                <w:color w:val="000000"/>
                <w:sz w:val="18"/>
                <w:szCs w:val="18"/>
              </w:rPr>
              <w:t xml:space="preserve">7 668  </w:t>
            </w:r>
          </w:p>
        </w:tc>
      </w:tr>
      <w:tr w:rsidR="006B103B" w:rsidRPr="006B103B" w14:paraId="31F7524D" w14:textId="77777777" w:rsidTr="00133B80">
        <w:trPr>
          <w:trHeight w:val="300"/>
          <w:jc w:val="center"/>
        </w:trPr>
        <w:tc>
          <w:tcPr>
            <w:tcW w:w="8926" w:type="dxa"/>
            <w:gridSpan w:val="9"/>
            <w:shd w:val="clear" w:color="auto" w:fill="auto"/>
            <w:noWrap/>
            <w:vAlign w:val="center"/>
          </w:tcPr>
          <w:p w14:paraId="7E4180CE" w14:textId="77777777" w:rsidR="006B103B" w:rsidRPr="006B103B" w:rsidRDefault="006B103B" w:rsidP="006B103B">
            <w:pPr>
              <w:spacing w:after="60"/>
              <w:jc w:val="center"/>
              <w:rPr>
                <w:b/>
                <w:sz w:val="20"/>
                <w:szCs w:val="20"/>
              </w:rPr>
            </w:pPr>
            <w:r w:rsidRPr="006B103B">
              <w:rPr>
                <w:b/>
                <w:sz w:val="20"/>
                <w:szCs w:val="20"/>
              </w:rPr>
              <w:t>Прогноз Минфина России</w:t>
            </w:r>
          </w:p>
        </w:tc>
      </w:tr>
      <w:tr w:rsidR="006B103B" w:rsidRPr="006B103B" w14:paraId="6F0418DE" w14:textId="77777777" w:rsidTr="00133B80">
        <w:trPr>
          <w:trHeight w:val="300"/>
          <w:jc w:val="center"/>
        </w:trPr>
        <w:tc>
          <w:tcPr>
            <w:tcW w:w="4531" w:type="dxa"/>
            <w:gridSpan w:val="2"/>
            <w:shd w:val="clear" w:color="auto" w:fill="auto"/>
            <w:noWrap/>
            <w:vAlign w:val="center"/>
            <w:hideMark/>
          </w:tcPr>
          <w:p w14:paraId="781D2A5D" w14:textId="77777777" w:rsidR="006B103B" w:rsidRPr="006B103B" w:rsidRDefault="006B103B" w:rsidP="006B103B">
            <w:pPr>
              <w:spacing w:after="60"/>
              <w:rPr>
                <w:sz w:val="20"/>
                <w:szCs w:val="20"/>
              </w:rPr>
            </w:pPr>
            <w:r w:rsidRPr="006B103B">
              <w:rPr>
                <w:sz w:val="20"/>
                <w:szCs w:val="20"/>
              </w:rPr>
              <w:t>НДС на импорт</w:t>
            </w:r>
          </w:p>
        </w:tc>
        <w:tc>
          <w:tcPr>
            <w:tcW w:w="1134" w:type="dxa"/>
            <w:gridSpan w:val="2"/>
            <w:shd w:val="clear" w:color="auto" w:fill="auto"/>
            <w:noWrap/>
            <w:vAlign w:val="bottom"/>
            <w:hideMark/>
          </w:tcPr>
          <w:p w14:paraId="11EF1C30" w14:textId="77777777" w:rsidR="006B103B" w:rsidRPr="006B103B" w:rsidRDefault="006B103B" w:rsidP="006B103B">
            <w:pPr>
              <w:spacing w:after="60"/>
              <w:jc w:val="center"/>
              <w:rPr>
                <w:color w:val="000000"/>
                <w:sz w:val="18"/>
                <w:szCs w:val="18"/>
              </w:rPr>
            </w:pPr>
            <w:r w:rsidRPr="006B103B">
              <w:rPr>
                <w:color w:val="000000"/>
                <w:sz w:val="18"/>
                <w:szCs w:val="18"/>
              </w:rPr>
              <w:t xml:space="preserve">3 159  </w:t>
            </w:r>
          </w:p>
        </w:tc>
        <w:tc>
          <w:tcPr>
            <w:tcW w:w="1084" w:type="dxa"/>
            <w:gridSpan w:val="2"/>
            <w:shd w:val="clear" w:color="auto" w:fill="auto"/>
            <w:noWrap/>
            <w:vAlign w:val="bottom"/>
            <w:hideMark/>
          </w:tcPr>
          <w:p w14:paraId="1D190E38" w14:textId="77777777" w:rsidR="006B103B" w:rsidRPr="006B103B" w:rsidRDefault="006B103B" w:rsidP="006B103B">
            <w:pPr>
              <w:spacing w:after="60"/>
              <w:jc w:val="center"/>
              <w:rPr>
                <w:color w:val="000000"/>
                <w:sz w:val="18"/>
                <w:szCs w:val="18"/>
              </w:rPr>
            </w:pPr>
            <w:r w:rsidRPr="006B103B">
              <w:rPr>
                <w:color w:val="000000"/>
                <w:sz w:val="18"/>
                <w:szCs w:val="18"/>
              </w:rPr>
              <w:t xml:space="preserve">3 449  </w:t>
            </w:r>
          </w:p>
        </w:tc>
        <w:tc>
          <w:tcPr>
            <w:tcW w:w="1052" w:type="dxa"/>
            <w:shd w:val="clear" w:color="auto" w:fill="auto"/>
            <w:noWrap/>
            <w:vAlign w:val="bottom"/>
            <w:hideMark/>
          </w:tcPr>
          <w:p w14:paraId="65433755" w14:textId="77777777" w:rsidR="006B103B" w:rsidRPr="006B103B" w:rsidRDefault="006B103B" w:rsidP="006B103B">
            <w:pPr>
              <w:spacing w:after="60"/>
              <w:jc w:val="center"/>
              <w:rPr>
                <w:color w:val="000000"/>
                <w:sz w:val="18"/>
                <w:szCs w:val="18"/>
              </w:rPr>
            </w:pPr>
            <w:r w:rsidRPr="006B103B">
              <w:rPr>
                <w:color w:val="000000"/>
                <w:sz w:val="18"/>
                <w:szCs w:val="18"/>
              </w:rPr>
              <w:t xml:space="preserve">3 748  </w:t>
            </w:r>
          </w:p>
        </w:tc>
        <w:tc>
          <w:tcPr>
            <w:tcW w:w="1125" w:type="dxa"/>
            <w:gridSpan w:val="2"/>
            <w:shd w:val="clear" w:color="auto" w:fill="auto"/>
            <w:noWrap/>
            <w:vAlign w:val="bottom"/>
            <w:hideMark/>
          </w:tcPr>
          <w:p w14:paraId="5EAEB289" w14:textId="77777777" w:rsidR="006B103B" w:rsidRPr="006B103B" w:rsidRDefault="006B103B" w:rsidP="006B103B">
            <w:pPr>
              <w:spacing w:after="60"/>
              <w:jc w:val="center"/>
              <w:rPr>
                <w:color w:val="000000"/>
                <w:sz w:val="18"/>
                <w:szCs w:val="18"/>
              </w:rPr>
            </w:pPr>
            <w:r w:rsidRPr="006B103B">
              <w:rPr>
                <w:color w:val="000000"/>
                <w:sz w:val="18"/>
                <w:szCs w:val="18"/>
              </w:rPr>
              <w:t xml:space="preserve">3 973  </w:t>
            </w:r>
          </w:p>
        </w:tc>
      </w:tr>
      <w:tr w:rsidR="006B103B" w:rsidRPr="006B103B" w14:paraId="213970F9" w14:textId="77777777" w:rsidTr="00133B80">
        <w:trPr>
          <w:trHeight w:val="300"/>
          <w:jc w:val="center"/>
        </w:trPr>
        <w:tc>
          <w:tcPr>
            <w:tcW w:w="4531" w:type="dxa"/>
            <w:gridSpan w:val="2"/>
            <w:shd w:val="clear" w:color="auto" w:fill="auto"/>
            <w:noWrap/>
            <w:vAlign w:val="center"/>
            <w:hideMark/>
          </w:tcPr>
          <w:p w14:paraId="0B3AFA75" w14:textId="77777777" w:rsidR="006B103B" w:rsidRPr="006B103B" w:rsidRDefault="006B103B" w:rsidP="006B103B">
            <w:pPr>
              <w:spacing w:after="60"/>
              <w:rPr>
                <w:sz w:val="20"/>
                <w:szCs w:val="20"/>
              </w:rPr>
            </w:pPr>
            <w:r w:rsidRPr="006B103B">
              <w:rPr>
                <w:sz w:val="20"/>
                <w:szCs w:val="20"/>
              </w:rPr>
              <w:t>НДС на внутреннее потребление</w:t>
            </w:r>
          </w:p>
        </w:tc>
        <w:tc>
          <w:tcPr>
            <w:tcW w:w="1134" w:type="dxa"/>
            <w:gridSpan w:val="2"/>
            <w:shd w:val="clear" w:color="auto" w:fill="auto"/>
            <w:noWrap/>
            <w:vAlign w:val="bottom"/>
            <w:hideMark/>
          </w:tcPr>
          <w:p w14:paraId="70A70D14" w14:textId="77777777" w:rsidR="006B103B" w:rsidRPr="006B103B" w:rsidRDefault="006B103B" w:rsidP="006B103B">
            <w:pPr>
              <w:spacing w:after="60"/>
              <w:jc w:val="center"/>
              <w:rPr>
                <w:color w:val="000000"/>
                <w:sz w:val="18"/>
                <w:szCs w:val="18"/>
              </w:rPr>
            </w:pPr>
            <w:r w:rsidRPr="006B103B">
              <w:rPr>
                <w:color w:val="000000"/>
                <w:sz w:val="18"/>
                <w:szCs w:val="18"/>
              </w:rPr>
              <w:t xml:space="preserve">6 265  </w:t>
            </w:r>
          </w:p>
        </w:tc>
        <w:tc>
          <w:tcPr>
            <w:tcW w:w="1084" w:type="dxa"/>
            <w:gridSpan w:val="2"/>
            <w:shd w:val="clear" w:color="auto" w:fill="auto"/>
            <w:noWrap/>
            <w:vAlign w:val="bottom"/>
            <w:hideMark/>
          </w:tcPr>
          <w:p w14:paraId="53ADA968" w14:textId="77777777" w:rsidR="006B103B" w:rsidRPr="006B103B" w:rsidRDefault="006B103B" w:rsidP="006B103B">
            <w:pPr>
              <w:spacing w:after="60"/>
              <w:jc w:val="center"/>
              <w:rPr>
                <w:color w:val="000000"/>
                <w:sz w:val="18"/>
                <w:szCs w:val="18"/>
              </w:rPr>
            </w:pPr>
            <w:r w:rsidRPr="006B103B">
              <w:rPr>
                <w:color w:val="000000"/>
                <w:sz w:val="18"/>
                <w:szCs w:val="18"/>
              </w:rPr>
              <w:t xml:space="preserve">6 968  </w:t>
            </w:r>
          </w:p>
        </w:tc>
        <w:tc>
          <w:tcPr>
            <w:tcW w:w="1052" w:type="dxa"/>
            <w:shd w:val="clear" w:color="auto" w:fill="auto"/>
            <w:noWrap/>
            <w:vAlign w:val="bottom"/>
            <w:hideMark/>
          </w:tcPr>
          <w:p w14:paraId="4848DF69" w14:textId="77777777" w:rsidR="006B103B" w:rsidRPr="006B103B" w:rsidRDefault="006B103B" w:rsidP="006B103B">
            <w:pPr>
              <w:spacing w:after="60"/>
              <w:jc w:val="center"/>
              <w:rPr>
                <w:color w:val="000000"/>
                <w:sz w:val="18"/>
                <w:szCs w:val="18"/>
              </w:rPr>
            </w:pPr>
            <w:r w:rsidRPr="006B103B">
              <w:rPr>
                <w:color w:val="000000"/>
                <w:sz w:val="18"/>
                <w:szCs w:val="18"/>
              </w:rPr>
              <w:t xml:space="preserve">7 460  </w:t>
            </w:r>
          </w:p>
        </w:tc>
        <w:tc>
          <w:tcPr>
            <w:tcW w:w="1125" w:type="dxa"/>
            <w:gridSpan w:val="2"/>
            <w:shd w:val="clear" w:color="auto" w:fill="auto"/>
            <w:noWrap/>
            <w:vAlign w:val="bottom"/>
            <w:hideMark/>
          </w:tcPr>
          <w:p w14:paraId="2EAF96D0" w14:textId="77777777" w:rsidR="006B103B" w:rsidRPr="006B103B" w:rsidRDefault="006B103B" w:rsidP="006B103B">
            <w:pPr>
              <w:spacing w:after="60"/>
              <w:jc w:val="center"/>
              <w:rPr>
                <w:color w:val="000000"/>
                <w:sz w:val="18"/>
                <w:szCs w:val="18"/>
              </w:rPr>
            </w:pPr>
            <w:r w:rsidRPr="006B103B">
              <w:rPr>
                <w:color w:val="000000"/>
                <w:sz w:val="18"/>
                <w:szCs w:val="18"/>
              </w:rPr>
              <w:t xml:space="preserve">8 076  </w:t>
            </w:r>
          </w:p>
        </w:tc>
      </w:tr>
    </w:tbl>
    <w:p w14:paraId="33AFB7E8" w14:textId="77777777" w:rsidR="006B103B" w:rsidRPr="006B103B" w:rsidRDefault="006B103B" w:rsidP="006B103B">
      <w:pPr>
        <w:spacing w:after="60"/>
        <w:ind w:firstLine="709"/>
        <w:jc w:val="both"/>
        <w:rPr>
          <w:rFonts w:eastAsia="Calibri"/>
          <w:sz w:val="20"/>
          <w:lang w:eastAsia="en-US"/>
        </w:rPr>
      </w:pPr>
      <w:r w:rsidRPr="006B103B">
        <w:rPr>
          <w:rFonts w:eastAsia="Calibri"/>
          <w:i/>
          <w:sz w:val="20"/>
          <w:lang w:eastAsia="en-US"/>
        </w:rPr>
        <w:t>Источник</w:t>
      </w:r>
      <w:r w:rsidRPr="006B103B">
        <w:rPr>
          <w:rFonts w:eastAsia="Calibri"/>
          <w:sz w:val="20"/>
          <w:lang w:eastAsia="en-US"/>
        </w:rPr>
        <w:t xml:space="preserve">: </w:t>
      </w:r>
      <w:r w:rsidRPr="006B103B">
        <w:rPr>
          <w:sz w:val="20"/>
          <w:szCs w:val="20"/>
        </w:rPr>
        <w:t>Федеральное казначейство</w:t>
      </w:r>
      <w:r w:rsidRPr="006B103B">
        <w:rPr>
          <w:rFonts w:eastAsia="Calibri"/>
          <w:sz w:val="20"/>
          <w:lang w:eastAsia="en-US"/>
        </w:rPr>
        <w:t xml:space="preserve">, </w:t>
      </w:r>
      <w:r w:rsidRPr="006B103B">
        <w:rPr>
          <w:sz w:val="20"/>
        </w:rPr>
        <w:t>Законопроект</w:t>
      </w:r>
      <w:r w:rsidRPr="006B103B">
        <w:rPr>
          <w:rFonts w:eastAsia="Calibri"/>
          <w:sz w:val="20"/>
          <w:lang w:eastAsia="en-US"/>
        </w:rPr>
        <w:t>, расчеты авторов.</w:t>
      </w:r>
    </w:p>
    <w:p w14:paraId="5B2A948D" w14:textId="77777777" w:rsidR="00C473F9" w:rsidRPr="00E103B9" w:rsidRDefault="006B103B" w:rsidP="006F170C">
      <w:pPr>
        <w:spacing w:before="240" w:after="120"/>
        <w:ind w:firstLine="709"/>
        <w:jc w:val="both"/>
        <w:rPr>
          <w:b/>
          <w:bCs/>
          <w:sz w:val="28"/>
          <w:lang w:eastAsia="en-US"/>
        </w:rPr>
      </w:pPr>
      <w:r w:rsidRPr="00E103B9">
        <w:rPr>
          <w:b/>
          <w:bCs/>
          <w:i/>
          <w:iCs/>
          <w:sz w:val="28"/>
          <w:lang w:eastAsia="en-US"/>
        </w:rPr>
        <w:t>Налог на прибыль</w:t>
      </w:r>
    </w:p>
    <w:p w14:paraId="772F02A4" w14:textId="13008681" w:rsidR="006B103B" w:rsidRPr="00E103B9" w:rsidRDefault="006B103B" w:rsidP="006F170C">
      <w:pPr>
        <w:spacing w:after="60"/>
        <w:ind w:firstLine="709"/>
        <w:jc w:val="both"/>
        <w:rPr>
          <w:sz w:val="28"/>
          <w:lang w:eastAsia="en-US"/>
        </w:rPr>
      </w:pPr>
      <w:r w:rsidRPr="00E103B9">
        <w:rPr>
          <w:sz w:val="28"/>
          <w:lang w:eastAsia="en-US"/>
        </w:rPr>
        <w:t xml:space="preserve">Поступления налога на прибыль организаций в федеральный бюджет, согласно Пояснительной записке, прогнозируются: в 2022 г. – в размере 1 564 </w:t>
      </w:r>
      <w:proofErr w:type="gramStart"/>
      <w:r w:rsidRPr="00E103B9">
        <w:rPr>
          <w:sz w:val="28"/>
          <w:lang w:eastAsia="en-US"/>
        </w:rPr>
        <w:t>млрд</w:t>
      </w:r>
      <w:proofErr w:type="gramEnd"/>
      <w:r w:rsidRPr="00E103B9">
        <w:rPr>
          <w:sz w:val="28"/>
          <w:lang w:eastAsia="en-US"/>
        </w:rPr>
        <w:t xml:space="preserve"> руб., в 2023 г. – 1 633 млрд руб., в 2024 г. – 1 823 млрд руб. и в 2025 г. – 1 969 млрд руб. </w:t>
      </w:r>
    </w:p>
    <w:p w14:paraId="618532BB" w14:textId="77777777" w:rsidR="006B103B" w:rsidRPr="00E103B9" w:rsidRDefault="006B103B" w:rsidP="006F170C">
      <w:pPr>
        <w:spacing w:after="60"/>
        <w:ind w:firstLine="709"/>
        <w:jc w:val="both"/>
        <w:rPr>
          <w:sz w:val="28"/>
          <w:lang w:eastAsia="en-US"/>
        </w:rPr>
      </w:pPr>
      <w:r w:rsidRPr="00E103B9">
        <w:rPr>
          <w:sz w:val="28"/>
          <w:lang w:eastAsia="en-US"/>
        </w:rPr>
        <w:t xml:space="preserve">По нашим оценкам, поступления налога на прибыль организаций окажутся в том же прогнозируемом диапазоне: в 2022 г. – в размере 1 610 </w:t>
      </w:r>
      <w:proofErr w:type="gramStart"/>
      <w:r w:rsidRPr="00E103B9">
        <w:rPr>
          <w:sz w:val="28"/>
          <w:lang w:eastAsia="en-US"/>
        </w:rPr>
        <w:t>млрд</w:t>
      </w:r>
      <w:proofErr w:type="gramEnd"/>
      <w:r w:rsidRPr="00E103B9">
        <w:rPr>
          <w:sz w:val="28"/>
          <w:lang w:eastAsia="en-US"/>
        </w:rPr>
        <w:t xml:space="preserve"> руб., в 2023 г. – 1 499 млрд руб., в 2024 г. – 1 696 млрд руб. и в 2025 г. – 1 893 млрд руб.  </w:t>
      </w:r>
    </w:p>
    <w:p w14:paraId="4DF8122A" w14:textId="77777777" w:rsidR="006B103B" w:rsidRPr="00E103B9" w:rsidRDefault="006B103B" w:rsidP="006F170C">
      <w:pPr>
        <w:spacing w:after="60"/>
        <w:ind w:firstLine="709"/>
        <w:jc w:val="both"/>
        <w:rPr>
          <w:sz w:val="28"/>
          <w:lang w:eastAsia="en-US"/>
        </w:rPr>
      </w:pPr>
      <w:r w:rsidRPr="00E103B9">
        <w:rPr>
          <w:sz w:val="28"/>
          <w:lang w:eastAsia="en-US"/>
        </w:rPr>
        <w:t>Как можно видеть, существенных расхождений в оценках с Минфином России нет, однако стоит иметь в виду, что при реализации неблагоприятных условий поступления по налогу на прибыль могут оказаться ниже в силу таких факторов, как (при</w:t>
      </w:r>
      <w:proofErr w:type="gramStart"/>
      <w:r w:rsidRPr="00E103B9">
        <w:rPr>
          <w:sz w:val="28"/>
          <w:lang w:eastAsia="en-US"/>
        </w:rPr>
        <w:t>)о</w:t>
      </w:r>
      <w:proofErr w:type="gramEnd"/>
      <w:r w:rsidRPr="00E103B9">
        <w:rPr>
          <w:sz w:val="28"/>
          <w:lang w:eastAsia="en-US"/>
        </w:rPr>
        <w:t>становка деятельности компаний внутри России и рост издержек из-за ограничений на поставки промежуточной продукции и основных средств из-за рубежа.</w:t>
      </w:r>
    </w:p>
    <w:p w14:paraId="177C0A49" w14:textId="77777777" w:rsidR="00116EE4" w:rsidRPr="00E103B9" w:rsidRDefault="006B103B" w:rsidP="006B103B">
      <w:pPr>
        <w:spacing w:after="120"/>
        <w:ind w:firstLine="709"/>
        <w:jc w:val="both"/>
        <w:rPr>
          <w:b/>
          <w:bCs/>
          <w:i/>
          <w:iCs/>
          <w:sz w:val="28"/>
          <w:lang w:eastAsia="en-US"/>
        </w:rPr>
      </w:pPr>
      <w:r w:rsidRPr="00E103B9">
        <w:rPr>
          <w:b/>
          <w:bCs/>
          <w:i/>
          <w:iCs/>
          <w:sz w:val="28"/>
          <w:lang w:eastAsia="en-US"/>
        </w:rPr>
        <w:t>Акцизы</w:t>
      </w:r>
      <w:r w:rsidRPr="00E103B9">
        <w:rPr>
          <w:b/>
          <w:bCs/>
          <w:sz w:val="28"/>
          <w:lang w:eastAsia="en-US"/>
        </w:rPr>
        <w:t xml:space="preserve"> </w:t>
      </w:r>
      <w:r w:rsidRPr="00E103B9">
        <w:rPr>
          <w:b/>
          <w:bCs/>
          <w:i/>
          <w:iCs/>
          <w:sz w:val="28"/>
          <w:lang w:eastAsia="en-US"/>
        </w:rPr>
        <w:t>на табачную продукцию</w:t>
      </w:r>
    </w:p>
    <w:p w14:paraId="40DDB41E" w14:textId="0B3C48A1" w:rsidR="006B103B" w:rsidRPr="00E103B9" w:rsidRDefault="006B103B" w:rsidP="006F170C">
      <w:pPr>
        <w:spacing w:after="60"/>
        <w:ind w:firstLine="709"/>
        <w:jc w:val="both"/>
        <w:rPr>
          <w:sz w:val="28"/>
          <w:lang w:eastAsia="en-US"/>
        </w:rPr>
      </w:pPr>
      <w:r w:rsidRPr="00E103B9">
        <w:rPr>
          <w:sz w:val="28"/>
          <w:lang w:eastAsia="en-US"/>
        </w:rPr>
        <w:t xml:space="preserve">Согласно Пояснительной записке, в 2023 году доходы федерального бюджета от акцизов на табачную продукцию должны увеличиться на 100 </w:t>
      </w:r>
      <w:proofErr w:type="gramStart"/>
      <w:r w:rsidRPr="00E103B9">
        <w:rPr>
          <w:sz w:val="28"/>
          <w:lang w:eastAsia="en-US"/>
        </w:rPr>
        <w:t>млрд</w:t>
      </w:r>
      <w:proofErr w:type="gramEnd"/>
      <w:r w:rsidRPr="00E103B9">
        <w:rPr>
          <w:sz w:val="28"/>
          <w:lang w:eastAsia="en-US"/>
        </w:rPr>
        <w:t xml:space="preserve"> руб. только в результате предполагаемого улучшения администрирования. Еще 10 </w:t>
      </w:r>
      <w:proofErr w:type="gramStart"/>
      <w:r w:rsidRPr="00E103B9">
        <w:rPr>
          <w:sz w:val="28"/>
          <w:lang w:eastAsia="en-US"/>
        </w:rPr>
        <w:t>млрд</w:t>
      </w:r>
      <w:proofErr w:type="gramEnd"/>
      <w:r w:rsidRPr="00E103B9">
        <w:rPr>
          <w:sz w:val="28"/>
          <w:lang w:eastAsia="en-US"/>
        </w:rPr>
        <w:t xml:space="preserve"> руб. планируется получить за счет увеличения розничных цен. Однако данные оценки кажутся оптимистичными, поскольку не учитывают возможной реализации следующих тенденций:</w:t>
      </w:r>
    </w:p>
    <w:p w14:paraId="1453BB18" w14:textId="77777777" w:rsidR="006B103B" w:rsidRPr="00E103B9" w:rsidRDefault="006B103B" w:rsidP="006F170C">
      <w:pPr>
        <w:spacing w:after="60"/>
        <w:ind w:firstLine="709"/>
        <w:jc w:val="both"/>
        <w:rPr>
          <w:sz w:val="28"/>
          <w:lang w:eastAsia="en-US"/>
        </w:rPr>
      </w:pPr>
      <w:r w:rsidRPr="00E103B9">
        <w:rPr>
          <w:sz w:val="28"/>
          <w:lang w:eastAsia="en-US"/>
        </w:rPr>
        <w:lastRenderedPageBreak/>
        <w:t>- при снижении доходов населения и увеличении цен на табачную продукцию может произойти рост нелегального оборота табачной продукции;</w:t>
      </w:r>
    </w:p>
    <w:p w14:paraId="6B3D332D" w14:textId="77777777" w:rsidR="006B103B" w:rsidRPr="00E103B9" w:rsidRDefault="006B103B" w:rsidP="006F170C">
      <w:pPr>
        <w:spacing w:after="60"/>
        <w:ind w:firstLine="709"/>
        <w:jc w:val="both"/>
        <w:rPr>
          <w:sz w:val="28"/>
        </w:rPr>
      </w:pPr>
      <w:r w:rsidRPr="00E103B9">
        <w:rPr>
          <w:sz w:val="28"/>
          <w:lang w:eastAsia="en-US"/>
        </w:rPr>
        <w:t xml:space="preserve">- внешнеторговые санкции ЕС </w:t>
      </w:r>
      <w:r w:rsidRPr="00E103B9">
        <w:rPr>
          <w:sz w:val="28"/>
        </w:rPr>
        <w:t>в части сигарет (импорта и экспорта), принятые в рамках восьмого пакета мер, накладываются на увеличивающийся избыток мощностей в России;</w:t>
      </w:r>
    </w:p>
    <w:p w14:paraId="25E12CAD" w14:textId="77777777" w:rsidR="006B103B" w:rsidRPr="00E103B9" w:rsidRDefault="006B103B" w:rsidP="006F170C">
      <w:pPr>
        <w:spacing w:after="60"/>
        <w:ind w:firstLine="709"/>
        <w:jc w:val="both"/>
        <w:rPr>
          <w:sz w:val="28"/>
          <w:lang w:eastAsia="en-US"/>
        </w:rPr>
      </w:pPr>
      <w:r w:rsidRPr="00E103B9">
        <w:rPr>
          <w:sz w:val="28"/>
        </w:rPr>
        <w:t xml:space="preserve">- сохраняющийся разрыв в ставках акцизов на табачную продукцию </w:t>
      </w:r>
      <w:r w:rsidRPr="00E103B9">
        <w:rPr>
          <w:sz w:val="28"/>
          <w:lang w:eastAsia="en-US"/>
        </w:rPr>
        <w:t>со странами-партнёрами по ЕАЭС (Казахстан и Беларусь) могут привести к росту трансграничных перевозок табачной продукции в Россию, что выступит в роли источника поставок нелегальной продукции.</w:t>
      </w:r>
    </w:p>
    <w:p w14:paraId="4A7BAEE8" w14:textId="1FFEE7BB" w:rsidR="006B103B" w:rsidRPr="00E103B9" w:rsidRDefault="006B103B" w:rsidP="006F170C">
      <w:pPr>
        <w:spacing w:after="60"/>
        <w:ind w:firstLine="709"/>
        <w:jc w:val="both"/>
        <w:rPr>
          <w:sz w:val="28"/>
          <w:lang w:eastAsia="en-US"/>
        </w:rPr>
      </w:pPr>
      <w:r w:rsidRPr="00E103B9">
        <w:rPr>
          <w:sz w:val="28"/>
          <w:lang w:eastAsia="en-US"/>
        </w:rPr>
        <w:t xml:space="preserve">С учётом этих тенденций поступления от акцизов на табачную продукцию представлены в </w:t>
      </w:r>
      <w:r w:rsidRPr="00E103B9">
        <w:rPr>
          <w:i/>
          <w:iCs/>
          <w:sz w:val="28"/>
          <w:lang w:eastAsia="en-US"/>
        </w:rPr>
        <w:t xml:space="preserve">таблице </w:t>
      </w:r>
      <w:r w:rsidR="007D5408" w:rsidRPr="00E103B9">
        <w:rPr>
          <w:i/>
          <w:iCs/>
          <w:sz w:val="28"/>
          <w:lang w:eastAsia="en-US"/>
        </w:rPr>
        <w:t>8</w:t>
      </w:r>
      <w:r w:rsidRPr="00E103B9">
        <w:rPr>
          <w:sz w:val="28"/>
          <w:lang w:eastAsia="en-US"/>
        </w:rPr>
        <w:t>.</w:t>
      </w:r>
    </w:p>
    <w:p w14:paraId="05F1CDC1" w14:textId="4C7DF4B8" w:rsidR="006B103B" w:rsidRPr="006B103B" w:rsidRDefault="006B103B" w:rsidP="006B103B">
      <w:pPr>
        <w:spacing w:before="120"/>
        <w:jc w:val="right"/>
        <w:rPr>
          <w:rFonts w:eastAsia="Calibri"/>
          <w:bCs/>
          <w:i/>
          <w:szCs w:val="20"/>
          <w:lang w:eastAsia="en-US"/>
        </w:rPr>
      </w:pPr>
      <w:r w:rsidRPr="006B103B">
        <w:rPr>
          <w:bCs/>
          <w:i/>
          <w:szCs w:val="20"/>
        </w:rPr>
        <w:t xml:space="preserve">Таблица </w:t>
      </w:r>
      <w:r w:rsidR="007D5408" w:rsidRPr="009D5B83">
        <w:rPr>
          <w:bCs/>
          <w:i/>
          <w:noProof/>
          <w:szCs w:val="20"/>
        </w:rPr>
        <w:t>8</w:t>
      </w:r>
    </w:p>
    <w:p w14:paraId="286F25EE" w14:textId="77777777" w:rsidR="006B103B" w:rsidRPr="006B103B" w:rsidRDefault="006B103B" w:rsidP="006B103B">
      <w:pPr>
        <w:spacing w:before="60" w:after="120"/>
        <w:ind w:firstLine="567"/>
        <w:jc w:val="center"/>
        <w:rPr>
          <w:rFonts w:eastAsia="Calibri"/>
          <w:b/>
          <w:szCs w:val="20"/>
          <w:lang w:eastAsia="en-US"/>
        </w:rPr>
      </w:pPr>
      <w:proofErr w:type="gramStart"/>
      <w:r w:rsidRPr="006B103B">
        <w:rPr>
          <w:rFonts w:eastAsia="Calibri"/>
          <w:b/>
          <w:szCs w:val="20"/>
          <w:lang w:eastAsia="en-US"/>
        </w:rPr>
        <w:t xml:space="preserve">Прогнозы поступлений акцизов традиционной от табачной продукции (не включая инновационную </w:t>
      </w:r>
      <w:proofErr w:type="spellStart"/>
      <w:r w:rsidRPr="006B103B">
        <w:rPr>
          <w:rFonts w:eastAsia="Calibri"/>
          <w:b/>
          <w:szCs w:val="20"/>
          <w:lang w:eastAsia="en-US"/>
        </w:rPr>
        <w:t>никотинсодержащую</w:t>
      </w:r>
      <w:proofErr w:type="spellEnd"/>
      <w:r w:rsidRPr="006B103B">
        <w:rPr>
          <w:rFonts w:eastAsia="Calibri"/>
          <w:b/>
          <w:szCs w:val="20"/>
          <w:lang w:eastAsia="en-US"/>
        </w:rPr>
        <w:t xml:space="preserve"> продукцию)</w:t>
      </w:r>
      <w:proofErr w:type="gramEnd"/>
    </w:p>
    <w:tbl>
      <w:tblPr>
        <w:tblStyle w:val="11"/>
        <w:tblW w:w="9067" w:type="dxa"/>
        <w:tblLayout w:type="fixed"/>
        <w:tblLook w:val="04A0" w:firstRow="1" w:lastRow="0" w:firstColumn="1" w:lastColumn="0" w:noHBand="0" w:noVBand="1"/>
      </w:tblPr>
      <w:tblGrid>
        <w:gridCol w:w="4690"/>
        <w:gridCol w:w="1094"/>
        <w:gridCol w:w="1094"/>
        <w:gridCol w:w="1094"/>
        <w:gridCol w:w="1095"/>
      </w:tblGrid>
      <w:tr w:rsidR="006B103B" w:rsidRPr="006B103B" w14:paraId="1187BA7D" w14:textId="77777777" w:rsidTr="00D5150A">
        <w:trPr>
          <w:trHeight w:val="315"/>
        </w:trPr>
        <w:tc>
          <w:tcPr>
            <w:tcW w:w="4690" w:type="dxa"/>
            <w:noWrap/>
            <w:hideMark/>
          </w:tcPr>
          <w:p w14:paraId="4B0ED382" w14:textId="574EC81E" w:rsidR="006B103B" w:rsidRPr="006B103B" w:rsidRDefault="006B103B" w:rsidP="006B103B">
            <w:pPr>
              <w:jc w:val="center"/>
              <w:rPr>
                <w:rFonts w:ascii="Times New Roman" w:hAnsi="Times New Roman" w:cs="Times New Roman"/>
                <w:b/>
                <w:bCs/>
                <w:color w:val="000000"/>
                <w:sz w:val="20"/>
                <w:szCs w:val="20"/>
              </w:rPr>
            </w:pPr>
            <w:r w:rsidRPr="009D5B83">
              <w:rPr>
                <w:rFonts w:ascii="Times New Roman" w:hAnsi="Times New Roman" w:cs="Times New Roman"/>
                <w:b/>
                <w:bCs/>
                <w:color w:val="000000"/>
                <w:sz w:val="20"/>
                <w:szCs w:val="20"/>
              </w:rPr>
              <w:t>Показатель</w:t>
            </w:r>
          </w:p>
        </w:tc>
        <w:tc>
          <w:tcPr>
            <w:tcW w:w="1094" w:type="dxa"/>
            <w:noWrap/>
            <w:hideMark/>
          </w:tcPr>
          <w:p w14:paraId="12D4F6F9" w14:textId="364494D0" w:rsidR="006B103B" w:rsidRPr="006B103B" w:rsidRDefault="006B103B" w:rsidP="006B103B">
            <w:pPr>
              <w:jc w:val="center"/>
              <w:rPr>
                <w:rFonts w:ascii="Times New Roman" w:hAnsi="Times New Roman" w:cs="Times New Roman"/>
                <w:b/>
                <w:bCs/>
                <w:color w:val="000000"/>
                <w:sz w:val="20"/>
                <w:szCs w:val="20"/>
              </w:rPr>
            </w:pPr>
            <w:r w:rsidRPr="006B103B">
              <w:rPr>
                <w:rFonts w:ascii="Times New Roman" w:hAnsi="Times New Roman" w:cs="Times New Roman"/>
                <w:b/>
                <w:bCs/>
                <w:color w:val="000000"/>
                <w:sz w:val="20"/>
                <w:szCs w:val="20"/>
              </w:rPr>
              <w:t>2022</w:t>
            </w:r>
            <w:r w:rsidR="0021163F" w:rsidRPr="009D5B83">
              <w:rPr>
                <w:rFonts w:ascii="Times New Roman" w:hAnsi="Times New Roman" w:cs="Times New Roman"/>
                <w:b/>
                <w:bCs/>
                <w:color w:val="000000"/>
                <w:sz w:val="20"/>
                <w:szCs w:val="20"/>
              </w:rPr>
              <w:t xml:space="preserve"> г.</w:t>
            </w:r>
          </w:p>
        </w:tc>
        <w:tc>
          <w:tcPr>
            <w:tcW w:w="1094" w:type="dxa"/>
            <w:noWrap/>
            <w:hideMark/>
          </w:tcPr>
          <w:p w14:paraId="0F1372A5" w14:textId="0189395B" w:rsidR="006B103B" w:rsidRPr="006B103B" w:rsidRDefault="006B103B" w:rsidP="006B103B">
            <w:pPr>
              <w:jc w:val="center"/>
              <w:rPr>
                <w:rFonts w:ascii="Times New Roman" w:hAnsi="Times New Roman" w:cs="Times New Roman"/>
                <w:b/>
                <w:bCs/>
                <w:color w:val="000000"/>
                <w:sz w:val="20"/>
                <w:szCs w:val="20"/>
              </w:rPr>
            </w:pPr>
            <w:r w:rsidRPr="006B103B">
              <w:rPr>
                <w:rFonts w:ascii="Times New Roman" w:hAnsi="Times New Roman" w:cs="Times New Roman"/>
                <w:b/>
                <w:bCs/>
                <w:color w:val="000000"/>
                <w:sz w:val="20"/>
                <w:szCs w:val="20"/>
              </w:rPr>
              <w:t>2023</w:t>
            </w:r>
            <w:r w:rsidR="0021163F" w:rsidRPr="009D5B83">
              <w:rPr>
                <w:rFonts w:ascii="Times New Roman" w:hAnsi="Times New Roman" w:cs="Times New Roman"/>
                <w:b/>
                <w:bCs/>
                <w:color w:val="000000"/>
                <w:sz w:val="20"/>
                <w:szCs w:val="20"/>
              </w:rPr>
              <w:t xml:space="preserve"> г.</w:t>
            </w:r>
          </w:p>
        </w:tc>
        <w:tc>
          <w:tcPr>
            <w:tcW w:w="1094" w:type="dxa"/>
            <w:noWrap/>
            <w:hideMark/>
          </w:tcPr>
          <w:p w14:paraId="7821E2A7" w14:textId="63EFF333" w:rsidR="006B103B" w:rsidRPr="006B103B" w:rsidRDefault="006B103B" w:rsidP="006B103B">
            <w:pPr>
              <w:jc w:val="center"/>
              <w:rPr>
                <w:rFonts w:ascii="Times New Roman" w:hAnsi="Times New Roman" w:cs="Times New Roman"/>
                <w:b/>
                <w:bCs/>
                <w:color w:val="000000"/>
                <w:sz w:val="20"/>
                <w:szCs w:val="20"/>
              </w:rPr>
            </w:pPr>
            <w:r w:rsidRPr="006B103B">
              <w:rPr>
                <w:rFonts w:ascii="Times New Roman" w:hAnsi="Times New Roman" w:cs="Times New Roman"/>
                <w:b/>
                <w:bCs/>
                <w:color w:val="000000"/>
                <w:sz w:val="20"/>
                <w:szCs w:val="20"/>
              </w:rPr>
              <w:t>2024</w:t>
            </w:r>
            <w:r w:rsidR="0021163F" w:rsidRPr="009D5B83">
              <w:rPr>
                <w:rFonts w:ascii="Times New Roman" w:hAnsi="Times New Roman" w:cs="Times New Roman"/>
                <w:b/>
                <w:bCs/>
                <w:color w:val="000000"/>
                <w:sz w:val="20"/>
                <w:szCs w:val="20"/>
              </w:rPr>
              <w:t xml:space="preserve"> г.</w:t>
            </w:r>
          </w:p>
        </w:tc>
        <w:tc>
          <w:tcPr>
            <w:tcW w:w="1095" w:type="dxa"/>
            <w:noWrap/>
            <w:hideMark/>
          </w:tcPr>
          <w:p w14:paraId="47012225" w14:textId="1BF6B506" w:rsidR="006B103B" w:rsidRPr="006B103B" w:rsidRDefault="006B103B" w:rsidP="006B103B">
            <w:pPr>
              <w:jc w:val="center"/>
              <w:rPr>
                <w:rFonts w:ascii="Times New Roman" w:hAnsi="Times New Roman" w:cs="Times New Roman"/>
                <w:b/>
                <w:bCs/>
                <w:color w:val="000000"/>
                <w:sz w:val="20"/>
                <w:szCs w:val="20"/>
              </w:rPr>
            </w:pPr>
            <w:r w:rsidRPr="006B103B">
              <w:rPr>
                <w:rFonts w:ascii="Times New Roman" w:hAnsi="Times New Roman" w:cs="Times New Roman"/>
                <w:b/>
                <w:bCs/>
                <w:color w:val="000000"/>
                <w:sz w:val="20"/>
                <w:szCs w:val="20"/>
              </w:rPr>
              <w:t>2025</w:t>
            </w:r>
            <w:r w:rsidR="0021163F" w:rsidRPr="009D5B83">
              <w:rPr>
                <w:rFonts w:ascii="Times New Roman" w:hAnsi="Times New Roman" w:cs="Times New Roman"/>
                <w:b/>
                <w:bCs/>
                <w:color w:val="000000"/>
                <w:sz w:val="20"/>
                <w:szCs w:val="20"/>
              </w:rPr>
              <w:t xml:space="preserve"> г.</w:t>
            </w:r>
          </w:p>
        </w:tc>
      </w:tr>
      <w:tr w:rsidR="006B103B" w:rsidRPr="006B103B" w14:paraId="28BA0C44" w14:textId="77777777" w:rsidTr="00D5150A">
        <w:trPr>
          <w:trHeight w:val="300"/>
        </w:trPr>
        <w:tc>
          <w:tcPr>
            <w:tcW w:w="4690" w:type="dxa"/>
            <w:noWrap/>
            <w:hideMark/>
          </w:tcPr>
          <w:p w14:paraId="1F0A071B" w14:textId="08954519"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Минимальная ставка, руб</w:t>
            </w:r>
            <w:r w:rsidR="0021163F" w:rsidRPr="009D5B83">
              <w:rPr>
                <w:rFonts w:ascii="Times New Roman" w:hAnsi="Times New Roman" w:cs="Times New Roman"/>
                <w:color w:val="000000"/>
                <w:sz w:val="20"/>
                <w:szCs w:val="20"/>
              </w:rPr>
              <w:t>.</w:t>
            </w:r>
            <w:r w:rsidRPr="006B103B">
              <w:rPr>
                <w:rFonts w:ascii="Times New Roman" w:hAnsi="Times New Roman" w:cs="Times New Roman"/>
                <w:color w:val="000000"/>
                <w:sz w:val="20"/>
                <w:szCs w:val="20"/>
              </w:rPr>
              <w:t xml:space="preserve"> за 1000 шт.</w:t>
            </w:r>
          </w:p>
        </w:tc>
        <w:tc>
          <w:tcPr>
            <w:tcW w:w="1094" w:type="dxa"/>
            <w:noWrap/>
            <w:hideMark/>
          </w:tcPr>
          <w:p w14:paraId="5EBF6B67" w14:textId="394CF004"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333</w:t>
            </w:r>
          </w:p>
        </w:tc>
        <w:tc>
          <w:tcPr>
            <w:tcW w:w="1094" w:type="dxa"/>
            <w:noWrap/>
            <w:hideMark/>
          </w:tcPr>
          <w:p w14:paraId="70882B07" w14:textId="454C0AC1"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467</w:t>
            </w:r>
          </w:p>
        </w:tc>
        <w:tc>
          <w:tcPr>
            <w:tcW w:w="1094" w:type="dxa"/>
            <w:noWrap/>
            <w:hideMark/>
          </w:tcPr>
          <w:p w14:paraId="32E798DD" w14:textId="3289DB42"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606</w:t>
            </w:r>
          </w:p>
        </w:tc>
        <w:tc>
          <w:tcPr>
            <w:tcW w:w="1095" w:type="dxa"/>
            <w:noWrap/>
            <w:hideMark/>
          </w:tcPr>
          <w:p w14:paraId="79E030B8" w14:textId="0557BBFB"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750</w:t>
            </w:r>
          </w:p>
        </w:tc>
      </w:tr>
      <w:tr w:rsidR="006B103B" w:rsidRPr="006B103B" w14:paraId="2177ED4E" w14:textId="77777777" w:rsidTr="00D5150A">
        <w:trPr>
          <w:trHeight w:val="300"/>
        </w:trPr>
        <w:tc>
          <w:tcPr>
            <w:tcW w:w="4690" w:type="dxa"/>
            <w:noWrap/>
            <w:hideMark/>
          </w:tcPr>
          <w:p w14:paraId="04754547" w14:textId="15CD3872"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Специфическая ставка, руб</w:t>
            </w:r>
            <w:r w:rsidR="0021163F" w:rsidRPr="009D5B83">
              <w:rPr>
                <w:rFonts w:ascii="Times New Roman" w:hAnsi="Times New Roman" w:cs="Times New Roman"/>
                <w:color w:val="000000"/>
                <w:sz w:val="20"/>
                <w:szCs w:val="20"/>
              </w:rPr>
              <w:t>.</w:t>
            </w:r>
            <w:r w:rsidRPr="006B103B">
              <w:rPr>
                <w:rFonts w:ascii="Times New Roman" w:hAnsi="Times New Roman" w:cs="Times New Roman"/>
                <w:color w:val="000000"/>
                <w:sz w:val="20"/>
                <w:szCs w:val="20"/>
              </w:rPr>
              <w:t xml:space="preserve"> за 1000 шт.</w:t>
            </w:r>
          </w:p>
        </w:tc>
        <w:tc>
          <w:tcPr>
            <w:tcW w:w="1094" w:type="dxa"/>
            <w:noWrap/>
            <w:hideMark/>
          </w:tcPr>
          <w:p w14:paraId="21EF6D97" w14:textId="74F90E4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454</w:t>
            </w:r>
          </w:p>
        </w:tc>
        <w:tc>
          <w:tcPr>
            <w:tcW w:w="1094" w:type="dxa"/>
            <w:noWrap/>
            <w:hideMark/>
          </w:tcPr>
          <w:p w14:paraId="794C078E" w14:textId="1BCA9C41"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552</w:t>
            </w:r>
          </w:p>
        </w:tc>
        <w:tc>
          <w:tcPr>
            <w:tcW w:w="1094" w:type="dxa"/>
            <w:noWrap/>
            <w:hideMark/>
          </w:tcPr>
          <w:p w14:paraId="74CABA49" w14:textId="32B679B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654</w:t>
            </w:r>
          </w:p>
        </w:tc>
        <w:tc>
          <w:tcPr>
            <w:tcW w:w="1095" w:type="dxa"/>
            <w:noWrap/>
            <w:hideMark/>
          </w:tcPr>
          <w:p w14:paraId="20596B59" w14:textId="544644B0"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w:t>
            </w:r>
            <w:r w:rsidR="00D5150A" w:rsidRPr="009D5B83">
              <w:rPr>
                <w:rFonts w:ascii="Times New Roman" w:hAnsi="Times New Roman" w:cs="Times New Roman"/>
                <w:color w:val="000000"/>
                <w:sz w:val="20"/>
                <w:szCs w:val="20"/>
              </w:rPr>
              <w:t xml:space="preserve"> </w:t>
            </w:r>
            <w:r w:rsidRPr="006B103B">
              <w:rPr>
                <w:rFonts w:ascii="Times New Roman" w:hAnsi="Times New Roman" w:cs="Times New Roman"/>
                <w:color w:val="000000"/>
                <w:sz w:val="20"/>
                <w:szCs w:val="20"/>
              </w:rPr>
              <w:t>760</w:t>
            </w:r>
          </w:p>
        </w:tc>
      </w:tr>
      <w:tr w:rsidR="006B103B" w:rsidRPr="006B103B" w14:paraId="1E18FDBB" w14:textId="77777777" w:rsidTr="00D5150A">
        <w:trPr>
          <w:trHeight w:val="300"/>
        </w:trPr>
        <w:tc>
          <w:tcPr>
            <w:tcW w:w="4690" w:type="dxa"/>
            <w:noWrap/>
            <w:hideMark/>
          </w:tcPr>
          <w:p w14:paraId="10D7971D"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Адвалорная ставка, %</w:t>
            </w:r>
          </w:p>
        </w:tc>
        <w:tc>
          <w:tcPr>
            <w:tcW w:w="1094" w:type="dxa"/>
            <w:noWrap/>
            <w:hideMark/>
          </w:tcPr>
          <w:p w14:paraId="39CCFBD7"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16,0%</w:t>
            </w:r>
          </w:p>
        </w:tc>
        <w:tc>
          <w:tcPr>
            <w:tcW w:w="1094" w:type="dxa"/>
            <w:noWrap/>
            <w:hideMark/>
          </w:tcPr>
          <w:p w14:paraId="07E64BD0"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16,0%</w:t>
            </w:r>
          </w:p>
        </w:tc>
        <w:tc>
          <w:tcPr>
            <w:tcW w:w="1094" w:type="dxa"/>
            <w:noWrap/>
            <w:hideMark/>
          </w:tcPr>
          <w:p w14:paraId="28F722D6"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16,0%</w:t>
            </w:r>
          </w:p>
        </w:tc>
        <w:tc>
          <w:tcPr>
            <w:tcW w:w="1095" w:type="dxa"/>
            <w:noWrap/>
            <w:hideMark/>
          </w:tcPr>
          <w:p w14:paraId="2C002F08"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16,0%</w:t>
            </w:r>
          </w:p>
        </w:tc>
      </w:tr>
      <w:tr w:rsidR="006B103B" w:rsidRPr="006B103B" w14:paraId="71808BC6" w14:textId="77777777" w:rsidTr="00D5150A">
        <w:trPr>
          <w:trHeight w:val="300"/>
        </w:trPr>
        <w:tc>
          <w:tcPr>
            <w:tcW w:w="4690" w:type="dxa"/>
            <w:noWrap/>
            <w:hideMark/>
          </w:tcPr>
          <w:p w14:paraId="3FCAAEC6"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Совокупная доля налогов в цене</w:t>
            </w:r>
          </w:p>
        </w:tc>
        <w:tc>
          <w:tcPr>
            <w:tcW w:w="1094" w:type="dxa"/>
            <w:noWrap/>
            <w:hideMark/>
          </w:tcPr>
          <w:p w14:paraId="5D9FB27A"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63%</w:t>
            </w:r>
          </w:p>
        </w:tc>
        <w:tc>
          <w:tcPr>
            <w:tcW w:w="1094" w:type="dxa"/>
            <w:noWrap/>
            <w:hideMark/>
          </w:tcPr>
          <w:p w14:paraId="528ED646"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62%</w:t>
            </w:r>
          </w:p>
        </w:tc>
        <w:tc>
          <w:tcPr>
            <w:tcW w:w="1094" w:type="dxa"/>
            <w:noWrap/>
            <w:hideMark/>
          </w:tcPr>
          <w:p w14:paraId="4CBF211B"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61%</w:t>
            </w:r>
          </w:p>
        </w:tc>
        <w:tc>
          <w:tcPr>
            <w:tcW w:w="1095" w:type="dxa"/>
            <w:noWrap/>
            <w:hideMark/>
          </w:tcPr>
          <w:p w14:paraId="5B65F54E"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61%</w:t>
            </w:r>
          </w:p>
        </w:tc>
      </w:tr>
      <w:tr w:rsidR="006B103B" w:rsidRPr="006B103B" w14:paraId="460A2FD1" w14:textId="77777777" w:rsidTr="00D5150A">
        <w:trPr>
          <w:trHeight w:val="300"/>
        </w:trPr>
        <w:tc>
          <w:tcPr>
            <w:tcW w:w="4690" w:type="dxa"/>
            <w:noWrap/>
            <w:hideMark/>
          </w:tcPr>
          <w:p w14:paraId="6B7F0DFC"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Общий объем рынка (</w:t>
            </w:r>
            <w:proofErr w:type="gramStart"/>
            <w:r w:rsidRPr="006B103B">
              <w:rPr>
                <w:rFonts w:ascii="Times New Roman" w:hAnsi="Times New Roman" w:cs="Times New Roman"/>
                <w:color w:val="000000"/>
                <w:sz w:val="20"/>
                <w:szCs w:val="20"/>
              </w:rPr>
              <w:t>млрд</w:t>
            </w:r>
            <w:proofErr w:type="gramEnd"/>
            <w:r w:rsidRPr="006B103B">
              <w:rPr>
                <w:rFonts w:ascii="Times New Roman" w:hAnsi="Times New Roman" w:cs="Times New Roman"/>
                <w:color w:val="000000"/>
                <w:sz w:val="20"/>
                <w:szCs w:val="20"/>
              </w:rPr>
              <w:t xml:space="preserve"> </w:t>
            </w:r>
            <w:proofErr w:type="spellStart"/>
            <w:r w:rsidRPr="006B103B">
              <w:rPr>
                <w:rFonts w:ascii="Times New Roman" w:hAnsi="Times New Roman" w:cs="Times New Roman"/>
                <w:color w:val="000000"/>
                <w:sz w:val="20"/>
                <w:szCs w:val="20"/>
              </w:rPr>
              <w:t>cигарет</w:t>
            </w:r>
            <w:proofErr w:type="spellEnd"/>
            <w:r w:rsidRPr="006B103B">
              <w:rPr>
                <w:rFonts w:ascii="Times New Roman" w:hAnsi="Times New Roman" w:cs="Times New Roman"/>
                <w:color w:val="000000"/>
                <w:sz w:val="20"/>
                <w:szCs w:val="20"/>
              </w:rPr>
              <w:t>)</w:t>
            </w:r>
          </w:p>
        </w:tc>
        <w:tc>
          <w:tcPr>
            <w:tcW w:w="1094" w:type="dxa"/>
            <w:noWrap/>
            <w:hideMark/>
          </w:tcPr>
          <w:p w14:paraId="04485B7C"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220</w:t>
            </w:r>
          </w:p>
        </w:tc>
        <w:tc>
          <w:tcPr>
            <w:tcW w:w="1094" w:type="dxa"/>
            <w:noWrap/>
            <w:hideMark/>
          </w:tcPr>
          <w:p w14:paraId="66EA5CEA"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212</w:t>
            </w:r>
          </w:p>
        </w:tc>
        <w:tc>
          <w:tcPr>
            <w:tcW w:w="1094" w:type="dxa"/>
            <w:noWrap/>
            <w:hideMark/>
          </w:tcPr>
          <w:p w14:paraId="47FB780A"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210</w:t>
            </w:r>
          </w:p>
        </w:tc>
        <w:tc>
          <w:tcPr>
            <w:tcW w:w="1095" w:type="dxa"/>
            <w:noWrap/>
            <w:hideMark/>
          </w:tcPr>
          <w:p w14:paraId="1538FB37"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209</w:t>
            </w:r>
          </w:p>
        </w:tc>
      </w:tr>
      <w:tr w:rsidR="006B103B" w:rsidRPr="006B103B" w14:paraId="65962368" w14:textId="77777777" w:rsidTr="00D5150A">
        <w:trPr>
          <w:trHeight w:val="300"/>
        </w:trPr>
        <w:tc>
          <w:tcPr>
            <w:tcW w:w="4690" w:type="dxa"/>
            <w:noWrap/>
            <w:hideMark/>
          </w:tcPr>
          <w:p w14:paraId="0FD93FAB"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Объем легального рынка (</w:t>
            </w:r>
            <w:proofErr w:type="gramStart"/>
            <w:r w:rsidRPr="006B103B">
              <w:rPr>
                <w:rFonts w:ascii="Times New Roman" w:hAnsi="Times New Roman" w:cs="Times New Roman"/>
                <w:color w:val="000000"/>
                <w:sz w:val="20"/>
                <w:szCs w:val="20"/>
              </w:rPr>
              <w:t>млрд</w:t>
            </w:r>
            <w:proofErr w:type="gramEnd"/>
            <w:r w:rsidRPr="006B103B">
              <w:rPr>
                <w:rFonts w:ascii="Times New Roman" w:hAnsi="Times New Roman" w:cs="Times New Roman"/>
                <w:color w:val="000000"/>
                <w:sz w:val="20"/>
                <w:szCs w:val="20"/>
              </w:rPr>
              <w:t xml:space="preserve"> </w:t>
            </w:r>
            <w:proofErr w:type="spellStart"/>
            <w:r w:rsidRPr="006B103B">
              <w:rPr>
                <w:rFonts w:ascii="Times New Roman" w:hAnsi="Times New Roman" w:cs="Times New Roman"/>
                <w:color w:val="000000"/>
                <w:sz w:val="20"/>
                <w:szCs w:val="20"/>
              </w:rPr>
              <w:t>cигарет</w:t>
            </w:r>
            <w:proofErr w:type="spellEnd"/>
            <w:r w:rsidRPr="006B103B">
              <w:rPr>
                <w:rFonts w:ascii="Times New Roman" w:hAnsi="Times New Roman" w:cs="Times New Roman"/>
                <w:color w:val="000000"/>
                <w:sz w:val="20"/>
                <w:szCs w:val="20"/>
              </w:rPr>
              <w:t>)</w:t>
            </w:r>
          </w:p>
        </w:tc>
        <w:tc>
          <w:tcPr>
            <w:tcW w:w="1094" w:type="dxa"/>
            <w:noWrap/>
            <w:hideMark/>
          </w:tcPr>
          <w:p w14:paraId="1C6C3553"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187</w:t>
            </w:r>
          </w:p>
        </w:tc>
        <w:tc>
          <w:tcPr>
            <w:tcW w:w="1094" w:type="dxa"/>
            <w:noWrap/>
            <w:hideMark/>
          </w:tcPr>
          <w:p w14:paraId="7E467F73"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178</w:t>
            </w:r>
          </w:p>
        </w:tc>
        <w:tc>
          <w:tcPr>
            <w:tcW w:w="1094" w:type="dxa"/>
            <w:noWrap/>
            <w:hideMark/>
          </w:tcPr>
          <w:p w14:paraId="719457DC"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176</w:t>
            </w:r>
          </w:p>
        </w:tc>
        <w:tc>
          <w:tcPr>
            <w:tcW w:w="1095" w:type="dxa"/>
            <w:noWrap/>
            <w:hideMark/>
          </w:tcPr>
          <w:p w14:paraId="62FB8124"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173</w:t>
            </w:r>
          </w:p>
        </w:tc>
      </w:tr>
      <w:tr w:rsidR="006B103B" w:rsidRPr="006B103B" w14:paraId="675CC1A3" w14:textId="77777777" w:rsidTr="00D5150A">
        <w:trPr>
          <w:trHeight w:val="300"/>
        </w:trPr>
        <w:tc>
          <w:tcPr>
            <w:tcW w:w="4690" w:type="dxa"/>
            <w:noWrap/>
            <w:hideMark/>
          </w:tcPr>
          <w:p w14:paraId="4BD94B1C"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Объем нелегального рынка (</w:t>
            </w:r>
            <w:proofErr w:type="gramStart"/>
            <w:r w:rsidRPr="006B103B">
              <w:rPr>
                <w:rFonts w:ascii="Times New Roman" w:hAnsi="Times New Roman" w:cs="Times New Roman"/>
                <w:color w:val="000000"/>
                <w:sz w:val="20"/>
                <w:szCs w:val="20"/>
              </w:rPr>
              <w:t>млрд</w:t>
            </w:r>
            <w:proofErr w:type="gramEnd"/>
            <w:r w:rsidRPr="006B103B">
              <w:rPr>
                <w:rFonts w:ascii="Times New Roman" w:hAnsi="Times New Roman" w:cs="Times New Roman"/>
                <w:color w:val="000000"/>
                <w:sz w:val="20"/>
                <w:szCs w:val="20"/>
              </w:rPr>
              <w:t xml:space="preserve"> </w:t>
            </w:r>
            <w:proofErr w:type="spellStart"/>
            <w:r w:rsidRPr="006B103B">
              <w:rPr>
                <w:rFonts w:ascii="Times New Roman" w:hAnsi="Times New Roman" w:cs="Times New Roman"/>
                <w:color w:val="000000"/>
                <w:sz w:val="20"/>
                <w:szCs w:val="20"/>
              </w:rPr>
              <w:t>cигарет</w:t>
            </w:r>
            <w:proofErr w:type="spellEnd"/>
            <w:r w:rsidRPr="006B103B">
              <w:rPr>
                <w:rFonts w:ascii="Times New Roman" w:hAnsi="Times New Roman" w:cs="Times New Roman"/>
                <w:color w:val="000000"/>
                <w:sz w:val="20"/>
                <w:szCs w:val="20"/>
              </w:rPr>
              <w:t>)</w:t>
            </w:r>
          </w:p>
        </w:tc>
        <w:tc>
          <w:tcPr>
            <w:tcW w:w="1094" w:type="dxa"/>
            <w:noWrap/>
            <w:hideMark/>
          </w:tcPr>
          <w:p w14:paraId="6A235473"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34</w:t>
            </w:r>
          </w:p>
        </w:tc>
        <w:tc>
          <w:tcPr>
            <w:tcW w:w="1094" w:type="dxa"/>
            <w:noWrap/>
            <w:hideMark/>
          </w:tcPr>
          <w:p w14:paraId="686BB377"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33</w:t>
            </w:r>
          </w:p>
        </w:tc>
        <w:tc>
          <w:tcPr>
            <w:tcW w:w="1094" w:type="dxa"/>
            <w:noWrap/>
            <w:hideMark/>
          </w:tcPr>
          <w:p w14:paraId="06D0C775"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35</w:t>
            </w:r>
          </w:p>
        </w:tc>
        <w:tc>
          <w:tcPr>
            <w:tcW w:w="1095" w:type="dxa"/>
            <w:noWrap/>
            <w:hideMark/>
          </w:tcPr>
          <w:p w14:paraId="12808436"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36</w:t>
            </w:r>
          </w:p>
        </w:tc>
      </w:tr>
      <w:tr w:rsidR="006B103B" w:rsidRPr="006B103B" w14:paraId="62AB070B" w14:textId="77777777" w:rsidTr="00D5150A">
        <w:trPr>
          <w:trHeight w:val="300"/>
        </w:trPr>
        <w:tc>
          <w:tcPr>
            <w:tcW w:w="4690" w:type="dxa"/>
            <w:noWrap/>
            <w:hideMark/>
          </w:tcPr>
          <w:p w14:paraId="6C7D88FE"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Доля нелегального рынка</w:t>
            </w:r>
          </w:p>
        </w:tc>
        <w:tc>
          <w:tcPr>
            <w:tcW w:w="1094" w:type="dxa"/>
            <w:noWrap/>
            <w:hideMark/>
          </w:tcPr>
          <w:p w14:paraId="26FD5F01"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15,2%</w:t>
            </w:r>
          </w:p>
        </w:tc>
        <w:tc>
          <w:tcPr>
            <w:tcW w:w="1094" w:type="dxa"/>
            <w:noWrap/>
            <w:hideMark/>
          </w:tcPr>
          <w:p w14:paraId="61325E09"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15,8%</w:t>
            </w:r>
          </w:p>
        </w:tc>
        <w:tc>
          <w:tcPr>
            <w:tcW w:w="1094" w:type="dxa"/>
            <w:noWrap/>
            <w:hideMark/>
          </w:tcPr>
          <w:p w14:paraId="644E73B5"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16,4%</w:t>
            </w:r>
          </w:p>
        </w:tc>
        <w:tc>
          <w:tcPr>
            <w:tcW w:w="1095" w:type="dxa"/>
            <w:noWrap/>
            <w:hideMark/>
          </w:tcPr>
          <w:p w14:paraId="30B9CAEF"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rPr>
              <w:t>17,0%</w:t>
            </w:r>
          </w:p>
        </w:tc>
      </w:tr>
      <w:tr w:rsidR="006B103B" w:rsidRPr="006B103B" w14:paraId="460F1943" w14:textId="77777777" w:rsidTr="00D5150A">
        <w:trPr>
          <w:trHeight w:val="300"/>
        </w:trPr>
        <w:tc>
          <w:tcPr>
            <w:tcW w:w="4690" w:type="dxa"/>
            <w:noWrap/>
            <w:hideMark/>
          </w:tcPr>
          <w:p w14:paraId="563A1121" w14:textId="77777777" w:rsidR="006B103B" w:rsidRPr="006B103B" w:rsidRDefault="006B103B" w:rsidP="006B103B">
            <w:pPr>
              <w:rPr>
                <w:rFonts w:ascii="Times New Roman" w:hAnsi="Times New Roman" w:cs="Times New Roman"/>
                <w:color w:val="000000"/>
                <w:sz w:val="20"/>
                <w:szCs w:val="20"/>
              </w:rPr>
            </w:pPr>
            <w:r w:rsidRPr="006B103B">
              <w:rPr>
                <w:rFonts w:ascii="Times New Roman" w:hAnsi="Times New Roman" w:cs="Times New Roman"/>
                <w:color w:val="000000"/>
                <w:sz w:val="20"/>
                <w:szCs w:val="20"/>
              </w:rPr>
              <w:t xml:space="preserve">Поступления от акцизов с учетом табачной </w:t>
            </w:r>
            <w:proofErr w:type="spellStart"/>
            <w:r w:rsidRPr="006B103B">
              <w:rPr>
                <w:rFonts w:ascii="Times New Roman" w:hAnsi="Times New Roman" w:cs="Times New Roman"/>
                <w:color w:val="000000"/>
                <w:sz w:val="20"/>
                <w:szCs w:val="20"/>
              </w:rPr>
              <w:t>несигаретной</w:t>
            </w:r>
            <w:proofErr w:type="spellEnd"/>
            <w:r w:rsidRPr="006B103B">
              <w:rPr>
                <w:rFonts w:ascii="Times New Roman" w:hAnsi="Times New Roman" w:cs="Times New Roman"/>
                <w:color w:val="000000"/>
                <w:sz w:val="20"/>
                <w:szCs w:val="20"/>
              </w:rPr>
              <w:t xml:space="preserve"> продукции, </w:t>
            </w:r>
            <w:proofErr w:type="gramStart"/>
            <w:r w:rsidRPr="006B103B">
              <w:rPr>
                <w:rFonts w:ascii="Times New Roman" w:hAnsi="Times New Roman" w:cs="Times New Roman"/>
                <w:color w:val="000000"/>
                <w:sz w:val="20"/>
                <w:szCs w:val="20"/>
              </w:rPr>
              <w:t>млрд</w:t>
            </w:r>
            <w:proofErr w:type="gramEnd"/>
            <w:r w:rsidRPr="006B103B">
              <w:rPr>
                <w:rFonts w:ascii="Times New Roman" w:hAnsi="Times New Roman" w:cs="Times New Roman"/>
                <w:color w:val="000000"/>
                <w:sz w:val="20"/>
                <w:szCs w:val="20"/>
              </w:rPr>
              <w:t xml:space="preserve"> руб.</w:t>
            </w:r>
          </w:p>
        </w:tc>
        <w:tc>
          <w:tcPr>
            <w:tcW w:w="1094" w:type="dxa"/>
            <w:noWrap/>
            <w:hideMark/>
          </w:tcPr>
          <w:p w14:paraId="0CAFFA8E" w14:textId="77777777" w:rsidR="006B103B" w:rsidRPr="006B103B" w:rsidRDefault="006B103B" w:rsidP="006B103B">
            <w:pPr>
              <w:jc w:val="center"/>
              <w:rPr>
                <w:rFonts w:ascii="Times New Roman" w:hAnsi="Times New Roman" w:cs="Times New Roman"/>
                <w:color w:val="000000"/>
                <w:sz w:val="20"/>
                <w:szCs w:val="20"/>
              </w:rPr>
            </w:pPr>
            <w:r w:rsidRPr="006B103B">
              <w:rPr>
                <w:rFonts w:ascii="Times New Roman" w:hAnsi="Times New Roman" w:cs="Times New Roman"/>
                <w:color w:val="000000"/>
                <w:sz w:val="20"/>
                <w:szCs w:val="20"/>
                <w:lang w:val="en-US"/>
              </w:rPr>
              <w:t>729</w:t>
            </w:r>
          </w:p>
        </w:tc>
        <w:tc>
          <w:tcPr>
            <w:tcW w:w="1094" w:type="dxa"/>
            <w:noWrap/>
            <w:hideMark/>
          </w:tcPr>
          <w:p w14:paraId="562BCBB6" w14:textId="77777777" w:rsidR="006B103B" w:rsidRPr="006B103B" w:rsidRDefault="006B103B" w:rsidP="006B103B">
            <w:pPr>
              <w:jc w:val="center"/>
              <w:rPr>
                <w:rFonts w:ascii="Times New Roman" w:hAnsi="Times New Roman" w:cs="Times New Roman"/>
                <w:color w:val="000000"/>
                <w:sz w:val="20"/>
                <w:szCs w:val="20"/>
                <w:lang w:val="en-US"/>
              </w:rPr>
            </w:pPr>
            <w:r w:rsidRPr="006B103B">
              <w:rPr>
                <w:rFonts w:ascii="Times New Roman" w:hAnsi="Times New Roman" w:cs="Times New Roman"/>
                <w:color w:val="000000"/>
                <w:sz w:val="20"/>
                <w:szCs w:val="20"/>
                <w:lang w:val="en-US"/>
              </w:rPr>
              <w:t>739</w:t>
            </w:r>
          </w:p>
        </w:tc>
        <w:tc>
          <w:tcPr>
            <w:tcW w:w="1094" w:type="dxa"/>
            <w:noWrap/>
            <w:hideMark/>
          </w:tcPr>
          <w:p w14:paraId="6932F2CF" w14:textId="77777777" w:rsidR="006B103B" w:rsidRPr="006B103B" w:rsidRDefault="006B103B" w:rsidP="006B103B">
            <w:pPr>
              <w:jc w:val="center"/>
              <w:rPr>
                <w:rFonts w:ascii="Times New Roman" w:hAnsi="Times New Roman" w:cs="Times New Roman"/>
                <w:color w:val="000000"/>
                <w:sz w:val="20"/>
                <w:szCs w:val="20"/>
                <w:lang w:val="en-US"/>
              </w:rPr>
            </w:pPr>
            <w:r w:rsidRPr="006B103B">
              <w:rPr>
                <w:rFonts w:ascii="Times New Roman" w:hAnsi="Times New Roman" w:cs="Times New Roman"/>
                <w:color w:val="000000"/>
                <w:sz w:val="20"/>
                <w:szCs w:val="20"/>
                <w:lang w:val="en-US"/>
              </w:rPr>
              <w:t>765</w:t>
            </w:r>
          </w:p>
        </w:tc>
        <w:tc>
          <w:tcPr>
            <w:tcW w:w="1095" w:type="dxa"/>
            <w:noWrap/>
            <w:hideMark/>
          </w:tcPr>
          <w:p w14:paraId="6299EC67" w14:textId="77777777" w:rsidR="006B103B" w:rsidRPr="006B103B" w:rsidRDefault="006B103B" w:rsidP="006B103B">
            <w:pPr>
              <w:jc w:val="center"/>
              <w:rPr>
                <w:rFonts w:ascii="Times New Roman" w:hAnsi="Times New Roman" w:cs="Times New Roman"/>
                <w:color w:val="000000"/>
                <w:sz w:val="20"/>
                <w:szCs w:val="20"/>
                <w:lang w:val="en-US"/>
              </w:rPr>
            </w:pPr>
            <w:r w:rsidRPr="006B103B">
              <w:rPr>
                <w:rFonts w:ascii="Times New Roman" w:hAnsi="Times New Roman" w:cs="Times New Roman"/>
                <w:color w:val="000000"/>
                <w:sz w:val="20"/>
                <w:szCs w:val="20"/>
                <w:lang w:val="en-US"/>
              </w:rPr>
              <w:t>791</w:t>
            </w:r>
          </w:p>
        </w:tc>
      </w:tr>
    </w:tbl>
    <w:p w14:paraId="4C49041E" w14:textId="77777777" w:rsidR="006B103B" w:rsidRPr="006B103B" w:rsidRDefault="006B103B" w:rsidP="006B103B">
      <w:pPr>
        <w:spacing w:after="60"/>
        <w:ind w:firstLine="709"/>
        <w:jc w:val="both"/>
        <w:rPr>
          <w:rFonts w:eastAsia="Calibri"/>
          <w:sz w:val="20"/>
          <w:lang w:eastAsia="en-US"/>
        </w:rPr>
      </w:pPr>
      <w:r w:rsidRPr="006B103B">
        <w:rPr>
          <w:rFonts w:eastAsia="Calibri"/>
          <w:i/>
          <w:sz w:val="20"/>
          <w:lang w:eastAsia="en-US"/>
        </w:rPr>
        <w:t>Источник</w:t>
      </w:r>
      <w:r w:rsidRPr="006B103B">
        <w:rPr>
          <w:rFonts w:eastAsia="Calibri"/>
          <w:sz w:val="20"/>
          <w:lang w:eastAsia="en-US"/>
        </w:rPr>
        <w:t xml:space="preserve">: </w:t>
      </w:r>
      <w:r w:rsidRPr="006B103B">
        <w:rPr>
          <w:sz w:val="20"/>
          <w:szCs w:val="20"/>
        </w:rPr>
        <w:t>Федеральное казначейство</w:t>
      </w:r>
      <w:r w:rsidRPr="006B103B">
        <w:rPr>
          <w:rFonts w:eastAsia="Calibri"/>
          <w:sz w:val="20"/>
          <w:lang w:eastAsia="en-US"/>
        </w:rPr>
        <w:t xml:space="preserve">, </w:t>
      </w:r>
      <w:r w:rsidRPr="006B103B">
        <w:rPr>
          <w:sz w:val="20"/>
        </w:rPr>
        <w:t>Законопроект</w:t>
      </w:r>
      <w:r w:rsidRPr="006B103B">
        <w:rPr>
          <w:rFonts w:eastAsia="Calibri"/>
          <w:sz w:val="20"/>
          <w:lang w:eastAsia="en-US"/>
        </w:rPr>
        <w:t>, расчеты авторов.</w:t>
      </w:r>
    </w:p>
    <w:p w14:paraId="4AE42CC0" w14:textId="77777777" w:rsidR="00116EE4" w:rsidRPr="00E103B9" w:rsidRDefault="006B103B" w:rsidP="00D5150A">
      <w:pPr>
        <w:spacing w:before="240" w:after="120"/>
        <w:ind w:firstLine="709"/>
        <w:jc w:val="both"/>
        <w:rPr>
          <w:b/>
          <w:bCs/>
          <w:sz w:val="28"/>
          <w:lang w:eastAsia="en-US"/>
        </w:rPr>
      </w:pPr>
      <w:r w:rsidRPr="00E103B9">
        <w:rPr>
          <w:b/>
          <w:bCs/>
          <w:i/>
          <w:iCs/>
          <w:sz w:val="28"/>
          <w:lang w:eastAsia="en-US"/>
        </w:rPr>
        <w:t>Акцизы</w:t>
      </w:r>
      <w:r w:rsidRPr="00E103B9">
        <w:rPr>
          <w:b/>
          <w:bCs/>
          <w:sz w:val="28"/>
          <w:lang w:eastAsia="en-US"/>
        </w:rPr>
        <w:t xml:space="preserve"> </w:t>
      </w:r>
      <w:r w:rsidRPr="00E103B9">
        <w:rPr>
          <w:b/>
          <w:bCs/>
          <w:i/>
          <w:iCs/>
          <w:sz w:val="28"/>
          <w:lang w:eastAsia="en-US"/>
        </w:rPr>
        <w:t>на алкогольную продукцию</w:t>
      </w:r>
    </w:p>
    <w:p w14:paraId="282FD881" w14:textId="7DFF27E3" w:rsidR="006B103B" w:rsidRPr="00E103B9" w:rsidRDefault="006B103B" w:rsidP="00D5150A">
      <w:pPr>
        <w:spacing w:after="60"/>
        <w:ind w:firstLine="709"/>
        <w:jc w:val="both"/>
        <w:rPr>
          <w:sz w:val="28"/>
          <w:lang w:eastAsia="en-US"/>
        </w:rPr>
      </w:pPr>
      <w:r w:rsidRPr="00E103B9">
        <w:rPr>
          <w:sz w:val="28"/>
          <w:lang w:eastAsia="en-US"/>
        </w:rPr>
        <w:t xml:space="preserve">Касательно налогообложения алкогольной продукции прогнозы поступлений, указанные в Пояснительной записке, представляются вполне релевантными. Это связано с тем, что рынок алкоголя в части соотношения легального и нелегального рынка в целом сохраняет свою устойчивость, причем благодаря не столько функционированию системы ЕГАИС, сколько повышению заинтересованности субъектов РФ в части </w:t>
      </w:r>
      <w:proofErr w:type="gramStart"/>
      <w:r w:rsidRPr="00E103B9">
        <w:rPr>
          <w:sz w:val="28"/>
          <w:lang w:eastAsia="en-US"/>
        </w:rPr>
        <w:t>контроля за</w:t>
      </w:r>
      <w:proofErr w:type="gramEnd"/>
      <w:r w:rsidRPr="00E103B9">
        <w:rPr>
          <w:sz w:val="28"/>
          <w:lang w:eastAsia="en-US"/>
        </w:rPr>
        <w:t xml:space="preserve"> производством и оборотом алкогольной продукции на их территориях.</w:t>
      </w:r>
    </w:p>
    <w:p w14:paraId="4E918C07" w14:textId="77777777" w:rsidR="006B103B" w:rsidRPr="00E103B9" w:rsidRDefault="006B103B" w:rsidP="00D5150A">
      <w:pPr>
        <w:spacing w:after="60"/>
        <w:ind w:firstLine="709"/>
        <w:jc w:val="both"/>
        <w:rPr>
          <w:sz w:val="28"/>
          <w:lang w:eastAsia="en-US"/>
        </w:rPr>
      </w:pPr>
      <w:r w:rsidRPr="00E103B9">
        <w:rPr>
          <w:sz w:val="28"/>
          <w:lang w:eastAsia="en-US"/>
        </w:rPr>
        <w:t>Тем не менее, продолжают существовать две проблемы, снижающие собираемость акцизов на алкогольную продукцию:</w:t>
      </w:r>
    </w:p>
    <w:p w14:paraId="40B5C71A" w14:textId="77777777" w:rsidR="006B103B" w:rsidRPr="00E103B9" w:rsidRDefault="006B103B" w:rsidP="00B71920">
      <w:pPr>
        <w:numPr>
          <w:ilvl w:val="0"/>
          <w:numId w:val="62"/>
        </w:numPr>
        <w:spacing w:after="60"/>
        <w:ind w:left="0" w:firstLine="709"/>
        <w:jc w:val="both"/>
        <w:rPr>
          <w:sz w:val="28"/>
          <w:lang w:eastAsia="en-US"/>
        </w:rPr>
      </w:pPr>
      <w:proofErr w:type="spellStart"/>
      <w:r w:rsidRPr="00E103B9">
        <w:rPr>
          <w:sz w:val="28"/>
          <w:lang w:eastAsia="en-US"/>
        </w:rPr>
        <w:t>негармонизированность</w:t>
      </w:r>
      <w:proofErr w:type="spellEnd"/>
      <w:r w:rsidRPr="00E103B9">
        <w:rPr>
          <w:sz w:val="28"/>
          <w:lang w:eastAsia="en-US"/>
        </w:rPr>
        <w:t xml:space="preserve"> акцизов на пиво и крепкую продукцию со странами-партнёрами по ЕАЭС, которая, однако, по масштабу заметно меньше, чем на табачном рынке. В зоне риска здесь приграничные регионы;</w:t>
      </w:r>
    </w:p>
    <w:p w14:paraId="18A41321" w14:textId="77777777" w:rsidR="006B103B" w:rsidRPr="00E103B9" w:rsidRDefault="006B103B" w:rsidP="00B71920">
      <w:pPr>
        <w:numPr>
          <w:ilvl w:val="0"/>
          <w:numId w:val="62"/>
        </w:numPr>
        <w:spacing w:after="60"/>
        <w:ind w:left="0" w:firstLine="709"/>
        <w:jc w:val="both"/>
        <w:rPr>
          <w:sz w:val="28"/>
          <w:lang w:eastAsia="en-US"/>
        </w:rPr>
      </w:pPr>
      <w:r w:rsidRPr="00E103B9">
        <w:rPr>
          <w:sz w:val="28"/>
          <w:lang w:eastAsia="en-US"/>
        </w:rPr>
        <w:t xml:space="preserve">существование рынка «конструкторов» - оборудования, позволяющего быстро создать </w:t>
      </w:r>
      <w:proofErr w:type="spellStart"/>
      <w:r w:rsidRPr="00E103B9">
        <w:rPr>
          <w:sz w:val="28"/>
          <w:lang w:eastAsia="en-US"/>
        </w:rPr>
        <w:t>микропроизводства</w:t>
      </w:r>
      <w:proofErr w:type="spellEnd"/>
      <w:r w:rsidRPr="00E103B9">
        <w:rPr>
          <w:sz w:val="28"/>
          <w:lang w:eastAsia="en-US"/>
        </w:rPr>
        <w:t>.</w:t>
      </w:r>
    </w:p>
    <w:p w14:paraId="697E94EE" w14:textId="7AF146D4" w:rsidR="006B103B" w:rsidRPr="00E103B9" w:rsidRDefault="006B103B" w:rsidP="00D5150A">
      <w:pPr>
        <w:spacing w:after="60"/>
        <w:ind w:firstLine="709"/>
        <w:jc w:val="both"/>
        <w:rPr>
          <w:sz w:val="28"/>
          <w:lang w:eastAsia="en-US"/>
        </w:rPr>
      </w:pPr>
      <w:r w:rsidRPr="00E103B9">
        <w:rPr>
          <w:sz w:val="28"/>
          <w:lang w:eastAsia="en-US"/>
        </w:rPr>
        <w:t>Также следует отметить, что в последние годы, согласно данным</w:t>
      </w:r>
      <w:r w:rsidR="00116EE4" w:rsidRPr="00E103B9">
        <w:rPr>
          <w:sz w:val="28"/>
          <w:lang w:eastAsia="en-US"/>
        </w:rPr>
        <w:t xml:space="preserve"> Федеральной службы по регулированию алкогольного рынка (РАР)</w:t>
      </w:r>
      <w:r w:rsidRPr="00E103B9">
        <w:rPr>
          <w:sz w:val="28"/>
          <w:lang w:eastAsia="en-US"/>
        </w:rPr>
        <w:t xml:space="preserve">, растет </w:t>
      </w:r>
      <w:r w:rsidRPr="00E103B9">
        <w:rPr>
          <w:sz w:val="28"/>
          <w:lang w:eastAsia="en-US"/>
        </w:rPr>
        <w:lastRenderedPageBreak/>
        <w:t>потребление крепкой и слабой алкогольной продукции, тогда как потребление вина сокращается. Для смены этого тренда требуется изменение структуры ставок. Поэтому в условиях текущих планов по ставкам можно ожидать даже больших доходов в части слабоалкогольных напитков (до 9%), чем указаны в проекте бюджета.</w:t>
      </w:r>
    </w:p>
    <w:p w14:paraId="47C544FD" w14:textId="77777777" w:rsidR="00190148" w:rsidRPr="00E103B9" w:rsidRDefault="00190148" w:rsidP="006753EB">
      <w:pPr>
        <w:ind w:firstLine="709"/>
        <w:jc w:val="both"/>
        <w:rPr>
          <w:sz w:val="28"/>
          <w:lang w:eastAsia="en-US"/>
        </w:rPr>
      </w:pPr>
    </w:p>
    <w:p w14:paraId="101E1A61" w14:textId="72F86E67" w:rsidR="00995E45" w:rsidRPr="00E103B9" w:rsidRDefault="00C473F9" w:rsidP="007F0805">
      <w:pPr>
        <w:keepNext/>
        <w:spacing w:before="240" w:after="120"/>
        <w:jc w:val="center"/>
        <w:outlineLvl w:val="1"/>
        <w:rPr>
          <w:b/>
          <w:sz w:val="28"/>
          <w:szCs w:val="20"/>
        </w:rPr>
      </w:pPr>
      <w:bookmarkStart w:id="11" w:name="_Toc116593933"/>
      <w:r w:rsidRPr="00E103B9">
        <w:rPr>
          <w:b/>
          <w:sz w:val="28"/>
          <w:szCs w:val="20"/>
        </w:rPr>
        <w:t>3</w:t>
      </w:r>
      <w:r w:rsidR="00067A72" w:rsidRPr="00E103B9">
        <w:rPr>
          <w:b/>
          <w:sz w:val="28"/>
          <w:szCs w:val="20"/>
        </w:rPr>
        <w:t>.</w:t>
      </w:r>
      <w:r w:rsidR="006753EB" w:rsidRPr="00E103B9">
        <w:rPr>
          <w:b/>
          <w:sz w:val="28"/>
          <w:szCs w:val="20"/>
        </w:rPr>
        <w:t xml:space="preserve">4 </w:t>
      </w:r>
      <w:r w:rsidR="00995E45" w:rsidRPr="00E103B9">
        <w:rPr>
          <w:b/>
          <w:sz w:val="28"/>
          <w:szCs w:val="20"/>
        </w:rPr>
        <w:t>Доходы от приватизации и использования государственного имущества</w:t>
      </w:r>
      <w:bookmarkEnd w:id="11"/>
    </w:p>
    <w:p w14:paraId="6E9AE90E" w14:textId="748291F5" w:rsidR="00FF6CB8" w:rsidRPr="00E103B9" w:rsidRDefault="00FF6CB8" w:rsidP="00A35722">
      <w:pPr>
        <w:spacing w:before="120" w:after="60"/>
        <w:ind w:firstLine="709"/>
        <w:jc w:val="both"/>
        <w:rPr>
          <w:rFonts w:eastAsia="MS Mincho"/>
          <w:b/>
          <w:bCs/>
          <w:i/>
          <w:sz w:val="28"/>
          <w:szCs w:val="20"/>
          <w:lang w:eastAsia="ja-JP"/>
        </w:rPr>
      </w:pPr>
      <w:r w:rsidRPr="00E103B9">
        <w:rPr>
          <w:rFonts w:eastAsia="MS Mincho"/>
          <w:b/>
          <w:bCs/>
          <w:i/>
          <w:sz w:val="28"/>
          <w:szCs w:val="20"/>
          <w:lang w:eastAsia="ja-JP"/>
        </w:rPr>
        <w:t>Доходы от приватизации и продажи государственного имущества</w:t>
      </w:r>
    </w:p>
    <w:p w14:paraId="2605B893" w14:textId="396E2F1D" w:rsidR="00EA2AC6" w:rsidRPr="00E103B9" w:rsidRDefault="00EA2AC6" w:rsidP="00A35722">
      <w:pPr>
        <w:spacing w:after="60"/>
        <w:ind w:firstLine="709"/>
        <w:jc w:val="both"/>
        <w:rPr>
          <w:rFonts w:eastAsia="MS Mincho"/>
          <w:sz w:val="28"/>
          <w:szCs w:val="20"/>
          <w:lang w:eastAsia="ja-JP"/>
        </w:rPr>
      </w:pPr>
      <w:r w:rsidRPr="00E103B9">
        <w:rPr>
          <w:rFonts w:eastAsia="MS Mincho"/>
          <w:sz w:val="28"/>
          <w:szCs w:val="20"/>
          <w:lang w:eastAsia="ja-JP"/>
        </w:rPr>
        <w:t>Подобно аналогичному документу годичной давности вносимый Правительством РФ Законопроект не содержит информации о доходах от приватизации ни в основной части, ни в приложении 40 (Источники финансирования дефицита федерального бюджета на 2023 г. и плановый период 2024 и 2025 гг.).</w:t>
      </w:r>
      <w:r w:rsidRPr="00E103B9">
        <w:rPr>
          <w:rFonts w:eastAsia="MS Mincho"/>
          <w:sz w:val="28"/>
          <w:szCs w:val="20"/>
          <w:vertAlign w:val="superscript"/>
          <w:lang w:eastAsia="ja-JP"/>
        </w:rPr>
        <w:footnoteReference w:id="37"/>
      </w:r>
      <w:r w:rsidRPr="00E103B9">
        <w:rPr>
          <w:rFonts w:eastAsia="MS Mincho"/>
          <w:sz w:val="28"/>
          <w:szCs w:val="20"/>
          <w:lang w:eastAsia="ja-JP"/>
        </w:rPr>
        <w:t xml:space="preserve"> </w:t>
      </w:r>
    </w:p>
    <w:p w14:paraId="44869846" w14:textId="77777777" w:rsidR="00EA2AC6" w:rsidRPr="00E103B9" w:rsidRDefault="00EA2AC6" w:rsidP="00A35722">
      <w:pPr>
        <w:spacing w:after="60"/>
        <w:ind w:firstLine="709"/>
        <w:jc w:val="both"/>
        <w:rPr>
          <w:sz w:val="28"/>
        </w:rPr>
      </w:pPr>
      <w:r w:rsidRPr="00E103B9">
        <w:rPr>
          <w:rFonts w:eastAsia="MS Mincho"/>
          <w:sz w:val="28"/>
          <w:szCs w:val="20"/>
          <w:lang w:eastAsia="ja-JP"/>
        </w:rPr>
        <w:t>Однако п</w:t>
      </w:r>
      <w:r w:rsidRPr="00E103B9">
        <w:rPr>
          <w:sz w:val="28"/>
          <w:szCs w:val="20"/>
        </w:rPr>
        <w:t>одобно проектам бюджета в предыдущие несколько лет среди</w:t>
      </w:r>
      <w:r w:rsidRPr="00E103B9">
        <w:rPr>
          <w:sz w:val="28"/>
          <w:szCs w:val="28"/>
        </w:rPr>
        <w:t xml:space="preserve"> сопроводительных материалов присутствуют данные по прогнозному плану (программе) приватизации федерального имущества, где представлено обоснование </w:t>
      </w:r>
      <w:r w:rsidRPr="00E103B9">
        <w:rPr>
          <w:sz w:val="28"/>
        </w:rPr>
        <w:t>прогноза поступления в федеральный бюджет средств от приватизации.</w:t>
      </w:r>
    </w:p>
    <w:p w14:paraId="7A8C8A18" w14:textId="77777777" w:rsidR="00EA2AC6" w:rsidRPr="00E103B9" w:rsidRDefault="00EA2AC6" w:rsidP="00A35722">
      <w:pPr>
        <w:spacing w:after="60"/>
        <w:ind w:firstLine="709"/>
        <w:jc w:val="both"/>
        <w:rPr>
          <w:sz w:val="28"/>
        </w:rPr>
      </w:pPr>
      <w:r w:rsidRPr="00E103B9">
        <w:rPr>
          <w:snapToGrid w:val="0"/>
          <w:sz w:val="28"/>
          <w:szCs w:val="20"/>
        </w:rPr>
        <w:t xml:space="preserve">Приватизационные поступления в 2023-2025 г. ожидаются в объеме 1,5 </w:t>
      </w:r>
      <w:proofErr w:type="gramStart"/>
      <w:r w:rsidRPr="00E103B9">
        <w:rPr>
          <w:snapToGrid w:val="0"/>
          <w:sz w:val="28"/>
          <w:szCs w:val="20"/>
        </w:rPr>
        <w:t>млрд</w:t>
      </w:r>
      <w:proofErr w:type="gramEnd"/>
      <w:r w:rsidRPr="00E103B9">
        <w:rPr>
          <w:snapToGrid w:val="0"/>
          <w:sz w:val="28"/>
          <w:szCs w:val="20"/>
        </w:rPr>
        <w:t xml:space="preserve"> руб. ежегодно. Их роль д</w:t>
      </w:r>
      <w:r w:rsidRPr="00E103B9">
        <w:rPr>
          <w:sz w:val="28"/>
          <w:szCs w:val="20"/>
        </w:rPr>
        <w:t>ля финансирования дефицита федерального бюджета будет минимальна: в 2022-2023 гг. ожидаемая величина приватизационных доходов не превысит 0,1% от размера средств, предполагаемых к привлечению по государственным заимствованиям</w:t>
      </w:r>
      <w:r w:rsidRPr="00E103B9">
        <w:rPr>
          <w:snapToGrid w:val="0"/>
          <w:sz w:val="28"/>
          <w:szCs w:val="20"/>
        </w:rPr>
        <w:t xml:space="preserve">. </w:t>
      </w:r>
      <w:r w:rsidRPr="00E103B9">
        <w:rPr>
          <w:sz w:val="28"/>
          <w:szCs w:val="20"/>
        </w:rPr>
        <w:t xml:space="preserve">При этом указанная ежегодная величина бюджетных доходов (1,5 </w:t>
      </w:r>
      <w:proofErr w:type="gramStart"/>
      <w:r w:rsidRPr="00E103B9">
        <w:rPr>
          <w:snapToGrid w:val="0"/>
          <w:sz w:val="28"/>
          <w:szCs w:val="20"/>
        </w:rPr>
        <w:t>млрд</w:t>
      </w:r>
      <w:proofErr w:type="gramEnd"/>
      <w:r w:rsidRPr="00E103B9">
        <w:rPr>
          <w:snapToGrid w:val="0"/>
          <w:sz w:val="28"/>
          <w:szCs w:val="20"/>
        </w:rPr>
        <w:t xml:space="preserve"> руб.) </w:t>
      </w:r>
      <w:r w:rsidRPr="00E103B9">
        <w:rPr>
          <w:color w:val="000000"/>
          <w:sz w:val="28"/>
        </w:rPr>
        <w:t xml:space="preserve">в части поступлений средств от продажи акций и иных форм участия в капитале, находящихся в федеральной собственности, </w:t>
      </w:r>
      <w:r w:rsidRPr="00E103B9">
        <w:rPr>
          <w:snapToGrid w:val="0"/>
          <w:sz w:val="28"/>
          <w:szCs w:val="20"/>
        </w:rPr>
        <w:t xml:space="preserve">не включает средства, которые потенциально возможно выручить в ходе сделок c </w:t>
      </w:r>
      <w:r w:rsidRPr="00E103B9">
        <w:rPr>
          <w:sz w:val="28"/>
          <w:szCs w:val="20"/>
        </w:rPr>
        <w:t xml:space="preserve">акциями крупнейших компаний, </w:t>
      </w:r>
      <w:r w:rsidRPr="00E103B9">
        <w:rPr>
          <w:sz w:val="28"/>
        </w:rPr>
        <w:t xml:space="preserve">приватизируемых на основании специальных решений </w:t>
      </w:r>
      <w:r w:rsidRPr="00E103B9">
        <w:rPr>
          <w:sz w:val="28"/>
          <w:szCs w:val="20"/>
        </w:rPr>
        <w:t>Президента РФ и Правительства РФ с учетом конъюнктуры рынка и рекомендаций ведущих инвестиционных консультантов</w:t>
      </w:r>
      <w:r w:rsidRPr="00E103B9">
        <w:rPr>
          <w:sz w:val="28"/>
        </w:rPr>
        <w:t>. В частности, планируется прекращение участия государства в уставных капиталах АО «Махачкалинский морской торговый порт».</w:t>
      </w:r>
    </w:p>
    <w:p w14:paraId="026742E3" w14:textId="5FB75880" w:rsidR="00EA2AC6" w:rsidRPr="00E103B9" w:rsidRDefault="00EA2AC6" w:rsidP="00A35722">
      <w:pPr>
        <w:spacing w:after="60"/>
        <w:ind w:firstLine="709"/>
        <w:jc w:val="both"/>
        <w:rPr>
          <w:sz w:val="28"/>
          <w:szCs w:val="20"/>
          <w:lang w:eastAsia="en-US"/>
        </w:rPr>
      </w:pPr>
      <w:r w:rsidRPr="00E103B9">
        <w:rPr>
          <w:sz w:val="28"/>
        </w:rPr>
        <w:t>Гораздо более в</w:t>
      </w:r>
      <w:r w:rsidRPr="00E103B9">
        <w:rPr>
          <w:sz w:val="28"/>
          <w:szCs w:val="20"/>
        </w:rPr>
        <w:t>есомая роль при формировании доходной части федерального бюджета</w:t>
      </w:r>
      <w:r w:rsidRPr="00E103B9">
        <w:rPr>
          <w:sz w:val="28"/>
          <w:szCs w:val="20"/>
          <w:lang w:eastAsia="en-US"/>
        </w:rPr>
        <w:t xml:space="preserve"> на будущий год</w:t>
      </w:r>
      <w:r w:rsidRPr="00E103B9">
        <w:rPr>
          <w:sz w:val="28"/>
          <w:szCs w:val="20"/>
        </w:rPr>
        <w:t xml:space="preserve"> отведена поступлениям от продажи </w:t>
      </w:r>
      <w:r w:rsidRPr="00E103B9">
        <w:rPr>
          <w:sz w:val="28"/>
          <w:szCs w:val="20"/>
          <w:lang w:eastAsia="en-US"/>
        </w:rPr>
        <w:t xml:space="preserve">материальных и нематериальных активов, которые прогнозируются в сумме 131,5 </w:t>
      </w:r>
      <w:proofErr w:type="gramStart"/>
      <w:r w:rsidRPr="00E103B9">
        <w:rPr>
          <w:sz w:val="28"/>
          <w:szCs w:val="20"/>
          <w:lang w:eastAsia="en-US"/>
        </w:rPr>
        <w:t>млрд</w:t>
      </w:r>
      <w:proofErr w:type="gramEnd"/>
      <w:r w:rsidRPr="00E103B9">
        <w:rPr>
          <w:sz w:val="28"/>
          <w:szCs w:val="20"/>
          <w:lang w:eastAsia="en-US"/>
        </w:rPr>
        <w:t xml:space="preserve"> руб. (для 2024 г. и 2025 г. соответствующие величины составят 96,0 млрд руб. и 93,5 млрд руб.). В структуре этих поступлений в 2023 г. превалируют доходы в виде доли государства при выполнении соглашений о разделе продукции (47,0 </w:t>
      </w:r>
      <w:proofErr w:type="gramStart"/>
      <w:r w:rsidRPr="00E103B9">
        <w:rPr>
          <w:sz w:val="28"/>
          <w:szCs w:val="20"/>
          <w:lang w:eastAsia="en-US"/>
        </w:rPr>
        <w:t>млрд</w:t>
      </w:r>
      <w:proofErr w:type="gramEnd"/>
      <w:r w:rsidRPr="00E103B9">
        <w:rPr>
          <w:sz w:val="28"/>
          <w:szCs w:val="20"/>
          <w:lang w:eastAsia="en-US"/>
        </w:rPr>
        <w:t xml:space="preserve"> руб.), от выпуска материальных ценностей из государственного резерва в </w:t>
      </w:r>
      <w:r w:rsidRPr="00E103B9">
        <w:rPr>
          <w:sz w:val="28"/>
          <w:szCs w:val="20"/>
          <w:lang w:eastAsia="en-US"/>
        </w:rPr>
        <w:lastRenderedPageBreak/>
        <w:t>целях освежения его запасов (38,7 млрд руб.), и от привлечения осужденных к оплачиваемому труду (в части реализации готовой продукции) (24,0 млрд руб.). Как следует из представленного перечня, основная часть доходных статей бюджета по этому разделу имеет весьма отдаленное отношение к классической приватизационной проблематике.</w:t>
      </w:r>
    </w:p>
    <w:p w14:paraId="19726595" w14:textId="2E1F50B0" w:rsidR="00FF6CB8" w:rsidRPr="00E103B9" w:rsidRDefault="00FF6CB8" w:rsidP="00A35722">
      <w:pPr>
        <w:spacing w:before="120" w:after="60"/>
        <w:ind w:firstLine="709"/>
        <w:jc w:val="both"/>
        <w:rPr>
          <w:rFonts w:eastAsia="MS Mincho"/>
          <w:b/>
          <w:bCs/>
          <w:i/>
          <w:sz w:val="28"/>
          <w:szCs w:val="20"/>
          <w:lang w:eastAsia="ja-JP"/>
        </w:rPr>
      </w:pPr>
      <w:r w:rsidRPr="00E103B9">
        <w:rPr>
          <w:rFonts w:eastAsia="MS Mincho"/>
          <w:b/>
          <w:bCs/>
          <w:i/>
          <w:sz w:val="28"/>
          <w:szCs w:val="20"/>
          <w:lang w:eastAsia="ja-JP"/>
        </w:rPr>
        <w:t>Доходы от использования государственного имущества</w:t>
      </w:r>
    </w:p>
    <w:p w14:paraId="6D038B59" w14:textId="52593D4A" w:rsidR="00E3709D" w:rsidRPr="00E103B9" w:rsidRDefault="00E3709D" w:rsidP="00A35722">
      <w:pPr>
        <w:spacing w:after="60"/>
        <w:ind w:firstLine="709"/>
        <w:jc w:val="both"/>
        <w:rPr>
          <w:sz w:val="28"/>
        </w:rPr>
      </w:pPr>
      <w:r w:rsidRPr="00E103B9">
        <w:rPr>
          <w:sz w:val="28"/>
          <w:szCs w:val="28"/>
          <w:lang w:eastAsia="en-US"/>
        </w:rPr>
        <w:t xml:space="preserve">Доходы от использования имущества, находящегося в государственной и муниципальной собственности, на 2023 г. прогнозируются в объеме 929,0 </w:t>
      </w:r>
      <w:proofErr w:type="gramStart"/>
      <w:r w:rsidRPr="00E103B9">
        <w:rPr>
          <w:sz w:val="28"/>
          <w:szCs w:val="28"/>
          <w:lang w:eastAsia="en-US"/>
        </w:rPr>
        <w:t>млрд</w:t>
      </w:r>
      <w:proofErr w:type="gramEnd"/>
      <w:r w:rsidRPr="00E103B9">
        <w:rPr>
          <w:sz w:val="28"/>
          <w:szCs w:val="28"/>
          <w:lang w:eastAsia="en-US"/>
        </w:rPr>
        <w:t xml:space="preserve"> руб., что на 335,0 млрд руб. меньше, чем ожидается в 2022 г. Прогноз по данному виду доходов на 2024 г. составляет 1 271,5 млрд руб., а на 2025 г. – 1 225,2 млрд руб. Основную (более половины) часть поступлений от использования госимущества должны обеспечить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государству: 544,1 </w:t>
      </w:r>
      <w:proofErr w:type="gramStart"/>
      <w:r w:rsidRPr="00E103B9">
        <w:rPr>
          <w:sz w:val="28"/>
          <w:szCs w:val="28"/>
          <w:lang w:eastAsia="en-US"/>
        </w:rPr>
        <w:t>млрд</w:t>
      </w:r>
      <w:proofErr w:type="gramEnd"/>
      <w:r w:rsidRPr="00E103B9">
        <w:rPr>
          <w:sz w:val="28"/>
          <w:szCs w:val="28"/>
          <w:lang w:eastAsia="en-US"/>
        </w:rPr>
        <w:t xml:space="preserve"> руб. (или 58,6%) в 2023 г., 845,2 млрд руб. (или 66,5%) в 2024 г., 823,6 млрд руб. (или 67,2%) в 2025 г. </w:t>
      </w:r>
      <w:r w:rsidRPr="00E103B9">
        <w:rPr>
          <w:sz w:val="28"/>
        </w:rPr>
        <w:t xml:space="preserve">Указанные величины дивидендных поступлений включают </w:t>
      </w:r>
      <w:r w:rsidRPr="00E103B9">
        <w:rPr>
          <w:iCs/>
          <w:sz w:val="28"/>
        </w:rPr>
        <w:t>дивиденды ПАО «Сбербанк»</w:t>
      </w:r>
      <w:r w:rsidRPr="00E103B9">
        <w:rPr>
          <w:iCs/>
          <w:sz w:val="28"/>
          <w:vertAlign w:val="superscript"/>
        </w:rPr>
        <w:footnoteReference w:id="38"/>
      </w:r>
      <w:r w:rsidRPr="00E103B9">
        <w:rPr>
          <w:iCs/>
          <w:sz w:val="28"/>
        </w:rPr>
        <w:t xml:space="preserve">. </w:t>
      </w:r>
    </w:p>
    <w:p w14:paraId="3C05C68D" w14:textId="596A1547" w:rsidR="00E3709D" w:rsidRPr="00E103B9" w:rsidRDefault="00E3709D" w:rsidP="00A35722">
      <w:pPr>
        <w:spacing w:after="60"/>
        <w:ind w:firstLine="709"/>
        <w:jc w:val="both"/>
        <w:rPr>
          <w:color w:val="22272F"/>
          <w:sz w:val="28"/>
          <w:szCs w:val="28"/>
          <w:shd w:val="clear" w:color="auto" w:fill="FFFFFF"/>
        </w:rPr>
      </w:pPr>
      <w:r w:rsidRPr="00E103B9">
        <w:rPr>
          <w:sz w:val="28"/>
          <w:szCs w:val="28"/>
          <w:lang w:eastAsia="en-US"/>
        </w:rPr>
        <w:t xml:space="preserve">Непосредственно дивидендные поступления на 2023 г., </w:t>
      </w:r>
      <w:r w:rsidRPr="00E103B9">
        <w:rPr>
          <w:sz w:val="28"/>
        </w:rPr>
        <w:t xml:space="preserve">включая дивиденды ПАО «Сбербанк», </w:t>
      </w:r>
      <w:r w:rsidRPr="00E103B9">
        <w:rPr>
          <w:sz w:val="28"/>
          <w:szCs w:val="28"/>
          <w:lang w:eastAsia="en-US"/>
        </w:rPr>
        <w:t xml:space="preserve">ожидаются в размере на 306 </w:t>
      </w:r>
      <w:proofErr w:type="gramStart"/>
      <w:r w:rsidRPr="00E103B9">
        <w:rPr>
          <w:sz w:val="28"/>
          <w:szCs w:val="28"/>
          <w:lang w:eastAsia="en-US"/>
        </w:rPr>
        <w:t>млрд</w:t>
      </w:r>
      <w:proofErr w:type="gramEnd"/>
      <w:r w:rsidRPr="00E103B9">
        <w:rPr>
          <w:sz w:val="28"/>
          <w:szCs w:val="28"/>
          <w:lang w:eastAsia="en-US"/>
        </w:rPr>
        <w:t xml:space="preserve"> руб. меньше, чем в текущем году. Напротив, в следующем 2024 г. этот провал должен быть почти полностью компенсирован. Прогнозируется прирост более чем в полтора раза (или на 301,1 </w:t>
      </w:r>
      <w:proofErr w:type="gramStart"/>
      <w:r w:rsidRPr="00E103B9">
        <w:rPr>
          <w:sz w:val="28"/>
          <w:szCs w:val="28"/>
          <w:lang w:eastAsia="en-US"/>
        </w:rPr>
        <w:t>млрд</w:t>
      </w:r>
      <w:proofErr w:type="gramEnd"/>
      <w:r w:rsidRPr="00E103B9">
        <w:rPr>
          <w:sz w:val="28"/>
          <w:szCs w:val="28"/>
          <w:lang w:eastAsia="en-US"/>
        </w:rPr>
        <w:t xml:space="preserve"> руб.), сменяющийся в следующем 2025 г. небольшим падением на 2,6% (или на 21,7 млрд руб.). </w:t>
      </w:r>
      <w:r w:rsidRPr="00E103B9">
        <w:rPr>
          <w:color w:val="22272F"/>
          <w:sz w:val="28"/>
          <w:szCs w:val="28"/>
          <w:shd w:val="clear" w:color="auto" w:fill="FFFFFF"/>
        </w:rPr>
        <w:t xml:space="preserve">При этом в отличие от предшествующих лет в тексте Пояснительной записки отсутствует оценка влияния на общую величину дивидендных поступлений отдельных факторов (динамика </w:t>
      </w:r>
      <w:r w:rsidRPr="00E103B9">
        <w:rPr>
          <w:sz w:val="28"/>
        </w:rPr>
        <w:t xml:space="preserve">чистой прибыли компаний, </w:t>
      </w:r>
      <w:r w:rsidRPr="00E103B9">
        <w:rPr>
          <w:iCs/>
          <w:sz w:val="28"/>
        </w:rPr>
        <w:t>принятие отдельных решений по выплате дивидендов некоторыми из них и т.п.).</w:t>
      </w:r>
    </w:p>
    <w:p w14:paraId="449ED462" w14:textId="77777777" w:rsidR="00E3709D" w:rsidRPr="00E103B9" w:rsidRDefault="00E3709D" w:rsidP="00A35722">
      <w:pPr>
        <w:spacing w:after="60"/>
        <w:ind w:firstLine="709"/>
        <w:jc w:val="both"/>
        <w:rPr>
          <w:sz w:val="28"/>
        </w:rPr>
      </w:pPr>
      <w:r w:rsidRPr="00E103B9">
        <w:rPr>
          <w:sz w:val="28"/>
        </w:rPr>
        <w:t>С</w:t>
      </w:r>
      <w:r w:rsidRPr="00E103B9">
        <w:rPr>
          <w:sz w:val="28"/>
          <w:szCs w:val="28"/>
          <w:lang w:eastAsia="en-US"/>
        </w:rPr>
        <w:t xml:space="preserve"> учетом </w:t>
      </w:r>
      <w:r w:rsidRPr="00E103B9">
        <w:rPr>
          <w:sz w:val="28"/>
        </w:rPr>
        <w:t xml:space="preserve">динамики доходов от прибыли и дивидендов в последние годы (в </w:t>
      </w:r>
      <w:r w:rsidRPr="00E103B9">
        <w:rPr>
          <w:sz w:val="28"/>
          <w:szCs w:val="28"/>
          <w:lang w:eastAsia="en-US"/>
        </w:rPr>
        <w:t xml:space="preserve">2019 г. 441,6 </w:t>
      </w:r>
      <w:proofErr w:type="gramStart"/>
      <w:r w:rsidRPr="00E103B9">
        <w:rPr>
          <w:sz w:val="28"/>
          <w:szCs w:val="28"/>
          <w:lang w:eastAsia="en-US"/>
        </w:rPr>
        <w:t>млрд</w:t>
      </w:r>
      <w:proofErr w:type="gramEnd"/>
      <w:r w:rsidRPr="00E103B9">
        <w:rPr>
          <w:sz w:val="28"/>
          <w:szCs w:val="28"/>
          <w:lang w:eastAsia="en-US"/>
        </w:rPr>
        <w:t xml:space="preserve"> руб., в 2020 г. </w:t>
      </w:r>
      <w:r w:rsidRPr="00E103B9">
        <w:rPr>
          <w:sz w:val="28"/>
          <w:szCs w:val="20"/>
        </w:rPr>
        <w:t xml:space="preserve">422,7 млрд руб., в 2021 г. 339,5 млрд руб.) </w:t>
      </w:r>
      <w:r w:rsidRPr="00E103B9">
        <w:rPr>
          <w:sz w:val="28"/>
          <w:szCs w:val="28"/>
          <w:lang w:eastAsia="en-US"/>
        </w:rPr>
        <w:t xml:space="preserve">достижение в 2024-2025 гг. величин более 0,8 трлн руб. может быть довольно проблематичным. Разумеется, на протяжении последнего десятилетия имели место явления прироста </w:t>
      </w:r>
      <w:r w:rsidRPr="00E103B9">
        <w:rPr>
          <w:sz w:val="28"/>
        </w:rPr>
        <w:t xml:space="preserve">дивидендных поступлений в бюджет в размере, сопоставимом </w:t>
      </w:r>
      <w:r w:rsidRPr="00E103B9">
        <w:rPr>
          <w:sz w:val="28"/>
          <w:lang w:val="en-US"/>
        </w:rPr>
        <w:t>c</w:t>
      </w:r>
      <w:r w:rsidRPr="00E103B9">
        <w:rPr>
          <w:sz w:val="28"/>
        </w:rPr>
        <w:t xml:space="preserve"> тем, что прогнозируется в 2024 г., или даже б</w:t>
      </w:r>
      <w:r w:rsidRPr="00E103B9">
        <w:rPr>
          <w:i/>
          <w:iCs/>
          <w:sz w:val="28"/>
        </w:rPr>
        <w:t>о</w:t>
      </w:r>
      <w:r w:rsidRPr="00E103B9">
        <w:rPr>
          <w:sz w:val="28"/>
        </w:rPr>
        <w:t>льшем (например, в 2012, 2014, 2019 гг.). Однако результаты тех лет едва ли могут быть адекватным обоснованием будущих поступлений в бюджет в сложившейся экономико-политической ситуации.</w:t>
      </w:r>
    </w:p>
    <w:p w14:paraId="1C46802E" w14:textId="2BEA91FE" w:rsidR="00E3709D" w:rsidRPr="00E103B9" w:rsidRDefault="00E3709D" w:rsidP="00A35722">
      <w:pPr>
        <w:spacing w:after="60"/>
        <w:ind w:firstLine="709"/>
        <w:jc w:val="both"/>
        <w:rPr>
          <w:sz w:val="28"/>
          <w:szCs w:val="20"/>
        </w:rPr>
      </w:pPr>
      <w:r w:rsidRPr="00E103B9">
        <w:rPr>
          <w:color w:val="22272F"/>
          <w:sz w:val="28"/>
          <w:szCs w:val="28"/>
          <w:shd w:val="clear" w:color="auto" w:fill="FFFFFF"/>
        </w:rPr>
        <w:t xml:space="preserve">Необходимо отметить, что все указанные выше величины </w:t>
      </w:r>
      <w:r w:rsidRPr="00E103B9">
        <w:rPr>
          <w:sz w:val="28"/>
        </w:rPr>
        <w:t xml:space="preserve">дивидендных поступлений (прогноз на 2023-2025 гг.), взятые из </w:t>
      </w:r>
      <w:r w:rsidRPr="00E103B9">
        <w:rPr>
          <w:sz w:val="28"/>
          <w:szCs w:val="20"/>
        </w:rPr>
        <w:t xml:space="preserve">текста </w:t>
      </w:r>
      <w:r w:rsidRPr="00E103B9">
        <w:rPr>
          <w:color w:val="22272F"/>
          <w:sz w:val="28"/>
          <w:szCs w:val="28"/>
          <w:shd w:val="clear" w:color="auto" w:fill="FFFFFF"/>
        </w:rPr>
        <w:t xml:space="preserve">Пояснительной записки к </w:t>
      </w:r>
      <w:r w:rsidRPr="00E103B9">
        <w:rPr>
          <w:color w:val="22272F"/>
          <w:sz w:val="28"/>
          <w:szCs w:val="28"/>
          <w:shd w:val="clear" w:color="auto" w:fill="FFFFFF"/>
        </w:rPr>
        <w:lastRenderedPageBreak/>
        <w:t xml:space="preserve">Законопроекту, заметно </w:t>
      </w:r>
      <w:r w:rsidRPr="00E103B9">
        <w:rPr>
          <w:sz w:val="28"/>
        </w:rPr>
        <w:t>превышают данные, приведенные в Реестре источников доходов федерального бюджета (приложение к Законопроекту)</w:t>
      </w:r>
      <w:r w:rsidRPr="00E103B9">
        <w:rPr>
          <w:sz w:val="28"/>
          <w:szCs w:val="20"/>
          <w:vertAlign w:val="superscript"/>
        </w:rPr>
        <w:footnoteReference w:id="39"/>
      </w:r>
      <w:r w:rsidRPr="00E103B9">
        <w:rPr>
          <w:sz w:val="28"/>
          <w:szCs w:val="20"/>
        </w:rPr>
        <w:t xml:space="preserve">. Можно предположить, что в них не учтены </w:t>
      </w:r>
      <w:r w:rsidRPr="00E103B9">
        <w:rPr>
          <w:sz w:val="28"/>
          <w:szCs w:val="28"/>
          <w:lang w:eastAsia="en-US"/>
        </w:rPr>
        <w:t>дивиденды от Сбербанка</w:t>
      </w:r>
      <w:r w:rsidRPr="00E103B9">
        <w:rPr>
          <w:color w:val="22272F"/>
          <w:sz w:val="28"/>
          <w:szCs w:val="28"/>
          <w:shd w:val="clear" w:color="auto" w:fill="FFFFFF"/>
        </w:rPr>
        <w:t xml:space="preserve">, хотя прямое указание на это </w:t>
      </w:r>
      <w:r w:rsidRPr="00E103B9">
        <w:rPr>
          <w:sz w:val="28"/>
          <w:szCs w:val="20"/>
        </w:rPr>
        <w:t xml:space="preserve">отсутствует. Данный фактор </w:t>
      </w:r>
      <w:r w:rsidRPr="00E103B9">
        <w:rPr>
          <w:spacing w:val="4"/>
          <w:sz w:val="28"/>
          <w:lang w:eastAsia="en-US"/>
        </w:rPr>
        <w:t xml:space="preserve">заслуживает выделения в контексте </w:t>
      </w:r>
      <w:proofErr w:type="spellStart"/>
      <w:r w:rsidRPr="00E103B9">
        <w:rPr>
          <w:spacing w:val="4"/>
          <w:sz w:val="28"/>
          <w:lang w:eastAsia="en-US"/>
        </w:rPr>
        <w:t>погодового</w:t>
      </w:r>
      <w:proofErr w:type="spellEnd"/>
      <w:r w:rsidRPr="00E103B9">
        <w:rPr>
          <w:spacing w:val="4"/>
          <w:sz w:val="28"/>
          <w:lang w:eastAsia="en-US"/>
        </w:rPr>
        <w:t xml:space="preserve"> </w:t>
      </w:r>
      <w:r w:rsidRPr="00E103B9">
        <w:rPr>
          <w:color w:val="000000"/>
          <w:sz w:val="28"/>
        </w:rPr>
        <w:t>прогноза дивидендных поступлений в</w:t>
      </w:r>
      <w:r w:rsidRPr="00E103B9">
        <w:rPr>
          <w:sz w:val="28"/>
          <w:szCs w:val="20"/>
        </w:rPr>
        <w:t xml:space="preserve"> бюджет (по аналогии с факторами </w:t>
      </w:r>
      <w:r w:rsidRPr="00E103B9">
        <w:rPr>
          <w:spacing w:val="4"/>
          <w:sz w:val="28"/>
          <w:lang w:eastAsia="en-US"/>
        </w:rPr>
        <w:t>общего</w:t>
      </w:r>
      <w:r w:rsidRPr="00E103B9">
        <w:rPr>
          <w:sz w:val="28"/>
          <w:szCs w:val="28"/>
        </w:rPr>
        <w:t xml:space="preserve"> размера чистой прибыли компаний и </w:t>
      </w:r>
      <w:r w:rsidRPr="00E103B9">
        <w:rPr>
          <w:iCs/>
          <w:sz w:val="28"/>
        </w:rPr>
        <w:t>принятия отдельных решений о выплате дивидендов</w:t>
      </w:r>
      <w:r w:rsidRPr="00E103B9">
        <w:rPr>
          <w:sz w:val="28"/>
          <w:szCs w:val="28"/>
        </w:rPr>
        <w:t>).</w:t>
      </w:r>
      <w:r w:rsidRPr="00E103B9">
        <w:rPr>
          <w:sz w:val="28"/>
          <w:szCs w:val="20"/>
        </w:rPr>
        <w:t xml:space="preserve"> </w:t>
      </w:r>
    </w:p>
    <w:p w14:paraId="57B0309D" w14:textId="27D25DB4" w:rsidR="00E3709D" w:rsidRPr="00E103B9" w:rsidRDefault="00E3709D" w:rsidP="00A35722">
      <w:pPr>
        <w:spacing w:after="60"/>
        <w:ind w:firstLine="709"/>
        <w:jc w:val="both"/>
        <w:rPr>
          <w:sz w:val="32"/>
          <w:szCs w:val="20"/>
        </w:rPr>
      </w:pPr>
      <w:proofErr w:type="gramStart"/>
      <w:r w:rsidRPr="00E103B9">
        <w:rPr>
          <w:sz w:val="28"/>
          <w:szCs w:val="28"/>
          <w:lang w:eastAsia="en-US"/>
        </w:rPr>
        <w:t xml:space="preserve">Также </w:t>
      </w:r>
      <w:r w:rsidRPr="00E103B9">
        <w:rPr>
          <w:sz w:val="28"/>
        </w:rPr>
        <w:t xml:space="preserve">в </w:t>
      </w:r>
      <w:r w:rsidRPr="00E103B9">
        <w:rPr>
          <w:sz w:val="28"/>
          <w:szCs w:val="20"/>
        </w:rPr>
        <w:t xml:space="preserve">тексте </w:t>
      </w:r>
      <w:r w:rsidRPr="00E103B9">
        <w:rPr>
          <w:color w:val="22272F"/>
          <w:sz w:val="28"/>
          <w:szCs w:val="28"/>
          <w:shd w:val="clear" w:color="auto" w:fill="FFFFFF"/>
        </w:rPr>
        <w:t>Пояснительной записки к Законопроекту величины и</w:t>
      </w:r>
      <w:r w:rsidRPr="00E103B9">
        <w:rPr>
          <w:sz w:val="28"/>
        </w:rPr>
        <w:t xml:space="preserve">зменения прогноза поступлений дивидендов, приведенные среди основных факторов отклонений прогноза поступлений доходов от имущества год к году (табл. 3.29), для 2024-2025 гг. </w:t>
      </w:r>
      <w:r w:rsidRPr="00E103B9">
        <w:rPr>
          <w:color w:val="22272F"/>
          <w:sz w:val="28"/>
          <w:szCs w:val="28"/>
          <w:shd w:val="clear" w:color="auto" w:fill="FFFFFF"/>
        </w:rPr>
        <w:t xml:space="preserve">отличаются в меньшую сторону от соответствующих </w:t>
      </w:r>
      <w:proofErr w:type="spellStart"/>
      <w:r w:rsidRPr="00E103B9">
        <w:rPr>
          <w:color w:val="22272F"/>
          <w:sz w:val="28"/>
          <w:szCs w:val="28"/>
          <w:shd w:val="clear" w:color="auto" w:fill="FFFFFF"/>
        </w:rPr>
        <w:t>погодовых</w:t>
      </w:r>
      <w:proofErr w:type="spellEnd"/>
      <w:r w:rsidRPr="00E103B9">
        <w:rPr>
          <w:color w:val="22272F"/>
          <w:sz w:val="28"/>
          <w:szCs w:val="28"/>
          <w:shd w:val="clear" w:color="auto" w:fill="FFFFFF"/>
        </w:rPr>
        <w:t xml:space="preserve"> величин в табл. 3.2</w:t>
      </w:r>
      <w:r w:rsidRPr="00E103B9">
        <w:rPr>
          <w:b/>
          <w:sz w:val="28"/>
          <w:szCs w:val="20"/>
        </w:rPr>
        <w:t xml:space="preserve"> (</w:t>
      </w:r>
      <w:r w:rsidRPr="00E103B9">
        <w:rPr>
          <w:sz w:val="28"/>
          <w:szCs w:val="20"/>
        </w:rPr>
        <w:t>Факторный анализ изменения доходов федерального бюджета в 2023-2025 гг. (год к году)).</w:t>
      </w:r>
      <w:proofErr w:type="gramEnd"/>
    </w:p>
    <w:p w14:paraId="2FFECCF2" w14:textId="62A01FF0" w:rsidR="00E3709D" w:rsidRPr="00E103B9" w:rsidRDefault="00E3709D" w:rsidP="000D731C">
      <w:pPr>
        <w:spacing w:after="60"/>
        <w:ind w:firstLine="709"/>
        <w:jc w:val="both"/>
        <w:rPr>
          <w:sz w:val="28"/>
          <w:szCs w:val="20"/>
        </w:rPr>
      </w:pPr>
      <w:r w:rsidRPr="00E103B9">
        <w:rPr>
          <w:sz w:val="28"/>
          <w:szCs w:val="20"/>
        </w:rPr>
        <w:t xml:space="preserve">Прочие же виды доходов федерального бюджета от использования государственного имущества носят дополняющий характер. </w:t>
      </w:r>
      <w:r w:rsidRPr="00E103B9">
        <w:rPr>
          <w:sz w:val="28"/>
          <w:szCs w:val="20"/>
          <w:lang w:eastAsia="en-US"/>
        </w:rPr>
        <w:t>Основное место среди них в 2023 г. занимают</w:t>
      </w:r>
      <w:r w:rsidRPr="00E103B9">
        <w:rPr>
          <w:sz w:val="28"/>
          <w:szCs w:val="28"/>
          <w:lang w:eastAsia="en-US"/>
        </w:rPr>
        <w:t xml:space="preserve"> доходы, получаемые в виде арендной платы (22,5 </w:t>
      </w:r>
      <w:proofErr w:type="gramStart"/>
      <w:r w:rsidRPr="00E103B9">
        <w:rPr>
          <w:sz w:val="28"/>
          <w:szCs w:val="28"/>
          <w:lang w:eastAsia="en-US"/>
        </w:rPr>
        <w:t>млрд</w:t>
      </w:r>
      <w:proofErr w:type="gramEnd"/>
      <w:r w:rsidRPr="00E103B9">
        <w:rPr>
          <w:sz w:val="28"/>
          <w:szCs w:val="28"/>
          <w:lang w:eastAsia="en-US"/>
        </w:rPr>
        <w:t xml:space="preserve"> руб.), и </w:t>
      </w:r>
      <w:r w:rsidRPr="00E103B9">
        <w:rPr>
          <w:sz w:val="28"/>
          <w:szCs w:val="20"/>
        </w:rPr>
        <w:t xml:space="preserve">перечисления части чистой прибыли от </w:t>
      </w:r>
      <w:r w:rsidRPr="00E103B9">
        <w:rPr>
          <w:sz w:val="28"/>
          <w:szCs w:val="28"/>
        </w:rPr>
        <w:t>федеральных государственных унитарных предприятий (4</w:t>
      </w:r>
      <w:r w:rsidRPr="00E103B9">
        <w:rPr>
          <w:sz w:val="28"/>
          <w:szCs w:val="28"/>
          <w:lang w:eastAsia="en-US"/>
        </w:rPr>
        <w:t>,6 млрд руб.). И если в последующие два года ожидается п</w:t>
      </w:r>
      <w:r w:rsidRPr="00E103B9">
        <w:rPr>
          <w:sz w:val="28"/>
        </w:rPr>
        <w:t xml:space="preserve">оследовательное увеличение доходов от перечисления части прибыли, остающейся после уплаты налогов и иных обязательных платежей </w:t>
      </w:r>
      <w:proofErr w:type="spellStart"/>
      <w:r w:rsidRPr="00E103B9">
        <w:rPr>
          <w:sz w:val="28"/>
          <w:szCs w:val="28"/>
          <w:lang w:eastAsia="en-US"/>
        </w:rPr>
        <w:t>ФГУПов</w:t>
      </w:r>
      <w:proofErr w:type="spellEnd"/>
      <w:r w:rsidRPr="00E103B9">
        <w:rPr>
          <w:sz w:val="28"/>
          <w:szCs w:val="28"/>
          <w:lang w:eastAsia="en-US"/>
        </w:rPr>
        <w:t xml:space="preserve"> (в 2024 г. 5,4 </w:t>
      </w:r>
      <w:proofErr w:type="gramStart"/>
      <w:r w:rsidRPr="00E103B9">
        <w:rPr>
          <w:sz w:val="28"/>
          <w:szCs w:val="28"/>
          <w:lang w:eastAsia="en-US"/>
        </w:rPr>
        <w:t>млрд</w:t>
      </w:r>
      <w:proofErr w:type="gramEnd"/>
      <w:r w:rsidRPr="00E103B9">
        <w:rPr>
          <w:sz w:val="28"/>
          <w:szCs w:val="28"/>
          <w:lang w:eastAsia="en-US"/>
        </w:rPr>
        <w:t xml:space="preserve"> руб., 2025 г. 6 млрд руб.), то д</w:t>
      </w:r>
      <w:r w:rsidRPr="00E103B9">
        <w:rPr>
          <w:sz w:val="28"/>
        </w:rPr>
        <w:t xml:space="preserve">инамика арендных доходов бюджета носит менее однозначный характер: в 2024 г. ожидается их падение более чем на четверть (до 16,7 млрд руб.), а в 2025 г. – рост на 12,4% (до 18,8 </w:t>
      </w:r>
      <w:proofErr w:type="gramStart"/>
      <w:r w:rsidRPr="00E103B9">
        <w:rPr>
          <w:sz w:val="28"/>
        </w:rPr>
        <w:t>млрд</w:t>
      </w:r>
      <w:proofErr w:type="gramEnd"/>
      <w:r w:rsidRPr="00E103B9">
        <w:rPr>
          <w:sz w:val="28"/>
        </w:rPr>
        <w:t xml:space="preserve"> руб.).</w:t>
      </w:r>
    </w:p>
    <w:p w14:paraId="5D092E4A" w14:textId="77777777" w:rsidR="00E3709D" w:rsidRPr="00E103B9" w:rsidRDefault="00E3709D" w:rsidP="00E3709D">
      <w:pPr>
        <w:ind w:firstLine="567"/>
        <w:jc w:val="both"/>
        <w:rPr>
          <w:sz w:val="28"/>
        </w:rPr>
      </w:pPr>
    </w:p>
    <w:p w14:paraId="50C5193D" w14:textId="19248AC3" w:rsidR="007D098C" w:rsidRPr="00E103B9" w:rsidRDefault="008901D5" w:rsidP="00200236">
      <w:pPr>
        <w:pStyle w:val="afc"/>
        <w:keepNext/>
        <w:numPr>
          <w:ilvl w:val="0"/>
          <w:numId w:val="19"/>
        </w:numPr>
        <w:spacing w:before="240" w:after="360"/>
        <w:ind w:left="0" w:firstLine="0"/>
        <w:jc w:val="center"/>
        <w:outlineLvl w:val="0"/>
        <w:rPr>
          <w:b/>
          <w:sz w:val="28"/>
        </w:rPr>
      </w:pPr>
      <w:bookmarkStart w:id="12" w:name="_Toc116593934"/>
      <w:r w:rsidRPr="00E103B9">
        <w:rPr>
          <w:b/>
          <w:kern w:val="28"/>
          <w:sz w:val="32"/>
        </w:rPr>
        <w:t>С</w:t>
      </w:r>
      <w:r w:rsidR="00995E45" w:rsidRPr="00E103B9">
        <w:rPr>
          <w:b/>
          <w:kern w:val="28"/>
          <w:sz w:val="32"/>
        </w:rPr>
        <w:t>труктур</w:t>
      </w:r>
      <w:r w:rsidRPr="00E103B9">
        <w:rPr>
          <w:b/>
          <w:kern w:val="28"/>
          <w:sz w:val="32"/>
        </w:rPr>
        <w:t>а</w:t>
      </w:r>
      <w:r w:rsidR="00995E45" w:rsidRPr="00E103B9">
        <w:rPr>
          <w:b/>
          <w:kern w:val="28"/>
          <w:sz w:val="32"/>
        </w:rPr>
        <w:t xml:space="preserve"> и динамик</w:t>
      </w:r>
      <w:r w:rsidRPr="00E103B9">
        <w:rPr>
          <w:b/>
          <w:kern w:val="28"/>
          <w:sz w:val="32"/>
        </w:rPr>
        <w:t>а</w:t>
      </w:r>
      <w:r w:rsidR="00995E45" w:rsidRPr="00E103B9">
        <w:rPr>
          <w:b/>
          <w:kern w:val="28"/>
          <w:sz w:val="32"/>
        </w:rPr>
        <w:t xml:space="preserve"> расходов</w:t>
      </w:r>
      <w:bookmarkStart w:id="13" w:name="_Toc465966604"/>
      <w:r w:rsidR="00C473F9" w:rsidRPr="00E103B9">
        <w:rPr>
          <w:b/>
          <w:kern w:val="28"/>
          <w:sz w:val="32"/>
        </w:rPr>
        <w:t xml:space="preserve"> бюджета</w:t>
      </w:r>
      <w:bookmarkEnd w:id="12"/>
    </w:p>
    <w:p w14:paraId="12A94821" w14:textId="1F112B69" w:rsidR="008901D5" w:rsidRPr="00E103B9" w:rsidRDefault="00C473F9" w:rsidP="00483177">
      <w:pPr>
        <w:keepNext/>
        <w:spacing w:before="120" w:after="120"/>
        <w:jc w:val="center"/>
        <w:outlineLvl w:val="1"/>
        <w:rPr>
          <w:b/>
          <w:sz w:val="28"/>
        </w:rPr>
      </w:pPr>
      <w:bookmarkStart w:id="14" w:name="_Toc116593935"/>
      <w:bookmarkEnd w:id="13"/>
      <w:r w:rsidRPr="00E103B9">
        <w:rPr>
          <w:b/>
          <w:sz w:val="28"/>
          <w:szCs w:val="20"/>
        </w:rPr>
        <w:t>4</w:t>
      </w:r>
      <w:r w:rsidR="008901D5" w:rsidRPr="00E103B9">
        <w:rPr>
          <w:b/>
          <w:sz w:val="28"/>
          <w:szCs w:val="20"/>
        </w:rPr>
        <w:t>.</w:t>
      </w:r>
      <w:r w:rsidR="0052311A" w:rsidRPr="00E103B9">
        <w:rPr>
          <w:b/>
          <w:sz w:val="28"/>
          <w:szCs w:val="20"/>
        </w:rPr>
        <w:t>1</w:t>
      </w:r>
      <w:r w:rsidR="008901D5" w:rsidRPr="00E103B9">
        <w:rPr>
          <w:b/>
          <w:sz w:val="28"/>
        </w:rPr>
        <w:t xml:space="preserve"> Реализация национальных проектов и новые национальные цели</w:t>
      </w:r>
      <w:bookmarkEnd w:id="14"/>
    </w:p>
    <w:p w14:paraId="014C82A3" w14:textId="75A111BD" w:rsidR="00EB3E75" w:rsidRPr="00E103B9" w:rsidRDefault="00EB3E75" w:rsidP="00EB3E75">
      <w:pPr>
        <w:suppressAutoHyphens/>
        <w:spacing w:after="60"/>
        <w:ind w:firstLine="709"/>
        <w:jc w:val="both"/>
        <w:rPr>
          <w:sz w:val="28"/>
        </w:rPr>
      </w:pPr>
      <w:r w:rsidRPr="00E103B9">
        <w:rPr>
          <w:sz w:val="28"/>
        </w:rPr>
        <w:t>Общий объем планируемых расходов федерального бюджета на финансирование национальных проектов</w:t>
      </w:r>
      <w:r w:rsidR="00D639F9" w:rsidRPr="00E103B9">
        <w:rPr>
          <w:sz w:val="28"/>
        </w:rPr>
        <w:t xml:space="preserve"> (далее – НП)</w:t>
      </w:r>
      <w:r w:rsidRPr="00E103B9">
        <w:rPr>
          <w:sz w:val="28"/>
        </w:rPr>
        <w:t xml:space="preserve"> в 2023-2024 гг. составляет 2 866 и 2 974 </w:t>
      </w:r>
      <w:proofErr w:type="gramStart"/>
      <w:r w:rsidRPr="00E103B9">
        <w:rPr>
          <w:sz w:val="28"/>
        </w:rPr>
        <w:t>млрд</w:t>
      </w:r>
      <w:proofErr w:type="gramEnd"/>
      <w:r w:rsidRPr="00E103B9">
        <w:rPr>
          <w:sz w:val="28"/>
        </w:rPr>
        <w:t xml:space="preserve"> руб. соответственно </w:t>
      </w:r>
      <w:r w:rsidRPr="00E103B9">
        <w:rPr>
          <w:i/>
          <w:sz w:val="28"/>
        </w:rPr>
        <w:t>(таблица</w:t>
      </w:r>
      <w:r w:rsidR="007D5408" w:rsidRPr="00E103B9">
        <w:rPr>
          <w:i/>
          <w:sz w:val="28"/>
        </w:rPr>
        <w:t xml:space="preserve"> 9</w:t>
      </w:r>
      <w:r w:rsidRPr="00E103B9">
        <w:rPr>
          <w:i/>
          <w:sz w:val="28"/>
        </w:rPr>
        <w:t>)</w:t>
      </w:r>
      <w:r w:rsidRPr="00E103B9">
        <w:rPr>
          <w:sz w:val="28"/>
        </w:rPr>
        <w:t xml:space="preserve">. Первоначальный, при утверждении паспортов </w:t>
      </w:r>
      <w:r w:rsidR="00D639F9" w:rsidRPr="00E103B9">
        <w:rPr>
          <w:sz w:val="28"/>
        </w:rPr>
        <w:t>НП</w:t>
      </w:r>
      <w:r w:rsidRPr="00E103B9">
        <w:rPr>
          <w:sz w:val="28"/>
        </w:rPr>
        <w:t xml:space="preserve">, объем расходов из средств федерального бюджета составлял в 2019-2024 гг. 13 000 </w:t>
      </w:r>
      <w:proofErr w:type="gramStart"/>
      <w:r w:rsidRPr="00E103B9">
        <w:rPr>
          <w:sz w:val="28"/>
        </w:rPr>
        <w:t>млрд</w:t>
      </w:r>
      <w:proofErr w:type="gramEnd"/>
      <w:r w:rsidRPr="00E103B9">
        <w:rPr>
          <w:sz w:val="28"/>
        </w:rPr>
        <w:t xml:space="preserve"> руб., но с учетом профинансированных в 2019-2021 г., мероприятий, утвержденных расходов в 2022 г. и запланированных объемов бюджетных ассигнований в 2023-2024 гг. общий объем финансирования национальных проектов в 2019-2024 гг. составит 15 316 млрд руб., что на 2,3 трлн выше первоначально утвержденного объема расходов. </w:t>
      </w:r>
    </w:p>
    <w:p w14:paraId="00906036" w14:textId="77777777" w:rsidR="00E103B9" w:rsidRDefault="00E103B9" w:rsidP="00EB3E75">
      <w:pPr>
        <w:suppressAutoHyphens/>
        <w:spacing w:after="60"/>
        <w:ind w:firstLine="709"/>
        <w:jc w:val="right"/>
        <w:rPr>
          <w:i/>
        </w:rPr>
      </w:pPr>
    </w:p>
    <w:p w14:paraId="3DC79F8E" w14:textId="77777777" w:rsidR="00E103B9" w:rsidRDefault="00E103B9" w:rsidP="00EB3E75">
      <w:pPr>
        <w:suppressAutoHyphens/>
        <w:spacing w:after="60"/>
        <w:ind w:firstLine="709"/>
        <w:jc w:val="right"/>
        <w:rPr>
          <w:i/>
        </w:rPr>
      </w:pPr>
    </w:p>
    <w:p w14:paraId="2E40DD4F" w14:textId="77777777" w:rsidR="00E103B9" w:rsidRDefault="00E103B9" w:rsidP="00EB3E75">
      <w:pPr>
        <w:suppressAutoHyphens/>
        <w:spacing w:after="60"/>
        <w:ind w:firstLine="709"/>
        <w:jc w:val="right"/>
        <w:rPr>
          <w:i/>
        </w:rPr>
      </w:pPr>
    </w:p>
    <w:p w14:paraId="6F3C45DC" w14:textId="3F00CA4B" w:rsidR="00EB3E75" w:rsidRPr="009D5B83" w:rsidRDefault="00EB3E75" w:rsidP="00EB3E75">
      <w:pPr>
        <w:suppressAutoHyphens/>
        <w:spacing w:after="60"/>
        <w:ind w:firstLine="709"/>
        <w:jc w:val="right"/>
      </w:pPr>
      <w:r w:rsidRPr="009D5B83">
        <w:rPr>
          <w:i/>
        </w:rPr>
        <w:lastRenderedPageBreak/>
        <w:t xml:space="preserve">Таблица </w:t>
      </w:r>
      <w:r w:rsidR="007D5408" w:rsidRPr="009D5B83">
        <w:rPr>
          <w:i/>
        </w:rPr>
        <w:t>9</w:t>
      </w:r>
    </w:p>
    <w:p w14:paraId="7650EDEC" w14:textId="77777777" w:rsidR="00EB3E75" w:rsidRPr="009D5B83" w:rsidRDefault="00EB3E75" w:rsidP="00EB3E75">
      <w:pPr>
        <w:suppressAutoHyphens/>
        <w:spacing w:after="60"/>
        <w:ind w:firstLine="709"/>
        <w:jc w:val="center"/>
        <w:rPr>
          <w:color w:val="000000"/>
        </w:rPr>
      </w:pPr>
      <w:r w:rsidRPr="009D5B83">
        <w:rPr>
          <w:b/>
          <w:color w:val="000000"/>
        </w:rPr>
        <w:t xml:space="preserve">Расходы федерального бюджета по национальным проектам в 2019-2025 гг., </w:t>
      </w:r>
      <w:proofErr w:type="gramStart"/>
      <w:r w:rsidRPr="009D5B83">
        <w:rPr>
          <w:b/>
          <w:color w:val="000000"/>
        </w:rPr>
        <w:t>млрд</w:t>
      </w:r>
      <w:proofErr w:type="gramEnd"/>
      <w:r w:rsidRPr="009D5B83">
        <w:rPr>
          <w:b/>
          <w:color w:val="000000"/>
        </w:rPr>
        <w:t xml:space="preserve"> руб.</w:t>
      </w:r>
    </w:p>
    <w:tbl>
      <w:tblPr>
        <w:tblW w:w="9183" w:type="dxa"/>
        <w:tblInd w:w="108" w:type="dxa"/>
        <w:tblLayout w:type="fixed"/>
        <w:tblLook w:val="04A0" w:firstRow="1" w:lastRow="0" w:firstColumn="1" w:lastColumn="0" w:noHBand="0" w:noVBand="1"/>
      </w:tblPr>
      <w:tblGrid>
        <w:gridCol w:w="1705"/>
        <w:gridCol w:w="1074"/>
        <w:gridCol w:w="960"/>
        <w:gridCol w:w="859"/>
        <w:gridCol w:w="960"/>
        <w:gridCol w:w="846"/>
        <w:gridCol w:w="847"/>
        <w:gridCol w:w="909"/>
        <w:gridCol w:w="1023"/>
      </w:tblGrid>
      <w:tr w:rsidR="00EB3E75" w:rsidRPr="009D5B83" w14:paraId="599D6F40" w14:textId="77777777" w:rsidTr="001B68A1">
        <w:tc>
          <w:tcPr>
            <w:tcW w:w="1705" w:type="dxa"/>
            <w:vMerge w:val="restart"/>
            <w:tcBorders>
              <w:top w:val="single" w:sz="4" w:space="0" w:color="000000"/>
              <w:left w:val="single" w:sz="4" w:space="0" w:color="000000"/>
              <w:bottom w:val="single" w:sz="4" w:space="0" w:color="000000"/>
              <w:right w:val="single" w:sz="4" w:space="0" w:color="000000"/>
            </w:tcBorders>
            <w:vAlign w:val="center"/>
          </w:tcPr>
          <w:p w14:paraId="19C47CC9" w14:textId="77777777" w:rsidR="00EB3E75" w:rsidRPr="009D5B83" w:rsidRDefault="00EB3E75" w:rsidP="00EB3E75">
            <w:pPr>
              <w:widowControl w:val="0"/>
              <w:suppressAutoHyphens/>
              <w:jc w:val="center"/>
              <w:rPr>
                <w:b/>
                <w:bCs/>
                <w:sz w:val="20"/>
                <w:szCs w:val="20"/>
              </w:rPr>
            </w:pPr>
            <w:r w:rsidRPr="009D5B83">
              <w:rPr>
                <w:b/>
                <w:bCs/>
                <w:sz w:val="20"/>
                <w:szCs w:val="20"/>
              </w:rPr>
              <w:t>Национальный проект (программа)</w:t>
            </w:r>
          </w:p>
        </w:tc>
        <w:tc>
          <w:tcPr>
            <w:tcW w:w="1074" w:type="dxa"/>
            <w:vMerge w:val="restart"/>
            <w:tcBorders>
              <w:top w:val="single" w:sz="4" w:space="0" w:color="000000"/>
              <w:left w:val="single" w:sz="4" w:space="0" w:color="000000"/>
              <w:bottom w:val="single" w:sz="4" w:space="0" w:color="000000"/>
            </w:tcBorders>
            <w:vAlign w:val="center"/>
          </w:tcPr>
          <w:p w14:paraId="21F3DCD9" w14:textId="77777777" w:rsidR="00EB3E75" w:rsidRPr="009D5B83" w:rsidRDefault="00EB3E75" w:rsidP="00EB3E75">
            <w:pPr>
              <w:widowControl w:val="0"/>
              <w:suppressAutoHyphens/>
              <w:jc w:val="center"/>
              <w:rPr>
                <w:sz w:val="20"/>
                <w:szCs w:val="20"/>
              </w:rPr>
            </w:pPr>
            <w:r w:rsidRPr="009D5B83">
              <w:rPr>
                <w:b/>
                <w:sz w:val="20"/>
                <w:szCs w:val="20"/>
              </w:rPr>
              <w:t xml:space="preserve">Утвержденный объем бюджетных ассигнований в 2019-2024 гг. </w:t>
            </w:r>
            <w:r w:rsidRPr="009D5B83">
              <w:rPr>
                <w:b/>
                <w:sz w:val="20"/>
                <w:szCs w:val="20"/>
                <w:vertAlign w:val="superscript"/>
              </w:rPr>
              <w:footnoteReference w:id="40"/>
            </w:r>
          </w:p>
        </w:tc>
        <w:tc>
          <w:tcPr>
            <w:tcW w:w="960" w:type="dxa"/>
            <w:vMerge w:val="restart"/>
            <w:tcBorders>
              <w:top w:val="single" w:sz="4" w:space="0" w:color="000000"/>
              <w:left w:val="single" w:sz="4" w:space="0" w:color="000000"/>
              <w:bottom w:val="single" w:sz="4" w:space="0" w:color="000000"/>
            </w:tcBorders>
            <w:vAlign w:val="center"/>
          </w:tcPr>
          <w:p w14:paraId="236C42A8" w14:textId="77777777" w:rsidR="00EB3E75" w:rsidRPr="009D5B83" w:rsidRDefault="00EB3E75" w:rsidP="00EB3E75">
            <w:pPr>
              <w:widowControl w:val="0"/>
              <w:suppressAutoHyphens/>
              <w:jc w:val="center"/>
              <w:rPr>
                <w:b/>
                <w:bCs/>
                <w:sz w:val="20"/>
                <w:szCs w:val="20"/>
              </w:rPr>
            </w:pPr>
            <w:r w:rsidRPr="009D5B83">
              <w:rPr>
                <w:b/>
                <w:bCs/>
                <w:sz w:val="20"/>
                <w:szCs w:val="20"/>
              </w:rPr>
              <w:t xml:space="preserve">Объем расходов с учетом актуализации паспортов </w:t>
            </w: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14:paraId="0B45E7FF" w14:textId="77777777" w:rsidR="00EB3E75" w:rsidRPr="009D5B83" w:rsidRDefault="00EB3E75" w:rsidP="00EB3E75">
            <w:pPr>
              <w:widowControl w:val="0"/>
              <w:suppressAutoHyphens/>
              <w:jc w:val="center"/>
              <w:rPr>
                <w:sz w:val="20"/>
                <w:szCs w:val="20"/>
              </w:rPr>
            </w:pPr>
            <w:r w:rsidRPr="009D5B83">
              <w:rPr>
                <w:b/>
                <w:sz w:val="20"/>
                <w:szCs w:val="20"/>
              </w:rPr>
              <w:t xml:space="preserve">Расходы в </w:t>
            </w:r>
            <w:r w:rsidRPr="009D5B83">
              <w:rPr>
                <w:b/>
                <w:sz w:val="20"/>
                <w:szCs w:val="20"/>
                <w:lang w:val="en-US"/>
              </w:rPr>
              <w:t>2019-</w:t>
            </w:r>
            <w:r w:rsidRPr="009D5B83">
              <w:rPr>
                <w:b/>
                <w:sz w:val="20"/>
                <w:szCs w:val="20"/>
              </w:rPr>
              <w:t>2021 г. (факт)</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14:paraId="13E1E79F" w14:textId="77777777" w:rsidR="00EB3E75" w:rsidRPr="009D5B83" w:rsidRDefault="00EB3E75" w:rsidP="00EB3E75">
            <w:pPr>
              <w:widowControl w:val="0"/>
              <w:suppressAutoHyphens/>
              <w:jc w:val="center"/>
              <w:rPr>
                <w:b/>
                <w:sz w:val="20"/>
                <w:szCs w:val="20"/>
              </w:rPr>
            </w:pPr>
            <w:r w:rsidRPr="009D5B83">
              <w:rPr>
                <w:b/>
                <w:sz w:val="20"/>
                <w:szCs w:val="20"/>
              </w:rPr>
              <w:t>Расходы в 2022 г. (оценка)</w:t>
            </w:r>
          </w:p>
        </w:tc>
        <w:tc>
          <w:tcPr>
            <w:tcW w:w="2602" w:type="dxa"/>
            <w:gridSpan w:val="3"/>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5C7F8B43" w14:textId="77777777" w:rsidR="00EB3E75" w:rsidRPr="009D5B83" w:rsidRDefault="00EB3E75" w:rsidP="00EB3E75">
            <w:pPr>
              <w:widowControl w:val="0"/>
              <w:suppressAutoHyphens/>
              <w:jc w:val="center"/>
              <w:rPr>
                <w:b/>
                <w:sz w:val="20"/>
                <w:szCs w:val="20"/>
              </w:rPr>
            </w:pPr>
            <w:r w:rsidRPr="009D5B83">
              <w:rPr>
                <w:b/>
                <w:sz w:val="20"/>
                <w:szCs w:val="20"/>
              </w:rPr>
              <w:t>Бюджетные ассигнования по Законопроекту</w:t>
            </w:r>
          </w:p>
        </w:tc>
        <w:tc>
          <w:tcPr>
            <w:tcW w:w="1023" w:type="dxa"/>
            <w:vMerge w:val="restart"/>
            <w:tcBorders>
              <w:top w:val="single" w:sz="4" w:space="0" w:color="000000"/>
              <w:left w:val="single" w:sz="4" w:space="0" w:color="000000"/>
              <w:bottom w:val="single" w:sz="4" w:space="0" w:color="000000"/>
              <w:right w:val="single" w:sz="4" w:space="0" w:color="000000"/>
            </w:tcBorders>
            <w:vAlign w:val="center"/>
          </w:tcPr>
          <w:p w14:paraId="240E74A4" w14:textId="77777777" w:rsidR="00EB3E75" w:rsidRPr="009D5B83" w:rsidRDefault="00EB3E75" w:rsidP="00EB3E75">
            <w:pPr>
              <w:widowControl w:val="0"/>
              <w:suppressAutoHyphens/>
              <w:jc w:val="center"/>
              <w:rPr>
                <w:b/>
                <w:sz w:val="20"/>
                <w:szCs w:val="20"/>
              </w:rPr>
            </w:pPr>
            <w:r w:rsidRPr="009D5B83">
              <w:rPr>
                <w:b/>
                <w:sz w:val="20"/>
                <w:szCs w:val="20"/>
              </w:rPr>
              <w:t>Объем расходов 2019-2024 гг.</w:t>
            </w:r>
          </w:p>
        </w:tc>
      </w:tr>
      <w:tr w:rsidR="00EB3E75" w:rsidRPr="009D5B83" w14:paraId="3060D5CB" w14:textId="77777777" w:rsidTr="001B68A1">
        <w:tc>
          <w:tcPr>
            <w:tcW w:w="1705" w:type="dxa"/>
            <w:vMerge/>
            <w:tcBorders>
              <w:top w:val="single" w:sz="4" w:space="0" w:color="000000"/>
              <w:left w:val="single" w:sz="4" w:space="0" w:color="000000"/>
              <w:bottom w:val="single" w:sz="4" w:space="0" w:color="000000"/>
              <w:right w:val="single" w:sz="4" w:space="0" w:color="000000"/>
            </w:tcBorders>
            <w:vAlign w:val="center"/>
          </w:tcPr>
          <w:p w14:paraId="07C1C285" w14:textId="77777777" w:rsidR="00EB3E75" w:rsidRPr="009D5B83" w:rsidRDefault="00EB3E75" w:rsidP="00EB3E75">
            <w:pPr>
              <w:suppressAutoHyphens/>
              <w:jc w:val="center"/>
            </w:pPr>
          </w:p>
        </w:tc>
        <w:tc>
          <w:tcPr>
            <w:tcW w:w="1074" w:type="dxa"/>
            <w:vMerge/>
            <w:tcBorders>
              <w:top w:val="single" w:sz="4" w:space="0" w:color="000000"/>
              <w:left w:val="single" w:sz="4" w:space="0" w:color="000000"/>
              <w:bottom w:val="single" w:sz="4" w:space="0" w:color="000000"/>
            </w:tcBorders>
            <w:vAlign w:val="center"/>
          </w:tcPr>
          <w:p w14:paraId="2F501ABF" w14:textId="77777777" w:rsidR="00EB3E75" w:rsidRPr="009D5B83" w:rsidRDefault="00EB3E75" w:rsidP="00EB3E75">
            <w:pPr>
              <w:suppressAutoHyphens/>
              <w:jc w:val="center"/>
            </w:pPr>
          </w:p>
        </w:tc>
        <w:tc>
          <w:tcPr>
            <w:tcW w:w="960" w:type="dxa"/>
            <w:vMerge/>
            <w:tcBorders>
              <w:top w:val="single" w:sz="4" w:space="0" w:color="000000"/>
              <w:left w:val="single" w:sz="4" w:space="0" w:color="000000"/>
              <w:bottom w:val="single" w:sz="4" w:space="0" w:color="000000"/>
            </w:tcBorders>
            <w:vAlign w:val="center"/>
          </w:tcPr>
          <w:p w14:paraId="2F1ECE3B" w14:textId="77777777" w:rsidR="00EB3E75" w:rsidRPr="009D5B83" w:rsidRDefault="00EB3E75" w:rsidP="00EB3E75">
            <w:pPr>
              <w:suppressAutoHyphens/>
              <w:jc w:val="center"/>
            </w:pPr>
          </w:p>
        </w:tc>
        <w:tc>
          <w:tcPr>
            <w:tcW w:w="859" w:type="dxa"/>
            <w:vMerge/>
            <w:tcBorders>
              <w:top w:val="single" w:sz="4" w:space="0" w:color="000000"/>
              <w:left w:val="single" w:sz="4" w:space="0" w:color="000000"/>
              <w:bottom w:val="single" w:sz="4" w:space="0" w:color="000000"/>
              <w:right w:val="single" w:sz="4" w:space="0" w:color="000000"/>
            </w:tcBorders>
            <w:vAlign w:val="center"/>
          </w:tcPr>
          <w:p w14:paraId="4BDA73CA" w14:textId="77777777" w:rsidR="00EB3E75" w:rsidRPr="009D5B83" w:rsidRDefault="00EB3E75" w:rsidP="00EB3E75">
            <w:pPr>
              <w:suppressAutoHyphens/>
              <w:jc w:val="center"/>
            </w:pPr>
          </w:p>
        </w:tc>
        <w:tc>
          <w:tcPr>
            <w:tcW w:w="960" w:type="dxa"/>
            <w:vMerge/>
            <w:tcBorders>
              <w:top w:val="single" w:sz="4" w:space="0" w:color="000000"/>
              <w:left w:val="single" w:sz="4" w:space="0" w:color="000000"/>
              <w:bottom w:val="single" w:sz="4" w:space="0" w:color="000000"/>
              <w:right w:val="single" w:sz="4" w:space="0" w:color="000000"/>
            </w:tcBorders>
            <w:vAlign w:val="center"/>
          </w:tcPr>
          <w:p w14:paraId="1698FBBB" w14:textId="77777777" w:rsidR="00EB3E75" w:rsidRPr="009D5B83" w:rsidRDefault="00EB3E75" w:rsidP="00EB3E75">
            <w:pPr>
              <w:suppressAutoHyphens/>
              <w:jc w:val="center"/>
            </w:pPr>
          </w:p>
        </w:tc>
        <w:tc>
          <w:tcPr>
            <w:tcW w:w="846" w:type="dxa"/>
            <w:tcBorders>
              <w:left w:val="single" w:sz="4" w:space="0" w:color="000000"/>
              <w:bottom w:val="single" w:sz="4" w:space="0" w:color="000000"/>
              <w:right w:val="single" w:sz="4" w:space="0" w:color="000000"/>
            </w:tcBorders>
            <w:tcMar>
              <w:top w:w="55" w:type="dxa"/>
              <w:bottom w:w="55" w:type="dxa"/>
            </w:tcMar>
            <w:vAlign w:val="center"/>
          </w:tcPr>
          <w:p w14:paraId="05FDE544" w14:textId="77777777" w:rsidR="00EB3E75" w:rsidRPr="009D5B83" w:rsidRDefault="00EB3E75" w:rsidP="00EB3E75">
            <w:pPr>
              <w:widowControl w:val="0"/>
              <w:suppressAutoHyphens/>
              <w:jc w:val="center"/>
              <w:rPr>
                <w:b/>
                <w:sz w:val="20"/>
                <w:szCs w:val="20"/>
              </w:rPr>
            </w:pPr>
            <w:r w:rsidRPr="009D5B83">
              <w:rPr>
                <w:b/>
                <w:sz w:val="20"/>
                <w:szCs w:val="20"/>
              </w:rPr>
              <w:t>2023 г.</w:t>
            </w:r>
          </w:p>
        </w:tc>
        <w:tc>
          <w:tcPr>
            <w:tcW w:w="847" w:type="dxa"/>
            <w:tcBorders>
              <w:left w:val="single" w:sz="4" w:space="0" w:color="000000"/>
              <w:bottom w:val="single" w:sz="4" w:space="0" w:color="000000"/>
              <w:right w:val="single" w:sz="4" w:space="0" w:color="000000"/>
            </w:tcBorders>
            <w:tcMar>
              <w:top w:w="55" w:type="dxa"/>
              <w:bottom w:w="55" w:type="dxa"/>
            </w:tcMar>
            <w:vAlign w:val="center"/>
          </w:tcPr>
          <w:p w14:paraId="78511B3F" w14:textId="77777777" w:rsidR="00EB3E75" w:rsidRPr="009D5B83" w:rsidRDefault="00EB3E75" w:rsidP="00EB3E75">
            <w:pPr>
              <w:widowControl w:val="0"/>
              <w:suppressAutoHyphens/>
              <w:jc w:val="center"/>
              <w:rPr>
                <w:b/>
                <w:sz w:val="20"/>
                <w:szCs w:val="20"/>
              </w:rPr>
            </w:pPr>
            <w:r w:rsidRPr="009D5B83">
              <w:rPr>
                <w:b/>
                <w:sz w:val="20"/>
                <w:szCs w:val="20"/>
              </w:rPr>
              <w:t>2024 г.</w:t>
            </w:r>
          </w:p>
        </w:tc>
        <w:tc>
          <w:tcPr>
            <w:tcW w:w="909" w:type="dxa"/>
            <w:tcBorders>
              <w:left w:val="single" w:sz="4" w:space="0" w:color="000000"/>
              <w:bottom w:val="single" w:sz="4" w:space="0" w:color="000000"/>
              <w:right w:val="single" w:sz="4" w:space="0" w:color="000000"/>
            </w:tcBorders>
            <w:tcMar>
              <w:top w:w="55" w:type="dxa"/>
              <w:bottom w:w="55" w:type="dxa"/>
            </w:tcMar>
            <w:vAlign w:val="center"/>
          </w:tcPr>
          <w:p w14:paraId="5A8F2CE8" w14:textId="77777777" w:rsidR="00EB3E75" w:rsidRPr="009D5B83" w:rsidRDefault="00EB3E75" w:rsidP="00EB3E75">
            <w:pPr>
              <w:widowControl w:val="0"/>
              <w:tabs>
                <w:tab w:val="left" w:pos="846"/>
              </w:tabs>
              <w:suppressAutoHyphens/>
              <w:jc w:val="center"/>
              <w:rPr>
                <w:b/>
                <w:sz w:val="20"/>
                <w:szCs w:val="20"/>
              </w:rPr>
            </w:pPr>
            <w:r w:rsidRPr="009D5B83">
              <w:rPr>
                <w:b/>
                <w:sz w:val="20"/>
                <w:szCs w:val="20"/>
              </w:rPr>
              <w:t>2025 г.</w:t>
            </w:r>
          </w:p>
        </w:tc>
        <w:tc>
          <w:tcPr>
            <w:tcW w:w="1023" w:type="dxa"/>
            <w:vMerge/>
            <w:tcBorders>
              <w:top w:val="single" w:sz="4" w:space="0" w:color="000000"/>
              <w:left w:val="single" w:sz="4" w:space="0" w:color="000000"/>
              <w:bottom w:val="single" w:sz="4" w:space="0" w:color="000000"/>
              <w:right w:val="single" w:sz="4" w:space="0" w:color="000000"/>
            </w:tcBorders>
            <w:vAlign w:val="center"/>
          </w:tcPr>
          <w:p w14:paraId="41BAA536" w14:textId="77777777" w:rsidR="00EB3E75" w:rsidRPr="009D5B83" w:rsidRDefault="00EB3E75" w:rsidP="00EB3E75">
            <w:pPr>
              <w:suppressAutoHyphens/>
              <w:jc w:val="both"/>
            </w:pPr>
          </w:p>
        </w:tc>
      </w:tr>
      <w:tr w:rsidR="00EB3E75" w:rsidRPr="009D5B83" w14:paraId="5B645ED2"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0DF6AA09" w14:textId="5F2BE546" w:rsidR="00EB3E75" w:rsidRPr="009D5B83" w:rsidRDefault="002606E9" w:rsidP="00EB3E75">
            <w:pPr>
              <w:widowControl w:val="0"/>
              <w:suppressAutoHyphens/>
              <w:rPr>
                <w:b/>
                <w:bCs/>
                <w:sz w:val="20"/>
                <w:szCs w:val="20"/>
              </w:rPr>
            </w:pPr>
            <w:r>
              <w:rPr>
                <w:b/>
                <w:bCs/>
                <w:sz w:val="20"/>
                <w:szCs w:val="20"/>
              </w:rPr>
              <w:t>ВСЕГО</w:t>
            </w:r>
            <w:r w:rsidR="00EB3E75" w:rsidRPr="009D5B83">
              <w:rPr>
                <w:b/>
                <w:bCs/>
                <w:sz w:val="20"/>
                <w:szCs w:val="20"/>
              </w:rPr>
              <w:t>,</w:t>
            </w:r>
          </w:p>
          <w:p w14:paraId="4AE5D437" w14:textId="77777777" w:rsidR="00EB3E75" w:rsidRPr="009D5B83" w:rsidRDefault="00EB3E75" w:rsidP="00EB3E75">
            <w:pPr>
              <w:widowControl w:val="0"/>
              <w:suppressAutoHyphens/>
              <w:rPr>
                <w:b/>
                <w:bCs/>
                <w:sz w:val="20"/>
                <w:szCs w:val="20"/>
              </w:rPr>
            </w:pPr>
            <w:r w:rsidRPr="009D5B83">
              <w:rPr>
                <w:b/>
                <w:bCs/>
                <w:sz w:val="20"/>
                <w:szCs w:val="20"/>
              </w:rPr>
              <w:t>в том числе</w:t>
            </w:r>
          </w:p>
        </w:tc>
        <w:tc>
          <w:tcPr>
            <w:tcW w:w="1074" w:type="dxa"/>
            <w:tcBorders>
              <w:top w:val="single" w:sz="4" w:space="0" w:color="000000"/>
              <w:left w:val="single" w:sz="4" w:space="0" w:color="000000"/>
              <w:bottom w:val="single" w:sz="4" w:space="0" w:color="000000"/>
            </w:tcBorders>
            <w:tcMar>
              <w:left w:w="0" w:type="dxa"/>
              <w:right w:w="0" w:type="dxa"/>
            </w:tcMar>
            <w:vAlign w:val="center"/>
          </w:tcPr>
          <w:p w14:paraId="6E0B1D9E" w14:textId="77777777" w:rsidR="00EB3E75" w:rsidRPr="009D5B83" w:rsidRDefault="00EB3E75" w:rsidP="00EB3E75">
            <w:pPr>
              <w:widowControl w:val="0"/>
              <w:suppressAutoHyphens/>
              <w:jc w:val="center"/>
              <w:rPr>
                <w:b/>
                <w:bCs/>
                <w:color w:val="000000"/>
                <w:sz w:val="20"/>
                <w:szCs w:val="20"/>
              </w:rPr>
            </w:pPr>
            <w:r w:rsidRPr="009D5B83">
              <w:rPr>
                <w:b/>
                <w:bCs/>
                <w:color w:val="000000"/>
                <w:sz w:val="20"/>
                <w:szCs w:val="20"/>
              </w:rPr>
              <w:t>13 000,0</w:t>
            </w:r>
          </w:p>
        </w:tc>
        <w:tc>
          <w:tcPr>
            <w:tcW w:w="960" w:type="dxa"/>
            <w:tcBorders>
              <w:top w:val="single" w:sz="4" w:space="0" w:color="000000"/>
              <w:left w:val="single" w:sz="4" w:space="0" w:color="000000"/>
              <w:bottom w:val="single" w:sz="4" w:space="0" w:color="000000"/>
            </w:tcBorders>
            <w:tcMar>
              <w:left w:w="0" w:type="dxa"/>
              <w:right w:w="0" w:type="dxa"/>
            </w:tcMar>
            <w:vAlign w:val="center"/>
          </w:tcPr>
          <w:p w14:paraId="3B7C15DC" w14:textId="77777777" w:rsidR="00EB3E75" w:rsidRPr="009D5B83" w:rsidRDefault="00EB3E75" w:rsidP="00EB3E75">
            <w:pPr>
              <w:widowControl w:val="0"/>
              <w:suppressAutoHyphens/>
              <w:jc w:val="center"/>
              <w:rPr>
                <w:b/>
                <w:bCs/>
                <w:color w:val="000000"/>
                <w:sz w:val="20"/>
                <w:szCs w:val="20"/>
              </w:rPr>
            </w:pPr>
            <w:r w:rsidRPr="009D5B83">
              <w:rPr>
                <w:b/>
                <w:bCs/>
                <w:color w:val="000000"/>
                <w:sz w:val="20"/>
                <w:szCs w:val="20"/>
              </w:rPr>
              <w:t>14 376,0</w:t>
            </w:r>
          </w:p>
        </w:tc>
        <w:tc>
          <w:tcPr>
            <w:tcW w:w="859" w:type="dxa"/>
            <w:tcBorders>
              <w:top w:val="single" w:sz="4" w:space="0" w:color="000000"/>
              <w:left w:val="single" w:sz="4" w:space="0" w:color="000000"/>
              <w:bottom w:val="single" w:sz="4" w:space="0" w:color="000000"/>
            </w:tcBorders>
            <w:tcMar>
              <w:left w:w="0" w:type="dxa"/>
              <w:right w:w="0" w:type="dxa"/>
            </w:tcMar>
            <w:vAlign w:val="center"/>
          </w:tcPr>
          <w:p w14:paraId="225F5C49" w14:textId="77777777" w:rsidR="00EB3E75" w:rsidRPr="009D5B83" w:rsidRDefault="00EB3E75" w:rsidP="00EB3E75">
            <w:pPr>
              <w:suppressAutoHyphens/>
              <w:jc w:val="center"/>
              <w:rPr>
                <w:b/>
                <w:bCs/>
                <w:sz w:val="20"/>
                <w:szCs w:val="20"/>
              </w:rPr>
            </w:pPr>
            <w:r w:rsidRPr="009D5B83">
              <w:rPr>
                <w:b/>
                <w:bCs/>
                <w:sz w:val="20"/>
                <w:szCs w:val="20"/>
              </w:rPr>
              <w:t>6 296,0</w:t>
            </w:r>
          </w:p>
        </w:tc>
        <w:tc>
          <w:tcPr>
            <w:tcW w:w="960" w:type="dxa"/>
            <w:tcBorders>
              <w:top w:val="single" w:sz="4" w:space="0" w:color="000000"/>
              <w:left w:val="single" w:sz="4" w:space="0" w:color="000000"/>
              <w:bottom w:val="single" w:sz="4" w:space="0" w:color="000000"/>
            </w:tcBorders>
            <w:tcMar>
              <w:left w:w="0" w:type="dxa"/>
              <w:right w:w="0" w:type="dxa"/>
            </w:tcMar>
            <w:vAlign w:val="center"/>
          </w:tcPr>
          <w:p w14:paraId="3F641B4F" w14:textId="77777777" w:rsidR="00EB3E75" w:rsidRPr="009D5B83" w:rsidRDefault="00EB3E75" w:rsidP="00EB3E75">
            <w:pPr>
              <w:suppressAutoHyphens/>
              <w:jc w:val="center"/>
              <w:rPr>
                <w:b/>
                <w:bCs/>
                <w:color w:val="000000"/>
                <w:sz w:val="20"/>
                <w:szCs w:val="20"/>
              </w:rPr>
            </w:pPr>
            <w:r w:rsidRPr="009D5B83">
              <w:rPr>
                <w:b/>
                <w:bCs/>
                <w:color w:val="000000"/>
                <w:sz w:val="20"/>
                <w:szCs w:val="20"/>
              </w:rPr>
              <w:t>3 180,0</w:t>
            </w:r>
          </w:p>
        </w:tc>
        <w:tc>
          <w:tcPr>
            <w:tcW w:w="846" w:type="dxa"/>
            <w:tcBorders>
              <w:top w:val="single" w:sz="4" w:space="0" w:color="000000"/>
              <w:left w:val="single" w:sz="4" w:space="0" w:color="000000"/>
              <w:bottom w:val="single" w:sz="4" w:space="0" w:color="000000"/>
            </w:tcBorders>
            <w:tcMar>
              <w:left w:w="0" w:type="dxa"/>
              <w:right w:w="0" w:type="dxa"/>
            </w:tcMar>
            <w:vAlign w:val="center"/>
          </w:tcPr>
          <w:p w14:paraId="7E7887C7" w14:textId="77777777" w:rsidR="00EB3E75" w:rsidRPr="009D5B83" w:rsidRDefault="00EB3E75" w:rsidP="00EB3E75">
            <w:pPr>
              <w:suppressAutoHyphens/>
              <w:jc w:val="center"/>
              <w:rPr>
                <w:b/>
                <w:bCs/>
                <w:color w:val="000000"/>
                <w:sz w:val="20"/>
                <w:szCs w:val="20"/>
              </w:rPr>
            </w:pPr>
            <w:r w:rsidRPr="009D5B83">
              <w:rPr>
                <w:b/>
                <w:bCs/>
                <w:color w:val="000000"/>
                <w:sz w:val="20"/>
                <w:szCs w:val="20"/>
              </w:rPr>
              <w:t>2 866,0</w:t>
            </w:r>
          </w:p>
        </w:tc>
        <w:tc>
          <w:tcPr>
            <w:tcW w:w="847" w:type="dxa"/>
            <w:tcBorders>
              <w:top w:val="single" w:sz="4" w:space="0" w:color="000000"/>
              <w:left w:val="single" w:sz="4" w:space="0" w:color="000000"/>
              <w:bottom w:val="single" w:sz="4" w:space="0" w:color="000000"/>
            </w:tcBorders>
            <w:tcMar>
              <w:left w:w="0" w:type="dxa"/>
              <w:right w:w="0" w:type="dxa"/>
            </w:tcMar>
            <w:vAlign w:val="center"/>
          </w:tcPr>
          <w:p w14:paraId="70FDD493" w14:textId="77777777" w:rsidR="00EB3E75" w:rsidRPr="009D5B83" w:rsidRDefault="00EB3E75" w:rsidP="00EB3E75">
            <w:pPr>
              <w:suppressAutoHyphens/>
              <w:jc w:val="center"/>
              <w:rPr>
                <w:b/>
                <w:bCs/>
                <w:color w:val="000000"/>
                <w:sz w:val="20"/>
                <w:szCs w:val="20"/>
              </w:rPr>
            </w:pPr>
            <w:r w:rsidRPr="009D5B83">
              <w:rPr>
                <w:b/>
                <w:bCs/>
                <w:color w:val="000000"/>
                <w:sz w:val="20"/>
                <w:szCs w:val="20"/>
              </w:rPr>
              <w:t>2 974,0</w:t>
            </w:r>
          </w:p>
        </w:tc>
        <w:tc>
          <w:tcPr>
            <w:tcW w:w="909" w:type="dxa"/>
            <w:tcBorders>
              <w:top w:val="single" w:sz="4" w:space="0" w:color="000000"/>
              <w:left w:val="single" w:sz="4" w:space="0" w:color="000000"/>
              <w:bottom w:val="single" w:sz="4" w:space="0" w:color="000000"/>
            </w:tcBorders>
            <w:tcMar>
              <w:left w:w="0" w:type="dxa"/>
              <w:right w:w="0" w:type="dxa"/>
            </w:tcMar>
            <w:vAlign w:val="center"/>
          </w:tcPr>
          <w:p w14:paraId="54D11233" w14:textId="77777777" w:rsidR="00EB3E75" w:rsidRPr="009D5B83" w:rsidRDefault="00EB3E75" w:rsidP="00EB3E75">
            <w:pPr>
              <w:widowControl w:val="0"/>
              <w:suppressAutoHyphens/>
              <w:jc w:val="center"/>
              <w:rPr>
                <w:b/>
                <w:bCs/>
                <w:sz w:val="20"/>
                <w:szCs w:val="20"/>
              </w:rPr>
            </w:pPr>
            <w:r w:rsidRPr="009D5B83">
              <w:rPr>
                <w:b/>
                <w:bCs/>
                <w:sz w:val="20"/>
                <w:szCs w:val="20"/>
              </w:rPr>
              <w:t>2 013,0</w:t>
            </w:r>
          </w:p>
        </w:tc>
        <w:tc>
          <w:tcPr>
            <w:tcW w:w="10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B3FFAC" w14:textId="77777777" w:rsidR="00EB3E75" w:rsidRPr="009D5B83" w:rsidRDefault="00EB3E75" w:rsidP="00EB3E75">
            <w:pPr>
              <w:suppressAutoHyphens/>
              <w:jc w:val="center"/>
              <w:rPr>
                <w:b/>
                <w:bCs/>
                <w:sz w:val="20"/>
                <w:szCs w:val="20"/>
              </w:rPr>
            </w:pPr>
            <w:r w:rsidRPr="009D5B83">
              <w:rPr>
                <w:b/>
                <w:bCs/>
                <w:sz w:val="20"/>
                <w:szCs w:val="20"/>
              </w:rPr>
              <w:t>15 316,0</w:t>
            </w:r>
          </w:p>
        </w:tc>
      </w:tr>
      <w:tr w:rsidR="00EB3E75" w:rsidRPr="009D5B83" w14:paraId="53E7BA74" w14:textId="77777777" w:rsidTr="001B68A1">
        <w:tc>
          <w:tcPr>
            <w:tcW w:w="1705" w:type="dxa"/>
            <w:tcBorders>
              <w:left w:val="single" w:sz="4" w:space="0" w:color="000000"/>
              <w:bottom w:val="single" w:sz="4" w:space="0" w:color="000000"/>
              <w:right w:val="single" w:sz="4" w:space="0" w:color="000000"/>
            </w:tcBorders>
          </w:tcPr>
          <w:p w14:paraId="34968983" w14:textId="77777777" w:rsidR="00EB3E75" w:rsidRPr="009D5B83" w:rsidRDefault="00EB3E75" w:rsidP="00EB3E75">
            <w:pPr>
              <w:widowControl w:val="0"/>
              <w:suppressAutoHyphens/>
              <w:rPr>
                <w:sz w:val="20"/>
                <w:szCs w:val="20"/>
              </w:rPr>
            </w:pPr>
            <w:r w:rsidRPr="009D5B83">
              <w:rPr>
                <w:sz w:val="20"/>
                <w:szCs w:val="20"/>
              </w:rPr>
              <w:t>Демография</w:t>
            </w:r>
          </w:p>
        </w:tc>
        <w:tc>
          <w:tcPr>
            <w:tcW w:w="1074" w:type="dxa"/>
            <w:tcBorders>
              <w:left w:val="single" w:sz="4" w:space="0" w:color="000000"/>
              <w:bottom w:val="single" w:sz="4" w:space="0" w:color="000000"/>
            </w:tcBorders>
            <w:tcMar>
              <w:left w:w="0" w:type="dxa"/>
              <w:right w:w="0" w:type="dxa"/>
            </w:tcMar>
            <w:vAlign w:val="center"/>
          </w:tcPr>
          <w:p w14:paraId="0E263DA9" w14:textId="77777777" w:rsidR="00EB3E75" w:rsidRPr="009D5B83" w:rsidRDefault="00EB3E75" w:rsidP="00EB3E75">
            <w:pPr>
              <w:widowControl w:val="0"/>
              <w:suppressAutoHyphens/>
              <w:jc w:val="center"/>
              <w:rPr>
                <w:sz w:val="20"/>
                <w:szCs w:val="20"/>
              </w:rPr>
            </w:pPr>
            <w:r w:rsidRPr="009D5B83">
              <w:rPr>
                <w:color w:val="000000"/>
                <w:sz w:val="20"/>
                <w:szCs w:val="20"/>
              </w:rPr>
              <w:t>2 933,0</w:t>
            </w:r>
          </w:p>
        </w:tc>
        <w:tc>
          <w:tcPr>
            <w:tcW w:w="960" w:type="dxa"/>
            <w:tcBorders>
              <w:left w:val="single" w:sz="4" w:space="0" w:color="000000"/>
              <w:bottom w:val="single" w:sz="4" w:space="0" w:color="000000"/>
            </w:tcBorders>
            <w:tcMar>
              <w:left w:w="0" w:type="dxa"/>
              <w:right w:w="0" w:type="dxa"/>
            </w:tcMar>
            <w:vAlign w:val="center"/>
          </w:tcPr>
          <w:p w14:paraId="6C18326A"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4 476,0</w:t>
            </w:r>
          </w:p>
        </w:tc>
        <w:tc>
          <w:tcPr>
            <w:tcW w:w="859" w:type="dxa"/>
            <w:tcBorders>
              <w:left w:val="single" w:sz="4" w:space="0" w:color="000000"/>
              <w:bottom w:val="single" w:sz="4" w:space="0" w:color="000000"/>
            </w:tcBorders>
            <w:tcMar>
              <w:left w:w="0" w:type="dxa"/>
              <w:right w:w="0" w:type="dxa"/>
            </w:tcMar>
            <w:vAlign w:val="center"/>
          </w:tcPr>
          <w:p w14:paraId="77530B49" w14:textId="77777777" w:rsidR="00EB3E75" w:rsidRPr="009D5B83" w:rsidRDefault="00EB3E75" w:rsidP="00EB3E75">
            <w:pPr>
              <w:widowControl w:val="0"/>
              <w:suppressAutoHyphens/>
              <w:jc w:val="center"/>
              <w:rPr>
                <w:sz w:val="20"/>
                <w:szCs w:val="20"/>
              </w:rPr>
            </w:pPr>
            <w:r w:rsidRPr="009D5B83">
              <w:rPr>
                <w:sz w:val="20"/>
                <w:szCs w:val="20"/>
              </w:rPr>
              <w:t>1 819,0</w:t>
            </w:r>
          </w:p>
        </w:tc>
        <w:tc>
          <w:tcPr>
            <w:tcW w:w="960" w:type="dxa"/>
            <w:tcBorders>
              <w:left w:val="single" w:sz="4" w:space="0" w:color="000000"/>
              <w:bottom w:val="single" w:sz="4" w:space="0" w:color="000000"/>
            </w:tcBorders>
            <w:tcMar>
              <w:left w:w="0" w:type="dxa"/>
              <w:right w:w="0" w:type="dxa"/>
            </w:tcMar>
            <w:vAlign w:val="center"/>
          </w:tcPr>
          <w:p w14:paraId="47E4D63F"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803,0</w:t>
            </w:r>
          </w:p>
        </w:tc>
        <w:tc>
          <w:tcPr>
            <w:tcW w:w="846" w:type="dxa"/>
            <w:tcBorders>
              <w:left w:val="single" w:sz="4" w:space="0" w:color="000000"/>
              <w:bottom w:val="single" w:sz="4" w:space="0" w:color="000000"/>
            </w:tcBorders>
            <w:tcMar>
              <w:left w:w="0" w:type="dxa"/>
              <w:right w:w="0" w:type="dxa"/>
            </w:tcMar>
            <w:vAlign w:val="center"/>
          </w:tcPr>
          <w:p w14:paraId="30FC09E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918,0</w:t>
            </w:r>
          </w:p>
        </w:tc>
        <w:tc>
          <w:tcPr>
            <w:tcW w:w="847" w:type="dxa"/>
            <w:tcBorders>
              <w:left w:val="single" w:sz="4" w:space="0" w:color="000000"/>
              <w:bottom w:val="single" w:sz="4" w:space="0" w:color="000000"/>
            </w:tcBorders>
            <w:tcMar>
              <w:left w:w="0" w:type="dxa"/>
              <w:right w:w="0" w:type="dxa"/>
            </w:tcMar>
            <w:vAlign w:val="center"/>
          </w:tcPr>
          <w:p w14:paraId="5015972C"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886,0</w:t>
            </w:r>
          </w:p>
        </w:tc>
        <w:tc>
          <w:tcPr>
            <w:tcW w:w="909" w:type="dxa"/>
            <w:tcBorders>
              <w:left w:val="single" w:sz="4" w:space="0" w:color="000000"/>
              <w:bottom w:val="single" w:sz="4" w:space="0" w:color="000000"/>
            </w:tcBorders>
            <w:tcMar>
              <w:left w:w="0" w:type="dxa"/>
              <w:right w:w="0" w:type="dxa"/>
            </w:tcMar>
            <w:vAlign w:val="center"/>
          </w:tcPr>
          <w:p w14:paraId="67555729" w14:textId="77777777" w:rsidR="00EB3E75" w:rsidRPr="009D5B83" w:rsidRDefault="00EB3E75" w:rsidP="00EB3E75">
            <w:pPr>
              <w:widowControl w:val="0"/>
              <w:suppressAutoHyphens/>
              <w:jc w:val="center"/>
              <w:rPr>
                <w:sz w:val="20"/>
                <w:szCs w:val="20"/>
              </w:rPr>
            </w:pPr>
            <w:r w:rsidRPr="009D5B83">
              <w:rPr>
                <w:sz w:val="20"/>
                <w:szCs w:val="20"/>
              </w:rPr>
              <w:t>806,0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4FFDBA7A" w14:textId="77777777" w:rsidR="00EB3E75" w:rsidRPr="009D5B83" w:rsidRDefault="00EB3E75" w:rsidP="00EB3E75">
            <w:pPr>
              <w:suppressAutoHyphens/>
              <w:jc w:val="center"/>
              <w:rPr>
                <w:sz w:val="20"/>
                <w:szCs w:val="20"/>
              </w:rPr>
            </w:pPr>
            <w:r w:rsidRPr="009D5B83">
              <w:rPr>
                <w:sz w:val="20"/>
                <w:szCs w:val="20"/>
              </w:rPr>
              <w:t>4 426,0</w:t>
            </w:r>
          </w:p>
        </w:tc>
      </w:tr>
      <w:tr w:rsidR="00EB3E75" w:rsidRPr="009D5B83" w14:paraId="2C90D377"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7BE8CFB3" w14:textId="77777777" w:rsidR="00EB3E75" w:rsidRPr="009D5B83" w:rsidRDefault="00EB3E75" w:rsidP="00EB3E75">
            <w:pPr>
              <w:widowControl w:val="0"/>
              <w:suppressAutoHyphens/>
              <w:rPr>
                <w:sz w:val="20"/>
                <w:szCs w:val="20"/>
              </w:rPr>
            </w:pPr>
            <w:r w:rsidRPr="009D5B83">
              <w:rPr>
                <w:sz w:val="20"/>
                <w:szCs w:val="20"/>
              </w:rPr>
              <w:t>Здравоохранение</w:t>
            </w:r>
          </w:p>
        </w:tc>
        <w:tc>
          <w:tcPr>
            <w:tcW w:w="1074" w:type="dxa"/>
            <w:tcBorders>
              <w:left w:val="single" w:sz="4" w:space="0" w:color="000000"/>
              <w:bottom w:val="single" w:sz="4" w:space="0" w:color="000000"/>
            </w:tcBorders>
            <w:tcMar>
              <w:left w:w="0" w:type="dxa"/>
              <w:right w:w="0" w:type="dxa"/>
            </w:tcMar>
            <w:vAlign w:val="center"/>
          </w:tcPr>
          <w:p w14:paraId="2D7504E2" w14:textId="77777777" w:rsidR="00EB3E75" w:rsidRPr="009D5B83" w:rsidRDefault="00EB3E75" w:rsidP="00EB3E75">
            <w:pPr>
              <w:widowControl w:val="0"/>
              <w:suppressAutoHyphens/>
              <w:jc w:val="center"/>
              <w:rPr>
                <w:sz w:val="20"/>
                <w:szCs w:val="20"/>
              </w:rPr>
            </w:pPr>
            <w:r w:rsidRPr="009D5B83">
              <w:rPr>
                <w:color w:val="000000"/>
                <w:sz w:val="20"/>
                <w:szCs w:val="20"/>
              </w:rPr>
              <w:t>1 337,0</w:t>
            </w:r>
          </w:p>
        </w:tc>
        <w:tc>
          <w:tcPr>
            <w:tcW w:w="960" w:type="dxa"/>
            <w:tcBorders>
              <w:left w:val="single" w:sz="4" w:space="0" w:color="000000"/>
              <w:bottom w:val="single" w:sz="4" w:space="0" w:color="000000"/>
            </w:tcBorders>
            <w:tcMar>
              <w:left w:w="0" w:type="dxa"/>
              <w:right w:w="0" w:type="dxa"/>
            </w:tcMar>
            <w:vAlign w:val="center"/>
          </w:tcPr>
          <w:p w14:paraId="7D491981"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1 691,0</w:t>
            </w:r>
          </w:p>
        </w:tc>
        <w:tc>
          <w:tcPr>
            <w:tcW w:w="859" w:type="dxa"/>
            <w:tcBorders>
              <w:left w:val="single" w:sz="4" w:space="0" w:color="000000"/>
              <w:bottom w:val="single" w:sz="4" w:space="0" w:color="000000"/>
            </w:tcBorders>
            <w:tcMar>
              <w:left w:w="0" w:type="dxa"/>
              <w:right w:w="0" w:type="dxa"/>
            </w:tcMar>
            <w:vAlign w:val="center"/>
          </w:tcPr>
          <w:p w14:paraId="78646E09" w14:textId="77777777" w:rsidR="00EB3E75" w:rsidRPr="009D5B83" w:rsidRDefault="00EB3E75" w:rsidP="00EB3E75">
            <w:pPr>
              <w:widowControl w:val="0"/>
              <w:suppressAutoHyphens/>
              <w:jc w:val="center"/>
              <w:rPr>
                <w:sz w:val="20"/>
                <w:szCs w:val="20"/>
              </w:rPr>
            </w:pPr>
            <w:r w:rsidRPr="009D5B83">
              <w:rPr>
                <w:sz w:val="20"/>
                <w:szCs w:val="20"/>
              </w:rPr>
              <w:t>696,0</w:t>
            </w:r>
          </w:p>
        </w:tc>
        <w:tc>
          <w:tcPr>
            <w:tcW w:w="960" w:type="dxa"/>
            <w:tcBorders>
              <w:left w:val="single" w:sz="4" w:space="0" w:color="000000"/>
              <w:bottom w:val="single" w:sz="4" w:space="0" w:color="000000"/>
            </w:tcBorders>
            <w:tcMar>
              <w:left w:w="0" w:type="dxa"/>
              <w:right w:w="0" w:type="dxa"/>
            </w:tcMar>
            <w:vAlign w:val="center"/>
          </w:tcPr>
          <w:p w14:paraId="3FDE38FE"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372,0</w:t>
            </w:r>
          </w:p>
        </w:tc>
        <w:tc>
          <w:tcPr>
            <w:tcW w:w="846" w:type="dxa"/>
            <w:tcBorders>
              <w:left w:val="single" w:sz="4" w:space="0" w:color="000000"/>
              <w:bottom w:val="single" w:sz="4" w:space="0" w:color="000000"/>
            </w:tcBorders>
            <w:tcMar>
              <w:left w:w="0" w:type="dxa"/>
              <w:right w:w="0" w:type="dxa"/>
            </w:tcMar>
            <w:vAlign w:val="center"/>
          </w:tcPr>
          <w:p w14:paraId="4B3D4D80"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310,0</w:t>
            </w:r>
          </w:p>
        </w:tc>
        <w:tc>
          <w:tcPr>
            <w:tcW w:w="847" w:type="dxa"/>
            <w:tcBorders>
              <w:left w:val="single" w:sz="4" w:space="0" w:color="000000"/>
              <w:bottom w:val="single" w:sz="4" w:space="0" w:color="000000"/>
            </w:tcBorders>
            <w:tcMar>
              <w:left w:w="0" w:type="dxa"/>
              <w:right w:w="0" w:type="dxa"/>
            </w:tcMar>
            <w:vAlign w:val="center"/>
          </w:tcPr>
          <w:p w14:paraId="09D3108E"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310,0</w:t>
            </w:r>
          </w:p>
        </w:tc>
        <w:tc>
          <w:tcPr>
            <w:tcW w:w="909" w:type="dxa"/>
            <w:tcBorders>
              <w:left w:val="single" w:sz="4" w:space="0" w:color="000000"/>
              <w:bottom w:val="single" w:sz="4" w:space="0" w:color="000000"/>
            </w:tcBorders>
            <w:tcMar>
              <w:left w:w="0" w:type="dxa"/>
              <w:right w:w="0" w:type="dxa"/>
            </w:tcMar>
            <w:vAlign w:val="center"/>
          </w:tcPr>
          <w:p w14:paraId="012EBE07" w14:textId="77777777" w:rsidR="00EB3E75" w:rsidRPr="009D5B83" w:rsidRDefault="00EB3E75" w:rsidP="00EB3E75">
            <w:pPr>
              <w:widowControl w:val="0"/>
              <w:suppressAutoHyphens/>
              <w:jc w:val="center"/>
              <w:rPr>
                <w:sz w:val="20"/>
                <w:szCs w:val="20"/>
              </w:rPr>
            </w:pPr>
            <w:r w:rsidRPr="009D5B83">
              <w:rPr>
                <w:sz w:val="20"/>
                <w:szCs w:val="20"/>
              </w:rPr>
              <w:t>291,0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793CCCFC" w14:textId="77777777" w:rsidR="00EB3E75" w:rsidRPr="009D5B83" w:rsidRDefault="00EB3E75" w:rsidP="00EB3E75">
            <w:pPr>
              <w:suppressAutoHyphens/>
              <w:jc w:val="center"/>
              <w:rPr>
                <w:sz w:val="20"/>
                <w:szCs w:val="20"/>
              </w:rPr>
            </w:pPr>
            <w:r w:rsidRPr="009D5B83">
              <w:rPr>
                <w:sz w:val="20"/>
                <w:szCs w:val="20"/>
              </w:rPr>
              <w:t>1 688,0</w:t>
            </w:r>
          </w:p>
        </w:tc>
      </w:tr>
      <w:tr w:rsidR="00EB3E75" w:rsidRPr="009D5B83" w14:paraId="614DA960"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4B0D3B3F" w14:textId="77777777" w:rsidR="00EB3E75" w:rsidRPr="009D5B83" w:rsidRDefault="00EB3E75" w:rsidP="00EB3E75">
            <w:pPr>
              <w:widowControl w:val="0"/>
              <w:suppressAutoHyphens/>
              <w:rPr>
                <w:sz w:val="20"/>
                <w:szCs w:val="20"/>
              </w:rPr>
            </w:pPr>
            <w:r w:rsidRPr="009D5B83">
              <w:rPr>
                <w:sz w:val="20"/>
                <w:szCs w:val="20"/>
              </w:rPr>
              <w:t>Образование</w:t>
            </w:r>
          </w:p>
        </w:tc>
        <w:tc>
          <w:tcPr>
            <w:tcW w:w="1074" w:type="dxa"/>
            <w:tcBorders>
              <w:left w:val="single" w:sz="4" w:space="0" w:color="000000"/>
              <w:bottom w:val="single" w:sz="4" w:space="0" w:color="000000"/>
            </w:tcBorders>
            <w:tcMar>
              <w:left w:w="0" w:type="dxa"/>
              <w:right w:w="0" w:type="dxa"/>
            </w:tcMar>
            <w:vAlign w:val="center"/>
          </w:tcPr>
          <w:p w14:paraId="55A6B082"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715,0</w:t>
            </w:r>
          </w:p>
        </w:tc>
        <w:tc>
          <w:tcPr>
            <w:tcW w:w="960" w:type="dxa"/>
            <w:tcBorders>
              <w:left w:val="single" w:sz="4" w:space="0" w:color="000000"/>
              <w:bottom w:val="single" w:sz="4" w:space="0" w:color="000000"/>
            </w:tcBorders>
            <w:tcMar>
              <w:left w:w="0" w:type="dxa"/>
              <w:right w:w="0" w:type="dxa"/>
            </w:tcMar>
            <w:vAlign w:val="center"/>
          </w:tcPr>
          <w:p w14:paraId="76CE5625"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830,0</w:t>
            </w:r>
          </w:p>
        </w:tc>
        <w:tc>
          <w:tcPr>
            <w:tcW w:w="859" w:type="dxa"/>
            <w:tcBorders>
              <w:left w:val="single" w:sz="4" w:space="0" w:color="000000"/>
              <w:bottom w:val="single" w:sz="4" w:space="0" w:color="000000"/>
            </w:tcBorders>
            <w:tcMar>
              <w:left w:w="0" w:type="dxa"/>
              <w:right w:w="0" w:type="dxa"/>
            </w:tcMar>
            <w:vAlign w:val="center"/>
          </w:tcPr>
          <w:p w14:paraId="64CBD15C" w14:textId="77777777" w:rsidR="00EB3E75" w:rsidRPr="009D5B83" w:rsidRDefault="00EB3E75" w:rsidP="00EB3E75">
            <w:pPr>
              <w:widowControl w:val="0"/>
              <w:suppressAutoHyphens/>
              <w:jc w:val="center"/>
              <w:rPr>
                <w:sz w:val="20"/>
                <w:szCs w:val="20"/>
              </w:rPr>
            </w:pPr>
            <w:r w:rsidRPr="009D5B83">
              <w:rPr>
                <w:sz w:val="20"/>
                <w:szCs w:val="20"/>
              </w:rPr>
              <w:t>345,0</w:t>
            </w:r>
          </w:p>
        </w:tc>
        <w:tc>
          <w:tcPr>
            <w:tcW w:w="960" w:type="dxa"/>
            <w:tcBorders>
              <w:left w:val="single" w:sz="4" w:space="0" w:color="000000"/>
              <w:bottom w:val="single" w:sz="4" w:space="0" w:color="000000"/>
            </w:tcBorders>
            <w:tcMar>
              <w:left w:w="0" w:type="dxa"/>
              <w:right w:w="0" w:type="dxa"/>
            </w:tcMar>
            <w:vAlign w:val="center"/>
          </w:tcPr>
          <w:p w14:paraId="7A2BA370"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196,0</w:t>
            </w:r>
          </w:p>
        </w:tc>
        <w:tc>
          <w:tcPr>
            <w:tcW w:w="846" w:type="dxa"/>
            <w:tcBorders>
              <w:left w:val="single" w:sz="4" w:space="0" w:color="000000"/>
              <w:bottom w:val="single" w:sz="4" w:space="0" w:color="000000"/>
            </w:tcBorders>
            <w:tcMar>
              <w:left w:w="0" w:type="dxa"/>
              <w:right w:w="0" w:type="dxa"/>
            </w:tcMar>
            <w:vAlign w:val="center"/>
          </w:tcPr>
          <w:p w14:paraId="772A0AE7"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229,0</w:t>
            </w:r>
          </w:p>
        </w:tc>
        <w:tc>
          <w:tcPr>
            <w:tcW w:w="847" w:type="dxa"/>
            <w:tcBorders>
              <w:left w:val="single" w:sz="4" w:space="0" w:color="000000"/>
              <w:bottom w:val="single" w:sz="4" w:space="0" w:color="000000"/>
            </w:tcBorders>
            <w:tcMar>
              <w:left w:w="0" w:type="dxa"/>
              <w:right w:w="0" w:type="dxa"/>
            </w:tcMar>
            <w:vAlign w:val="center"/>
          </w:tcPr>
          <w:p w14:paraId="22F12CA4"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243,0</w:t>
            </w:r>
          </w:p>
        </w:tc>
        <w:tc>
          <w:tcPr>
            <w:tcW w:w="909" w:type="dxa"/>
            <w:tcBorders>
              <w:left w:val="single" w:sz="4" w:space="0" w:color="000000"/>
              <w:bottom w:val="single" w:sz="4" w:space="0" w:color="000000"/>
            </w:tcBorders>
            <w:tcMar>
              <w:left w:w="0" w:type="dxa"/>
              <w:right w:w="0" w:type="dxa"/>
            </w:tcMar>
            <w:vAlign w:val="center"/>
          </w:tcPr>
          <w:p w14:paraId="194A58A3" w14:textId="77777777" w:rsidR="00EB3E75" w:rsidRPr="009D5B83" w:rsidRDefault="00EB3E75" w:rsidP="00EB3E75">
            <w:pPr>
              <w:widowControl w:val="0"/>
              <w:suppressAutoHyphens/>
              <w:jc w:val="center"/>
              <w:rPr>
                <w:sz w:val="20"/>
                <w:szCs w:val="20"/>
              </w:rPr>
            </w:pPr>
            <w:r w:rsidRPr="009D5B83">
              <w:rPr>
                <w:sz w:val="20"/>
                <w:szCs w:val="20"/>
              </w:rPr>
              <w:t>71,0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54371C83" w14:textId="77777777" w:rsidR="00EB3E75" w:rsidRPr="009D5B83" w:rsidRDefault="00EB3E75" w:rsidP="00EB3E75">
            <w:pPr>
              <w:suppressAutoHyphens/>
              <w:jc w:val="center"/>
              <w:rPr>
                <w:sz w:val="20"/>
                <w:szCs w:val="20"/>
              </w:rPr>
            </w:pPr>
            <w:r w:rsidRPr="009D5B83">
              <w:rPr>
                <w:sz w:val="20"/>
                <w:szCs w:val="20"/>
              </w:rPr>
              <w:t>1 013,0</w:t>
            </w:r>
          </w:p>
        </w:tc>
      </w:tr>
      <w:tr w:rsidR="00EB3E75" w:rsidRPr="009D5B83" w14:paraId="4534A980"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7B67B544" w14:textId="77777777" w:rsidR="00EB3E75" w:rsidRPr="009D5B83" w:rsidRDefault="00EB3E75" w:rsidP="00EB3E75">
            <w:pPr>
              <w:widowControl w:val="0"/>
              <w:suppressAutoHyphens/>
              <w:rPr>
                <w:sz w:val="20"/>
                <w:szCs w:val="20"/>
              </w:rPr>
            </w:pPr>
            <w:r w:rsidRPr="009D5B83">
              <w:rPr>
                <w:sz w:val="20"/>
                <w:szCs w:val="20"/>
              </w:rPr>
              <w:t>Жилье и городская среда</w:t>
            </w:r>
          </w:p>
        </w:tc>
        <w:tc>
          <w:tcPr>
            <w:tcW w:w="1074" w:type="dxa"/>
            <w:tcBorders>
              <w:left w:val="single" w:sz="4" w:space="0" w:color="000000"/>
              <w:bottom w:val="single" w:sz="4" w:space="0" w:color="000000"/>
            </w:tcBorders>
            <w:tcMar>
              <w:left w:w="0" w:type="dxa"/>
              <w:right w:w="0" w:type="dxa"/>
            </w:tcMar>
            <w:vAlign w:val="center"/>
          </w:tcPr>
          <w:p w14:paraId="54A1F966"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876,0</w:t>
            </w:r>
          </w:p>
        </w:tc>
        <w:tc>
          <w:tcPr>
            <w:tcW w:w="960" w:type="dxa"/>
            <w:tcBorders>
              <w:left w:val="single" w:sz="4" w:space="0" w:color="000000"/>
              <w:bottom w:val="single" w:sz="4" w:space="0" w:color="000000"/>
            </w:tcBorders>
            <w:tcMar>
              <w:left w:w="0" w:type="dxa"/>
              <w:right w:w="0" w:type="dxa"/>
            </w:tcMar>
            <w:vAlign w:val="center"/>
          </w:tcPr>
          <w:p w14:paraId="64E99618"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1 056,0</w:t>
            </w:r>
          </w:p>
        </w:tc>
        <w:tc>
          <w:tcPr>
            <w:tcW w:w="859" w:type="dxa"/>
            <w:tcBorders>
              <w:left w:val="single" w:sz="4" w:space="0" w:color="000000"/>
              <w:bottom w:val="single" w:sz="4" w:space="0" w:color="000000"/>
            </w:tcBorders>
            <w:tcMar>
              <w:left w:w="0" w:type="dxa"/>
              <w:right w:w="0" w:type="dxa"/>
            </w:tcMar>
            <w:vAlign w:val="center"/>
          </w:tcPr>
          <w:p w14:paraId="703000F7" w14:textId="77777777" w:rsidR="00EB3E75" w:rsidRPr="009D5B83" w:rsidRDefault="00EB3E75" w:rsidP="00EB3E75">
            <w:pPr>
              <w:widowControl w:val="0"/>
              <w:suppressAutoHyphens/>
              <w:jc w:val="center"/>
              <w:rPr>
                <w:sz w:val="20"/>
                <w:szCs w:val="20"/>
              </w:rPr>
            </w:pPr>
            <w:r w:rsidRPr="009D5B83">
              <w:rPr>
                <w:sz w:val="20"/>
                <w:szCs w:val="20"/>
              </w:rPr>
              <w:t>530,0</w:t>
            </w:r>
          </w:p>
        </w:tc>
        <w:tc>
          <w:tcPr>
            <w:tcW w:w="960" w:type="dxa"/>
            <w:tcBorders>
              <w:left w:val="single" w:sz="4" w:space="0" w:color="000000"/>
              <w:bottom w:val="single" w:sz="4" w:space="0" w:color="000000"/>
            </w:tcBorders>
            <w:tcMar>
              <w:left w:w="0" w:type="dxa"/>
              <w:right w:w="0" w:type="dxa"/>
            </w:tcMar>
            <w:vAlign w:val="center"/>
          </w:tcPr>
          <w:p w14:paraId="7CA1F34C"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186,0</w:t>
            </w:r>
          </w:p>
        </w:tc>
        <w:tc>
          <w:tcPr>
            <w:tcW w:w="846" w:type="dxa"/>
            <w:tcBorders>
              <w:left w:val="single" w:sz="4" w:space="0" w:color="000000"/>
              <w:bottom w:val="single" w:sz="4" w:space="0" w:color="000000"/>
            </w:tcBorders>
            <w:tcMar>
              <w:left w:w="0" w:type="dxa"/>
              <w:right w:w="0" w:type="dxa"/>
            </w:tcMar>
            <w:vAlign w:val="center"/>
          </w:tcPr>
          <w:p w14:paraId="6BFF9647"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178,0</w:t>
            </w:r>
          </w:p>
        </w:tc>
        <w:tc>
          <w:tcPr>
            <w:tcW w:w="847" w:type="dxa"/>
            <w:tcBorders>
              <w:left w:val="single" w:sz="4" w:space="0" w:color="000000"/>
              <w:bottom w:val="single" w:sz="4" w:space="0" w:color="000000"/>
            </w:tcBorders>
            <w:tcMar>
              <w:left w:w="0" w:type="dxa"/>
              <w:right w:w="0" w:type="dxa"/>
            </w:tcMar>
            <w:vAlign w:val="center"/>
          </w:tcPr>
          <w:p w14:paraId="473522BF"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179,0</w:t>
            </w:r>
          </w:p>
        </w:tc>
        <w:tc>
          <w:tcPr>
            <w:tcW w:w="909" w:type="dxa"/>
            <w:tcBorders>
              <w:left w:val="single" w:sz="4" w:space="0" w:color="000000"/>
              <w:bottom w:val="single" w:sz="4" w:space="0" w:color="000000"/>
            </w:tcBorders>
            <w:tcMar>
              <w:left w:w="0" w:type="dxa"/>
              <w:right w:w="0" w:type="dxa"/>
            </w:tcMar>
            <w:vAlign w:val="center"/>
          </w:tcPr>
          <w:p w14:paraId="5C82C417" w14:textId="77777777" w:rsidR="00EB3E75" w:rsidRPr="009D5B83" w:rsidRDefault="00EB3E75" w:rsidP="00EB3E75">
            <w:pPr>
              <w:widowControl w:val="0"/>
              <w:suppressAutoHyphens/>
              <w:jc w:val="center"/>
              <w:rPr>
                <w:sz w:val="20"/>
                <w:szCs w:val="20"/>
              </w:rPr>
            </w:pPr>
            <w:r w:rsidRPr="009D5B83">
              <w:rPr>
                <w:sz w:val="20"/>
                <w:szCs w:val="20"/>
              </w:rPr>
              <w:t>5,0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1FA983DE" w14:textId="77777777" w:rsidR="00EB3E75" w:rsidRPr="009D5B83" w:rsidRDefault="00EB3E75" w:rsidP="00EB3E75">
            <w:pPr>
              <w:suppressAutoHyphens/>
              <w:jc w:val="center"/>
              <w:rPr>
                <w:sz w:val="20"/>
                <w:szCs w:val="20"/>
              </w:rPr>
            </w:pPr>
            <w:r w:rsidRPr="009D5B83">
              <w:rPr>
                <w:sz w:val="20"/>
                <w:szCs w:val="20"/>
              </w:rPr>
              <w:t>1 073,0</w:t>
            </w:r>
          </w:p>
        </w:tc>
      </w:tr>
      <w:tr w:rsidR="00EB3E75" w:rsidRPr="009D5B83" w14:paraId="67F41166"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105762C7" w14:textId="77777777" w:rsidR="00EB3E75" w:rsidRPr="009D5B83" w:rsidRDefault="00EB3E75" w:rsidP="00EB3E75">
            <w:pPr>
              <w:widowControl w:val="0"/>
              <w:suppressAutoHyphens/>
              <w:rPr>
                <w:sz w:val="20"/>
                <w:szCs w:val="20"/>
              </w:rPr>
            </w:pPr>
            <w:r w:rsidRPr="009D5B83">
              <w:rPr>
                <w:sz w:val="20"/>
                <w:szCs w:val="20"/>
              </w:rPr>
              <w:t>Экология</w:t>
            </w:r>
          </w:p>
        </w:tc>
        <w:tc>
          <w:tcPr>
            <w:tcW w:w="1074" w:type="dxa"/>
            <w:tcBorders>
              <w:left w:val="single" w:sz="4" w:space="0" w:color="000000"/>
              <w:bottom w:val="single" w:sz="4" w:space="0" w:color="000000"/>
            </w:tcBorders>
            <w:tcMar>
              <w:left w:w="0" w:type="dxa"/>
              <w:right w:w="0" w:type="dxa"/>
            </w:tcMar>
            <w:vAlign w:val="center"/>
          </w:tcPr>
          <w:p w14:paraId="03752684"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673,0</w:t>
            </w:r>
          </w:p>
        </w:tc>
        <w:tc>
          <w:tcPr>
            <w:tcW w:w="960" w:type="dxa"/>
            <w:tcBorders>
              <w:left w:val="single" w:sz="4" w:space="0" w:color="000000"/>
              <w:bottom w:val="single" w:sz="4" w:space="0" w:color="000000"/>
            </w:tcBorders>
            <w:tcMar>
              <w:left w:w="0" w:type="dxa"/>
              <w:right w:w="0" w:type="dxa"/>
            </w:tcMar>
            <w:vAlign w:val="center"/>
          </w:tcPr>
          <w:p w14:paraId="40534E99" w14:textId="77777777" w:rsidR="00EB3E75" w:rsidRPr="009D5B83" w:rsidRDefault="00EB3E75" w:rsidP="00EB3E75">
            <w:pPr>
              <w:widowControl w:val="0"/>
              <w:suppressAutoHyphens/>
              <w:jc w:val="center"/>
              <w:rPr>
                <w:color w:val="000000"/>
                <w:sz w:val="20"/>
                <w:szCs w:val="20"/>
                <w:lang w:val="en-US"/>
              </w:rPr>
            </w:pPr>
            <w:r w:rsidRPr="009D5B83">
              <w:rPr>
                <w:color w:val="000000"/>
                <w:sz w:val="20"/>
                <w:szCs w:val="20"/>
                <w:lang w:val="en-US"/>
              </w:rPr>
              <w:t>469,0</w:t>
            </w:r>
          </w:p>
        </w:tc>
        <w:tc>
          <w:tcPr>
            <w:tcW w:w="859" w:type="dxa"/>
            <w:tcBorders>
              <w:left w:val="single" w:sz="4" w:space="0" w:color="000000"/>
              <w:bottom w:val="single" w:sz="4" w:space="0" w:color="000000"/>
            </w:tcBorders>
            <w:tcMar>
              <w:left w:w="0" w:type="dxa"/>
              <w:right w:w="0" w:type="dxa"/>
            </w:tcMar>
            <w:vAlign w:val="center"/>
          </w:tcPr>
          <w:p w14:paraId="56FB29B5" w14:textId="77777777" w:rsidR="00EB3E75" w:rsidRPr="009D5B83" w:rsidRDefault="00EB3E75" w:rsidP="00EB3E75">
            <w:pPr>
              <w:widowControl w:val="0"/>
              <w:suppressAutoHyphens/>
              <w:jc w:val="center"/>
              <w:rPr>
                <w:sz w:val="20"/>
                <w:szCs w:val="20"/>
              </w:rPr>
            </w:pPr>
            <w:r w:rsidRPr="009D5B83">
              <w:rPr>
                <w:sz w:val="20"/>
                <w:szCs w:val="20"/>
              </w:rPr>
              <w:t>178,0</w:t>
            </w:r>
          </w:p>
        </w:tc>
        <w:tc>
          <w:tcPr>
            <w:tcW w:w="960" w:type="dxa"/>
            <w:tcBorders>
              <w:left w:val="single" w:sz="4" w:space="0" w:color="000000"/>
              <w:bottom w:val="single" w:sz="4" w:space="0" w:color="000000"/>
            </w:tcBorders>
            <w:tcMar>
              <w:left w:w="0" w:type="dxa"/>
              <w:right w:w="0" w:type="dxa"/>
            </w:tcMar>
            <w:vAlign w:val="center"/>
          </w:tcPr>
          <w:p w14:paraId="7C7BF4B2"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129,0</w:t>
            </w:r>
          </w:p>
        </w:tc>
        <w:tc>
          <w:tcPr>
            <w:tcW w:w="846" w:type="dxa"/>
            <w:tcBorders>
              <w:left w:val="single" w:sz="4" w:space="0" w:color="000000"/>
              <w:bottom w:val="single" w:sz="4" w:space="0" w:color="000000"/>
            </w:tcBorders>
            <w:tcMar>
              <w:left w:w="0" w:type="dxa"/>
              <w:right w:w="0" w:type="dxa"/>
            </w:tcMar>
            <w:vAlign w:val="center"/>
          </w:tcPr>
          <w:p w14:paraId="3A6738B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119,0</w:t>
            </w:r>
          </w:p>
        </w:tc>
        <w:tc>
          <w:tcPr>
            <w:tcW w:w="847" w:type="dxa"/>
            <w:tcBorders>
              <w:left w:val="single" w:sz="4" w:space="0" w:color="000000"/>
              <w:bottom w:val="single" w:sz="4" w:space="0" w:color="000000"/>
            </w:tcBorders>
            <w:tcMar>
              <w:left w:w="0" w:type="dxa"/>
              <w:right w:w="0" w:type="dxa"/>
            </w:tcMar>
            <w:vAlign w:val="center"/>
          </w:tcPr>
          <w:p w14:paraId="24F8900A"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88,0</w:t>
            </w:r>
          </w:p>
        </w:tc>
        <w:tc>
          <w:tcPr>
            <w:tcW w:w="909" w:type="dxa"/>
            <w:tcBorders>
              <w:left w:val="single" w:sz="4" w:space="0" w:color="000000"/>
              <w:bottom w:val="single" w:sz="4" w:space="0" w:color="000000"/>
            </w:tcBorders>
            <w:tcMar>
              <w:left w:w="0" w:type="dxa"/>
              <w:right w:w="0" w:type="dxa"/>
            </w:tcMar>
            <w:vAlign w:val="center"/>
          </w:tcPr>
          <w:p w14:paraId="6EBAA041" w14:textId="77777777" w:rsidR="00EB3E75" w:rsidRPr="009D5B83" w:rsidRDefault="00EB3E75" w:rsidP="00EB3E75">
            <w:pPr>
              <w:widowControl w:val="0"/>
              <w:suppressAutoHyphens/>
              <w:jc w:val="center"/>
              <w:rPr>
                <w:sz w:val="20"/>
                <w:szCs w:val="20"/>
              </w:rPr>
            </w:pPr>
            <w:r w:rsidRPr="009D5B83">
              <w:rPr>
                <w:sz w:val="20"/>
                <w:szCs w:val="20"/>
              </w:rPr>
              <w:t>31,0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08A2C88A" w14:textId="77777777" w:rsidR="00EB3E75" w:rsidRPr="009D5B83" w:rsidRDefault="00EB3E75" w:rsidP="00EB3E75">
            <w:pPr>
              <w:suppressAutoHyphens/>
              <w:jc w:val="center"/>
              <w:rPr>
                <w:sz w:val="20"/>
                <w:szCs w:val="20"/>
              </w:rPr>
            </w:pPr>
            <w:r w:rsidRPr="009D5B83">
              <w:rPr>
                <w:sz w:val="20"/>
                <w:szCs w:val="20"/>
              </w:rPr>
              <w:t>514,0</w:t>
            </w:r>
          </w:p>
        </w:tc>
      </w:tr>
      <w:tr w:rsidR="00EB3E75" w:rsidRPr="009D5B83" w14:paraId="42F2677C"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194C69E6" w14:textId="77777777" w:rsidR="00EB3E75" w:rsidRPr="009D5B83" w:rsidRDefault="00EB3E75" w:rsidP="00EB3E75">
            <w:pPr>
              <w:widowControl w:val="0"/>
              <w:suppressAutoHyphens/>
              <w:rPr>
                <w:sz w:val="20"/>
                <w:szCs w:val="20"/>
              </w:rPr>
            </w:pPr>
            <w:r w:rsidRPr="009D5B83">
              <w:rPr>
                <w:sz w:val="20"/>
                <w:szCs w:val="20"/>
              </w:rPr>
              <w:t>Безопасные качественные дороги</w:t>
            </w:r>
          </w:p>
        </w:tc>
        <w:tc>
          <w:tcPr>
            <w:tcW w:w="1074" w:type="dxa"/>
            <w:tcBorders>
              <w:left w:val="single" w:sz="4" w:space="0" w:color="000000"/>
              <w:bottom w:val="single" w:sz="4" w:space="0" w:color="000000"/>
            </w:tcBorders>
            <w:tcMar>
              <w:left w:w="0" w:type="dxa"/>
              <w:right w:w="0" w:type="dxa"/>
            </w:tcMar>
            <w:vAlign w:val="center"/>
          </w:tcPr>
          <w:p w14:paraId="238748F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441,0</w:t>
            </w:r>
          </w:p>
        </w:tc>
        <w:tc>
          <w:tcPr>
            <w:tcW w:w="960" w:type="dxa"/>
            <w:tcBorders>
              <w:left w:val="single" w:sz="4" w:space="0" w:color="000000"/>
              <w:bottom w:val="single" w:sz="4" w:space="0" w:color="000000"/>
            </w:tcBorders>
            <w:tcMar>
              <w:left w:w="0" w:type="dxa"/>
              <w:right w:w="0" w:type="dxa"/>
            </w:tcMar>
            <w:vAlign w:val="center"/>
          </w:tcPr>
          <w:p w14:paraId="1807E0B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1 384,0</w:t>
            </w:r>
          </w:p>
        </w:tc>
        <w:tc>
          <w:tcPr>
            <w:tcW w:w="859" w:type="dxa"/>
            <w:tcBorders>
              <w:left w:val="single" w:sz="4" w:space="0" w:color="000000"/>
              <w:bottom w:val="single" w:sz="4" w:space="0" w:color="000000"/>
            </w:tcBorders>
            <w:tcMar>
              <w:left w:w="0" w:type="dxa"/>
              <w:right w:w="0" w:type="dxa"/>
            </w:tcMar>
            <w:vAlign w:val="center"/>
          </w:tcPr>
          <w:p w14:paraId="01456970" w14:textId="77777777" w:rsidR="00EB3E75" w:rsidRPr="009D5B83" w:rsidRDefault="00EB3E75" w:rsidP="00EB3E75">
            <w:pPr>
              <w:widowControl w:val="0"/>
              <w:suppressAutoHyphens/>
              <w:jc w:val="center"/>
              <w:rPr>
                <w:sz w:val="20"/>
                <w:szCs w:val="20"/>
              </w:rPr>
            </w:pPr>
            <w:r w:rsidRPr="009D5B83">
              <w:rPr>
                <w:sz w:val="20"/>
                <w:szCs w:val="20"/>
              </w:rPr>
              <w:t>658,0</w:t>
            </w:r>
          </w:p>
        </w:tc>
        <w:tc>
          <w:tcPr>
            <w:tcW w:w="960" w:type="dxa"/>
            <w:tcBorders>
              <w:left w:val="single" w:sz="4" w:space="0" w:color="000000"/>
              <w:bottom w:val="single" w:sz="4" w:space="0" w:color="000000"/>
            </w:tcBorders>
            <w:tcMar>
              <w:left w:w="0" w:type="dxa"/>
              <w:right w:w="0" w:type="dxa"/>
            </w:tcMar>
            <w:vAlign w:val="center"/>
          </w:tcPr>
          <w:p w14:paraId="5EEA98B2"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393,0</w:t>
            </w:r>
          </w:p>
        </w:tc>
        <w:tc>
          <w:tcPr>
            <w:tcW w:w="846" w:type="dxa"/>
            <w:tcBorders>
              <w:left w:val="single" w:sz="4" w:space="0" w:color="000000"/>
              <w:bottom w:val="single" w:sz="4" w:space="0" w:color="000000"/>
            </w:tcBorders>
            <w:tcMar>
              <w:left w:w="0" w:type="dxa"/>
              <w:right w:w="0" w:type="dxa"/>
            </w:tcMar>
            <w:vAlign w:val="center"/>
          </w:tcPr>
          <w:p w14:paraId="68F0C88B"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397,0</w:t>
            </w:r>
          </w:p>
        </w:tc>
        <w:tc>
          <w:tcPr>
            <w:tcW w:w="847" w:type="dxa"/>
            <w:tcBorders>
              <w:left w:val="single" w:sz="4" w:space="0" w:color="000000"/>
              <w:bottom w:val="single" w:sz="4" w:space="0" w:color="000000"/>
            </w:tcBorders>
            <w:tcMar>
              <w:left w:w="0" w:type="dxa"/>
              <w:right w:w="0" w:type="dxa"/>
            </w:tcMar>
            <w:vAlign w:val="center"/>
          </w:tcPr>
          <w:p w14:paraId="784A66AB"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541,0</w:t>
            </w:r>
          </w:p>
        </w:tc>
        <w:tc>
          <w:tcPr>
            <w:tcW w:w="909" w:type="dxa"/>
            <w:tcBorders>
              <w:left w:val="single" w:sz="4" w:space="0" w:color="000000"/>
              <w:bottom w:val="single" w:sz="4" w:space="0" w:color="000000"/>
            </w:tcBorders>
            <w:tcMar>
              <w:left w:w="0" w:type="dxa"/>
              <w:right w:w="0" w:type="dxa"/>
            </w:tcMar>
            <w:vAlign w:val="center"/>
          </w:tcPr>
          <w:p w14:paraId="595196B8" w14:textId="77777777" w:rsidR="00EB3E75" w:rsidRPr="009D5B83" w:rsidRDefault="00EB3E75" w:rsidP="00EB3E75">
            <w:pPr>
              <w:widowControl w:val="0"/>
              <w:suppressAutoHyphens/>
              <w:jc w:val="center"/>
              <w:rPr>
                <w:sz w:val="20"/>
                <w:szCs w:val="20"/>
              </w:rPr>
            </w:pPr>
            <w:r w:rsidRPr="009D5B83">
              <w:rPr>
                <w:sz w:val="20"/>
                <w:szCs w:val="20"/>
              </w:rPr>
              <w:t>647,0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2A100090" w14:textId="77777777" w:rsidR="00EB3E75" w:rsidRPr="009D5B83" w:rsidRDefault="00EB3E75" w:rsidP="00EB3E75">
            <w:pPr>
              <w:suppressAutoHyphens/>
              <w:jc w:val="center"/>
              <w:rPr>
                <w:sz w:val="20"/>
                <w:szCs w:val="20"/>
              </w:rPr>
            </w:pPr>
            <w:r w:rsidRPr="009D5B83">
              <w:rPr>
                <w:sz w:val="20"/>
                <w:szCs w:val="20"/>
              </w:rPr>
              <w:t>1 989,0</w:t>
            </w:r>
          </w:p>
        </w:tc>
      </w:tr>
      <w:tr w:rsidR="00EB3E75" w:rsidRPr="009D5B83" w14:paraId="16509CA5"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6878CB59" w14:textId="77777777" w:rsidR="00EB3E75" w:rsidRPr="009D5B83" w:rsidRDefault="00EB3E75" w:rsidP="00EB3E75">
            <w:pPr>
              <w:widowControl w:val="0"/>
              <w:suppressAutoHyphens/>
              <w:rPr>
                <w:sz w:val="20"/>
                <w:szCs w:val="20"/>
              </w:rPr>
            </w:pPr>
            <w:r w:rsidRPr="009D5B83">
              <w:rPr>
                <w:sz w:val="20"/>
                <w:szCs w:val="20"/>
              </w:rPr>
              <w:t>Производительность труда</w:t>
            </w:r>
          </w:p>
        </w:tc>
        <w:tc>
          <w:tcPr>
            <w:tcW w:w="1074" w:type="dxa"/>
            <w:tcBorders>
              <w:left w:val="single" w:sz="4" w:space="0" w:color="000000"/>
              <w:bottom w:val="single" w:sz="4" w:space="0" w:color="000000"/>
            </w:tcBorders>
            <w:tcMar>
              <w:left w:w="0" w:type="dxa"/>
              <w:right w:w="0" w:type="dxa"/>
            </w:tcMar>
            <w:vAlign w:val="center"/>
          </w:tcPr>
          <w:p w14:paraId="7D1E043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43,0</w:t>
            </w:r>
          </w:p>
        </w:tc>
        <w:tc>
          <w:tcPr>
            <w:tcW w:w="960" w:type="dxa"/>
            <w:tcBorders>
              <w:left w:val="single" w:sz="4" w:space="0" w:color="000000"/>
              <w:bottom w:val="single" w:sz="4" w:space="0" w:color="000000"/>
            </w:tcBorders>
            <w:tcMar>
              <w:left w:w="0" w:type="dxa"/>
              <w:right w:w="0" w:type="dxa"/>
            </w:tcMar>
            <w:vAlign w:val="center"/>
          </w:tcPr>
          <w:p w14:paraId="0394F852" w14:textId="77777777" w:rsidR="00EB3E75" w:rsidRPr="009D5B83" w:rsidRDefault="00EB3E75" w:rsidP="00EB3E75">
            <w:pPr>
              <w:widowControl w:val="0"/>
              <w:suppressAutoHyphens/>
              <w:jc w:val="center"/>
              <w:rPr>
                <w:color w:val="000000"/>
                <w:sz w:val="20"/>
                <w:szCs w:val="20"/>
                <w:lang w:val="en-US"/>
              </w:rPr>
            </w:pPr>
            <w:r w:rsidRPr="009D5B83">
              <w:rPr>
                <w:color w:val="000000"/>
                <w:sz w:val="20"/>
                <w:szCs w:val="20"/>
                <w:lang w:val="en-US"/>
              </w:rPr>
              <w:t>33,0</w:t>
            </w:r>
          </w:p>
        </w:tc>
        <w:tc>
          <w:tcPr>
            <w:tcW w:w="859" w:type="dxa"/>
            <w:tcBorders>
              <w:left w:val="single" w:sz="4" w:space="0" w:color="000000"/>
              <w:bottom w:val="single" w:sz="4" w:space="0" w:color="000000"/>
            </w:tcBorders>
            <w:tcMar>
              <w:left w:w="0" w:type="dxa"/>
              <w:right w:w="0" w:type="dxa"/>
            </w:tcMar>
            <w:vAlign w:val="center"/>
          </w:tcPr>
          <w:p w14:paraId="05070DC7" w14:textId="77777777" w:rsidR="00EB3E75" w:rsidRPr="009D5B83" w:rsidRDefault="00EB3E75" w:rsidP="00EB3E75">
            <w:pPr>
              <w:widowControl w:val="0"/>
              <w:suppressAutoHyphens/>
              <w:jc w:val="center"/>
              <w:rPr>
                <w:sz w:val="20"/>
                <w:szCs w:val="20"/>
              </w:rPr>
            </w:pPr>
            <w:r w:rsidRPr="009D5B83">
              <w:rPr>
                <w:sz w:val="20"/>
                <w:szCs w:val="20"/>
              </w:rPr>
              <w:t>15,0</w:t>
            </w:r>
          </w:p>
        </w:tc>
        <w:tc>
          <w:tcPr>
            <w:tcW w:w="960" w:type="dxa"/>
            <w:tcBorders>
              <w:left w:val="single" w:sz="4" w:space="0" w:color="000000"/>
              <w:bottom w:val="single" w:sz="4" w:space="0" w:color="000000"/>
            </w:tcBorders>
            <w:tcMar>
              <w:left w:w="0" w:type="dxa"/>
              <w:right w:w="0" w:type="dxa"/>
            </w:tcMar>
            <w:vAlign w:val="center"/>
          </w:tcPr>
          <w:p w14:paraId="7AA8304E"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5,0</w:t>
            </w:r>
          </w:p>
        </w:tc>
        <w:tc>
          <w:tcPr>
            <w:tcW w:w="846" w:type="dxa"/>
            <w:tcBorders>
              <w:left w:val="single" w:sz="4" w:space="0" w:color="000000"/>
              <w:bottom w:val="single" w:sz="4" w:space="0" w:color="000000"/>
            </w:tcBorders>
            <w:tcMar>
              <w:left w:w="0" w:type="dxa"/>
              <w:right w:w="0" w:type="dxa"/>
            </w:tcMar>
            <w:vAlign w:val="center"/>
          </w:tcPr>
          <w:p w14:paraId="21521633"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5,0</w:t>
            </w:r>
          </w:p>
        </w:tc>
        <w:tc>
          <w:tcPr>
            <w:tcW w:w="847" w:type="dxa"/>
            <w:tcBorders>
              <w:left w:val="single" w:sz="4" w:space="0" w:color="000000"/>
              <w:bottom w:val="single" w:sz="4" w:space="0" w:color="000000"/>
            </w:tcBorders>
            <w:tcMar>
              <w:left w:w="0" w:type="dxa"/>
              <w:right w:w="0" w:type="dxa"/>
            </w:tcMar>
            <w:vAlign w:val="center"/>
          </w:tcPr>
          <w:p w14:paraId="652A71B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6,0</w:t>
            </w:r>
          </w:p>
        </w:tc>
        <w:tc>
          <w:tcPr>
            <w:tcW w:w="909" w:type="dxa"/>
            <w:tcBorders>
              <w:left w:val="single" w:sz="4" w:space="0" w:color="000000"/>
              <w:bottom w:val="single" w:sz="4" w:space="0" w:color="000000"/>
            </w:tcBorders>
            <w:tcMar>
              <w:left w:w="0" w:type="dxa"/>
              <w:right w:w="0" w:type="dxa"/>
            </w:tcMar>
            <w:vAlign w:val="center"/>
          </w:tcPr>
          <w:p w14:paraId="2859C630" w14:textId="77777777" w:rsidR="00EB3E75" w:rsidRPr="009D5B83" w:rsidRDefault="00EB3E75" w:rsidP="00EB3E75">
            <w:pPr>
              <w:widowControl w:val="0"/>
              <w:suppressAutoHyphens/>
              <w:jc w:val="center"/>
              <w:rPr>
                <w:sz w:val="20"/>
                <w:szCs w:val="20"/>
              </w:rPr>
            </w:pPr>
            <w:r w:rsidRPr="009D5B83">
              <w:rPr>
                <w:sz w:val="20"/>
                <w:szCs w:val="20"/>
              </w:rPr>
              <w:t>0,0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1714DC35" w14:textId="77777777" w:rsidR="00EB3E75" w:rsidRPr="009D5B83" w:rsidRDefault="00EB3E75" w:rsidP="00EB3E75">
            <w:pPr>
              <w:suppressAutoHyphens/>
              <w:jc w:val="center"/>
              <w:rPr>
                <w:sz w:val="20"/>
                <w:szCs w:val="20"/>
              </w:rPr>
            </w:pPr>
            <w:r w:rsidRPr="009D5B83">
              <w:rPr>
                <w:sz w:val="20"/>
                <w:szCs w:val="20"/>
              </w:rPr>
              <w:t>31,0</w:t>
            </w:r>
          </w:p>
        </w:tc>
      </w:tr>
      <w:tr w:rsidR="00EB3E75" w:rsidRPr="009D5B83" w14:paraId="2B87ECD8"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2D96330B" w14:textId="77777777" w:rsidR="00EB3E75" w:rsidRPr="009D5B83" w:rsidRDefault="00EB3E75" w:rsidP="00EB3E75">
            <w:pPr>
              <w:widowControl w:val="0"/>
              <w:suppressAutoHyphens/>
              <w:rPr>
                <w:sz w:val="20"/>
                <w:szCs w:val="20"/>
              </w:rPr>
            </w:pPr>
            <w:r w:rsidRPr="009D5B83">
              <w:rPr>
                <w:sz w:val="20"/>
                <w:szCs w:val="20"/>
              </w:rPr>
              <w:t>Наука и университеты</w:t>
            </w:r>
          </w:p>
        </w:tc>
        <w:tc>
          <w:tcPr>
            <w:tcW w:w="1074" w:type="dxa"/>
            <w:tcBorders>
              <w:left w:val="single" w:sz="4" w:space="0" w:color="000000"/>
              <w:bottom w:val="single" w:sz="4" w:space="0" w:color="000000"/>
            </w:tcBorders>
            <w:tcMar>
              <w:left w:w="0" w:type="dxa"/>
              <w:right w:w="0" w:type="dxa"/>
            </w:tcMar>
            <w:vAlign w:val="center"/>
          </w:tcPr>
          <w:p w14:paraId="7631034F"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405,0</w:t>
            </w:r>
          </w:p>
        </w:tc>
        <w:tc>
          <w:tcPr>
            <w:tcW w:w="960" w:type="dxa"/>
            <w:tcBorders>
              <w:left w:val="single" w:sz="4" w:space="0" w:color="000000"/>
              <w:bottom w:val="single" w:sz="4" w:space="0" w:color="000000"/>
            </w:tcBorders>
            <w:tcMar>
              <w:left w:w="0" w:type="dxa"/>
              <w:right w:w="0" w:type="dxa"/>
            </w:tcMar>
            <w:vAlign w:val="center"/>
          </w:tcPr>
          <w:p w14:paraId="5158F77E"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577,0</w:t>
            </w:r>
          </w:p>
        </w:tc>
        <w:tc>
          <w:tcPr>
            <w:tcW w:w="859" w:type="dxa"/>
            <w:tcBorders>
              <w:left w:val="single" w:sz="4" w:space="0" w:color="000000"/>
              <w:bottom w:val="single" w:sz="4" w:space="0" w:color="000000"/>
            </w:tcBorders>
            <w:tcMar>
              <w:left w:w="0" w:type="dxa"/>
              <w:right w:w="0" w:type="dxa"/>
            </w:tcMar>
            <w:vAlign w:val="center"/>
          </w:tcPr>
          <w:p w14:paraId="5D1B781C" w14:textId="77777777" w:rsidR="00EB3E75" w:rsidRPr="009D5B83" w:rsidRDefault="00EB3E75" w:rsidP="00EB3E75">
            <w:pPr>
              <w:widowControl w:val="0"/>
              <w:suppressAutoHyphens/>
              <w:jc w:val="center"/>
              <w:rPr>
                <w:sz w:val="20"/>
                <w:szCs w:val="20"/>
              </w:rPr>
            </w:pPr>
            <w:r w:rsidRPr="009D5B83">
              <w:rPr>
                <w:sz w:val="20"/>
                <w:szCs w:val="20"/>
              </w:rPr>
              <w:t>158,0</w:t>
            </w:r>
          </w:p>
        </w:tc>
        <w:tc>
          <w:tcPr>
            <w:tcW w:w="960" w:type="dxa"/>
            <w:tcBorders>
              <w:left w:val="single" w:sz="4" w:space="0" w:color="000000"/>
              <w:bottom w:val="single" w:sz="4" w:space="0" w:color="000000"/>
            </w:tcBorders>
            <w:tcMar>
              <w:left w:w="0" w:type="dxa"/>
              <w:right w:w="0" w:type="dxa"/>
            </w:tcMar>
            <w:vAlign w:val="center"/>
          </w:tcPr>
          <w:p w14:paraId="01DBB420"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125,0</w:t>
            </w:r>
          </w:p>
        </w:tc>
        <w:tc>
          <w:tcPr>
            <w:tcW w:w="846" w:type="dxa"/>
            <w:tcBorders>
              <w:left w:val="single" w:sz="4" w:space="0" w:color="000000"/>
              <w:bottom w:val="single" w:sz="4" w:space="0" w:color="000000"/>
            </w:tcBorders>
            <w:tcMar>
              <w:left w:w="0" w:type="dxa"/>
              <w:right w:w="0" w:type="dxa"/>
            </w:tcMar>
            <w:vAlign w:val="center"/>
          </w:tcPr>
          <w:p w14:paraId="6499DCF4"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145,0</w:t>
            </w:r>
          </w:p>
        </w:tc>
        <w:tc>
          <w:tcPr>
            <w:tcW w:w="847" w:type="dxa"/>
            <w:tcBorders>
              <w:left w:val="single" w:sz="4" w:space="0" w:color="000000"/>
              <w:bottom w:val="single" w:sz="4" w:space="0" w:color="000000"/>
            </w:tcBorders>
            <w:tcMar>
              <w:left w:w="0" w:type="dxa"/>
              <w:right w:w="0" w:type="dxa"/>
            </w:tcMar>
            <w:vAlign w:val="center"/>
          </w:tcPr>
          <w:p w14:paraId="7DBE78B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155,0</w:t>
            </w:r>
          </w:p>
        </w:tc>
        <w:tc>
          <w:tcPr>
            <w:tcW w:w="909" w:type="dxa"/>
            <w:tcBorders>
              <w:left w:val="single" w:sz="4" w:space="0" w:color="000000"/>
              <w:bottom w:val="single" w:sz="4" w:space="0" w:color="000000"/>
            </w:tcBorders>
            <w:tcMar>
              <w:left w:w="0" w:type="dxa"/>
              <w:right w:w="0" w:type="dxa"/>
            </w:tcMar>
            <w:vAlign w:val="center"/>
          </w:tcPr>
          <w:p w14:paraId="0F2A3A43" w14:textId="77777777" w:rsidR="00EB3E75" w:rsidRPr="009D5B83" w:rsidRDefault="00EB3E75" w:rsidP="00EB3E75">
            <w:pPr>
              <w:widowControl w:val="0"/>
              <w:suppressAutoHyphens/>
              <w:jc w:val="center"/>
              <w:rPr>
                <w:sz w:val="20"/>
                <w:szCs w:val="20"/>
              </w:rPr>
            </w:pPr>
            <w:r w:rsidRPr="009D5B83">
              <w:rPr>
                <w:sz w:val="20"/>
                <w:szCs w:val="20"/>
              </w:rPr>
              <w:t>50,0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6209C2ED" w14:textId="77777777" w:rsidR="00EB3E75" w:rsidRPr="009D5B83" w:rsidRDefault="00EB3E75" w:rsidP="00EB3E75">
            <w:pPr>
              <w:suppressAutoHyphens/>
              <w:jc w:val="center"/>
              <w:rPr>
                <w:sz w:val="20"/>
                <w:szCs w:val="20"/>
              </w:rPr>
            </w:pPr>
            <w:r w:rsidRPr="009D5B83">
              <w:rPr>
                <w:sz w:val="20"/>
                <w:szCs w:val="20"/>
              </w:rPr>
              <w:t>583,0</w:t>
            </w:r>
          </w:p>
        </w:tc>
      </w:tr>
      <w:tr w:rsidR="00EB3E75" w:rsidRPr="009D5B83" w14:paraId="1A2EF90F"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1895DFC8" w14:textId="77777777" w:rsidR="00EB3E75" w:rsidRPr="009D5B83" w:rsidRDefault="00EB3E75" w:rsidP="00EB3E75">
            <w:pPr>
              <w:widowControl w:val="0"/>
              <w:suppressAutoHyphens/>
              <w:rPr>
                <w:sz w:val="20"/>
                <w:szCs w:val="20"/>
              </w:rPr>
            </w:pPr>
            <w:r w:rsidRPr="009D5B83">
              <w:rPr>
                <w:sz w:val="20"/>
                <w:szCs w:val="20"/>
              </w:rPr>
              <w:t>Цифровая экономика Российской Федерации</w:t>
            </w:r>
          </w:p>
        </w:tc>
        <w:tc>
          <w:tcPr>
            <w:tcW w:w="1074" w:type="dxa"/>
            <w:tcBorders>
              <w:left w:val="single" w:sz="4" w:space="0" w:color="000000"/>
              <w:bottom w:val="single" w:sz="4" w:space="0" w:color="000000"/>
            </w:tcBorders>
            <w:tcMar>
              <w:left w:w="0" w:type="dxa"/>
              <w:right w:w="0" w:type="dxa"/>
            </w:tcMar>
            <w:vAlign w:val="center"/>
          </w:tcPr>
          <w:p w14:paraId="48B6AFCE"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1 104,0</w:t>
            </w:r>
          </w:p>
        </w:tc>
        <w:tc>
          <w:tcPr>
            <w:tcW w:w="960" w:type="dxa"/>
            <w:tcBorders>
              <w:left w:val="single" w:sz="4" w:space="0" w:color="000000"/>
              <w:bottom w:val="single" w:sz="4" w:space="0" w:color="000000"/>
            </w:tcBorders>
            <w:tcMar>
              <w:left w:w="0" w:type="dxa"/>
              <w:right w:w="0" w:type="dxa"/>
            </w:tcMar>
            <w:vAlign w:val="center"/>
          </w:tcPr>
          <w:p w14:paraId="23835BD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1 099,0</w:t>
            </w:r>
          </w:p>
        </w:tc>
        <w:tc>
          <w:tcPr>
            <w:tcW w:w="859" w:type="dxa"/>
            <w:tcBorders>
              <w:left w:val="single" w:sz="4" w:space="0" w:color="000000"/>
              <w:bottom w:val="single" w:sz="4" w:space="0" w:color="000000"/>
            </w:tcBorders>
            <w:tcMar>
              <w:left w:w="0" w:type="dxa"/>
              <w:right w:w="0" w:type="dxa"/>
            </w:tcMar>
            <w:vAlign w:val="center"/>
          </w:tcPr>
          <w:p w14:paraId="0167E197" w14:textId="77777777" w:rsidR="00EB3E75" w:rsidRPr="009D5B83" w:rsidRDefault="00EB3E75" w:rsidP="00EB3E75">
            <w:pPr>
              <w:widowControl w:val="0"/>
              <w:suppressAutoHyphens/>
              <w:jc w:val="center"/>
              <w:rPr>
                <w:sz w:val="20"/>
                <w:szCs w:val="20"/>
              </w:rPr>
            </w:pPr>
            <w:r w:rsidRPr="009D5B83">
              <w:rPr>
                <w:sz w:val="20"/>
                <w:szCs w:val="20"/>
              </w:rPr>
              <w:t>291,0</w:t>
            </w:r>
          </w:p>
        </w:tc>
        <w:tc>
          <w:tcPr>
            <w:tcW w:w="960" w:type="dxa"/>
            <w:tcBorders>
              <w:left w:val="single" w:sz="4" w:space="0" w:color="000000"/>
              <w:bottom w:val="single" w:sz="4" w:space="0" w:color="000000"/>
            </w:tcBorders>
            <w:tcMar>
              <w:left w:w="0" w:type="dxa"/>
              <w:right w:w="0" w:type="dxa"/>
            </w:tcMar>
            <w:vAlign w:val="center"/>
          </w:tcPr>
          <w:p w14:paraId="09460918"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201,0</w:t>
            </w:r>
          </w:p>
        </w:tc>
        <w:tc>
          <w:tcPr>
            <w:tcW w:w="846" w:type="dxa"/>
            <w:tcBorders>
              <w:left w:val="single" w:sz="4" w:space="0" w:color="000000"/>
              <w:bottom w:val="single" w:sz="4" w:space="0" w:color="000000"/>
            </w:tcBorders>
            <w:tcMar>
              <w:left w:w="0" w:type="dxa"/>
              <w:right w:w="0" w:type="dxa"/>
            </w:tcMar>
            <w:vAlign w:val="center"/>
          </w:tcPr>
          <w:p w14:paraId="5ED789C7"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129,0</w:t>
            </w:r>
          </w:p>
        </w:tc>
        <w:tc>
          <w:tcPr>
            <w:tcW w:w="847" w:type="dxa"/>
            <w:tcBorders>
              <w:left w:val="single" w:sz="4" w:space="0" w:color="000000"/>
              <w:bottom w:val="single" w:sz="4" w:space="0" w:color="000000"/>
            </w:tcBorders>
            <w:tcMar>
              <w:left w:w="0" w:type="dxa"/>
              <w:right w:w="0" w:type="dxa"/>
            </w:tcMar>
            <w:vAlign w:val="center"/>
          </w:tcPr>
          <w:p w14:paraId="0DCD7525"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127,0</w:t>
            </w:r>
          </w:p>
        </w:tc>
        <w:tc>
          <w:tcPr>
            <w:tcW w:w="909" w:type="dxa"/>
            <w:tcBorders>
              <w:left w:val="single" w:sz="4" w:space="0" w:color="000000"/>
              <w:bottom w:val="single" w:sz="4" w:space="0" w:color="000000"/>
            </w:tcBorders>
            <w:tcMar>
              <w:left w:w="0" w:type="dxa"/>
              <w:right w:w="0" w:type="dxa"/>
            </w:tcMar>
            <w:vAlign w:val="center"/>
          </w:tcPr>
          <w:p w14:paraId="1E13C025" w14:textId="77777777" w:rsidR="00EB3E75" w:rsidRPr="009D5B83" w:rsidRDefault="00EB3E75" w:rsidP="00EB3E75">
            <w:pPr>
              <w:widowControl w:val="0"/>
              <w:suppressAutoHyphens/>
              <w:jc w:val="center"/>
              <w:rPr>
                <w:sz w:val="20"/>
                <w:szCs w:val="20"/>
              </w:rPr>
            </w:pPr>
            <w:r w:rsidRPr="009D5B83">
              <w:rPr>
                <w:sz w:val="20"/>
                <w:szCs w:val="20"/>
              </w:rPr>
              <w:t>27,0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76BF0BA7" w14:textId="77777777" w:rsidR="00EB3E75" w:rsidRPr="009D5B83" w:rsidRDefault="00EB3E75" w:rsidP="00EB3E75">
            <w:pPr>
              <w:suppressAutoHyphens/>
              <w:jc w:val="center"/>
              <w:rPr>
                <w:sz w:val="20"/>
                <w:szCs w:val="20"/>
              </w:rPr>
            </w:pPr>
            <w:r w:rsidRPr="009D5B83">
              <w:rPr>
                <w:sz w:val="20"/>
                <w:szCs w:val="20"/>
              </w:rPr>
              <w:t>748,0</w:t>
            </w:r>
          </w:p>
        </w:tc>
      </w:tr>
      <w:tr w:rsidR="00EB3E75" w:rsidRPr="009D5B83" w14:paraId="60E15624"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171583CD" w14:textId="77777777" w:rsidR="00EB3E75" w:rsidRPr="009D5B83" w:rsidRDefault="00EB3E75" w:rsidP="00EB3E75">
            <w:pPr>
              <w:widowControl w:val="0"/>
              <w:suppressAutoHyphens/>
              <w:rPr>
                <w:sz w:val="20"/>
                <w:szCs w:val="20"/>
              </w:rPr>
            </w:pPr>
            <w:r w:rsidRPr="009D5B83">
              <w:rPr>
                <w:sz w:val="20"/>
                <w:szCs w:val="20"/>
              </w:rPr>
              <w:t>Культура</w:t>
            </w:r>
          </w:p>
        </w:tc>
        <w:tc>
          <w:tcPr>
            <w:tcW w:w="1074" w:type="dxa"/>
            <w:tcBorders>
              <w:left w:val="single" w:sz="4" w:space="0" w:color="000000"/>
              <w:bottom w:val="single" w:sz="4" w:space="0" w:color="000000"/>
            </w:tcBorders>
            <w:tcMar>
              <w:left w:w="0" w:type="dxa"/>
              <w:right w:w="0" w:type="dxa"/>
            </w:tcMar>
            <w:vAlign w:val="center"/>
          </w:tcPr>
          <w:p w14:paraId="2F6E10A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101,0</w:t>
            </w:r>
          </w:p>
        </w:tc>
        <w:tc>
          <w:tcPr>
            <w:tcW w:w="960" w:type="dxa"/>
            <w:tcBorders>
              <w:left w:val="single" w:sz="4" w:space="0" w:color="000000"/>
              <w:bottom w:val="single" w:sz="4" w:space="0" w:color="000000"/>
            </w:tcBorders>
            <w:tcMar>
              <w:left w:w="0" w:type="dxa"/>
              <w:right w:w="0" w:type="dxa"/>
            </w:tcMar>
            <w:vAlign w:val="center"/>
          </w:tcPr>
          <w:p w14:paraId="2C81FE4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109,0</w:t>
            </w:r>
          </w:p>
        </w:tc>
        <w:tc>
          <w:tcPr>
            <w:tcW w:w="859" w:type="dxa"/>
            <w:tcBorders>
              <w:left w:val="single" w:sz="4" w:space="0" w:color="000000"/>
              <w:bottom w:val="single" w:sz="4" w:space="0" w:color="000000"/>
            </w:tcBorders>
            <w:tcMar>
              <w:left w:w="0" w:type="dxa"/>
              <w:right w:w="0" w:type="dxa"/>
            </w:tcMar>
            <w:vAlign w:val="center"/>
          </w:tcPr>
          <w:p w14:paraId="1204F6A9" w14:textId="77777777" w:rsidR="00EB3E75" w:rsidRPr="009D5B83" w:rsidRDefault="00EB3E75" w:rsidP="00EB3E75">
            <w:pPr>
              <w:widowControl w:val="0"/>
              <w:suppressAutoHyphens/>
              <w:jc w:val="center"/>
              <w:rPr>
                <w:sz w:val="20"/>
                <w:szCs w:val="20"/>
              </w:rPr>
            </w:pPr>
            <w:r w:rsidRPr="009D5B83">
              <w:rPr>
                <w:sz w:val="20"/>
                <w:szCs w:val="20"/>
              </w:rPr>
              <w:t>53,0</w:t>
            </w:r>
          </w:p>
        </w:tc>
        <w:tc>
          <w:tcPr>
            <w:tcW w:w="960" w:type="dxa"/>
            <w:tcBorders>
              <w:left w:val="single" w:sz="4" w:space="0" w:color="000000"/>
              <w:bottom w:val="single" w:sz="4" w:space="0" w:color="000000"/>
            </w:tcBorders>
            <w:tcMar>
              <w:left w:w="0" w:type="dxa"/>
              <w:right w:w="0" w:type="dxa"/>
            </w:tcMar>
            <w:vAlign w:val="center"/>
          </w:tcPr>
          <w:p w14:paraId="63777773"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48,0</w:t>
            </w:r>
          </w:p>
        </w:tc>
        <w:tc>
          <w:tcPr>
            <w:tcW w:w="846" w:type="dxa"/>
            <w:tcBorders>
              <w:left w:val="single" w:sz="4" w:space="0" w:color="000000"/>
              <w:bottom w:val="single" w:sz="4" w:space="0" w:color="000000"/>
            </w:tcBorders>
            <w:tcMar>
              <w:left w:w="0" w:type="dxa"/>
              <w:right w:w="0" w:type="dxa"/>
            </w:tcMar>
            <w:vAlign w:val="center"/>
          </w:tcPr>
          <w:p w14:paraId="792E709C"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54,0</w:t>
            </w:r>
          </w:p>
        </w:tc>
        <w:tc>
          <w:tcPr>
            <w:tcW w:w="847" w:type="dxa"/>
            <w:tcBorders>
              <w:left w:val="single" w:sz="4" w:space="0" w:color="000000"/>
              <w:bottom w:val="single" w:sz="4" w:space="0" w:color="000000"/>
            </w:tcBorders>
            <w:tcMar>
              <w:left w:w="0" w:type="dxa"/>
              <w:right w:w="0" w:type="dxa"/>
            </w:tcMar>
            <w:vAlign w:val="center"/>
          </w:tcPr>
          <w:p w14:paraId="05A2F7DA"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47,0</w:t>
            </w:r>
          </w:p>
        </w:tc>
        <w:tc>
          <w:tcPr>
            <w:tcW w:w="909" w:type="dxa"/>
            <w:tcBorders>
              <w:left w:val="single" w:sz="4" w:space="0" w:color="000000"/>
              <w:bottom w:val="single" w:sz="4" w:space="0" w:color="000000"/>
            </w:tcBorders>
            <w:tcMar>
              <w:left w:w="0" w:type="dxa"/>
              <w:right w:w="0" w:type="dxa"/>
            </w:tcMar>
            <w:vAlign w:val="center"/>
          </w:tcPr>
          <w:p w14:paraId="580B1E51" w14:textId="77777777" w:rsidR="00EB3E75" w:rsidRPr="009D5B83" w:rsidRDefault="00EB3E75" w:rsidP="00EB3E75">
            <w:pPr>
              <w:widowControl w:val="0"/>
              <w:suppressAutoHyphens/>
              <w:jc w:val="center"/>
              <w:rPr>
                <w:sz w:val="20"/>
                <w:szCs w:val="20"/>
              </w:rPr>
            </w:pPr>
            <w:r w:rsidRPr="009D5B83">
              <w:rPr>
                <w:sz w:val="20"/>
                <w:szCs w:val="20"/>
              </w:rPr>
              <w:t>13,0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3D96E523" w14:textId="77777777" w:rsidR="00EB3E75" w:rsidRPr="009D5B83" w:rsidRDefault="00EB3E75" w:rsidP="00EB3E75">
            <w:pPr>
              <w:suppressAutoHyphens/>
              <w:jc w:val="center"/>
              <w:rPr>
                <w:sz w:val="20"/>
                <w:szCs w:val="20"/>
              </w:rPr>
            </w:pPr>
            <w:r w:rsidRPr="009D5B83">
              <w:rPr>
                <w:sz w:val="20"/>
                <w:szCs w:val="20"/>
              </w:rPr>
              <w:t>202,0</w:t>
            </w:r>
          </w:p>
        </w:tc>
      </w:tr>
      <w:tr w:rsidR="00EB3E75" w:rsidRPr="009D5B83" w14:paraId="672057D9"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3FB28888" w14:textId="77777777" w:rsidR="00EB3E75" w:rsidRPr="009D5B83" w:rsidRDefault="00EB3E75" w:rsidP="00EB3E75">
            <w:pPr>
              <w:widowControl w:val="0"/>
              <w:suppressAutoHyphens/>
              <w:rPr>
                <w:sz w:val="20"/>
                <w:szCs w:val="20"/>
              </w:rPr>
            </w:pPr>
            <w:r w:rsidRPr="009D5B83">
              <w:rPr>
                <w:sz w:val="20"/>
                <w:szCs w:val="20"/>
              </w:rPr>
              <w:t>Малое и среднее предпринимательство и поддержка индивидуальной предпринимательской инициативы</w:t>
            </w:r>
          </w:p>
        </w:tc>
        <w:tc>
          <w:tcPr>
            <w:tcW w:w="1074" w:type="dxa"/>
            <w:tcBorders>
              <w:left w:val="single" w:sz="4" w:space="0" w:color="000000"/>
              <w:bottom w:val="single" w:sz="4" w:space="0" w:color="000000"/>
            </w:tcBorders>
            <w:tcMar>
              <w:left w:w="0" w:type="dxa"/>
              <w:right w:w="0" w:type="dxa"/>
            </w:tcMar>
            <w:vAlign w:val="center"/>
          </w:tcPr>
          <w:p w14:paraId="3F2CA0FF" w14:textId="77777777" w:rsidR="00EB3E75" w:rsidRPr="009D5B83" w:rsidRDefault="00EB3E75" w:rsidP="00EB3E75">
            <w:pPr>
              <w:widowControl w:val="0"/>
              <w:suppressAutoHyphens/>
              <w:jc w:val="center"/>
              <w:rPr>
                <w:sz w:val="20"/>
                <w:szCs w:val="20"/>
              </w:rPr>
            </w:pPr>
            <w:r w:rsidRPr="009D5B83">
              <w:rPr>
                <w:color w:val="000000"/>
                <w:sz w:val="20"/>
                <w:szCs w:val="20"/>
              </w:rPr>
              <w:t>408,0</w:t>
            </w:r>
          </w:p>
        </w:tc>
        <w:tc>
          <w:tcPr>
            <w:tcW w:w="960" w:type="dxa"/>
            <w:tcBorders>
              <w:left w:val="single" w:sz="4" w:space="0" w:color="000000"/>
              <w:bottom w:val="single" w:sz="4" w:space="0" w:color="000000"/>
            </w:tcBorders>
            <w:tcMar>
              <w:left w:w="0" w:type="dxa"/>
              <w:right w:w="0" w:type="dxa"/>
            </w:tcMar>
            <w:vAlign w:val="center"/>
          </w:tcPr>
          <w:p w14:paraId="2E293D71"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384,0</w:t>
            </w:r>
          </w:p>
        </w:tc>
        <w:tc>
          <w:tcPr>
            <w:tcW w:w="859" w:type="dxa"/>
            <w:tcBorders>
              <w:left w:val="single" w:sz="4" w:space="0" w:color="000000"/>
              <w:bottom w:val="single" w:sz="4" w:space="0" w:color="000000"/>
            </w:tcBorders>
            <w:tcMar>
              <w:left w:w="0" w:type="dxa"/>
              <w:right w:w="0" w:type="dxa"/>
            </w:tcMar>
            <w:vAlign w:val="center"/>
          </w:tcPr>
          <w:p w14:paraId="7F26D39E" w14:textId="77777777" w:rsidR="00EB3E75" w:rsidRPr="009D5B83" w:rsidRDefault="00EB3E75" w:rsidP="00EB3E75">
            <w:pPr>
              <w:widowControl w:val="0"/>
              <w:suppressAutoHyphens/>
              <w:jc w:val="center"/>
              <w:rPr>
                <w:sz w:val="20"/>
                <w:szCs w:val="20"/>
              </w:rPr>
            </w:pPr>
            <w:r w:rsidRPr="009D5B83">
              <w:rPr>
                <w:sz w:val="20"/>
                <w:szCs w:val="20"/>
              </w:rPr>
              <w:t>181,0</w:t>
            </w:r>
          </w:p>
        </w:tc>
        <w:tc>
          <w:tcPr>
            <w:tcW w:w="960" w:type="dxa"/>
            <w:tcBorders>
              <w:left w:val="single" w:sz="4" w:space="0" w:color="000000"/>
              <w:bottom w:val="single" w:sz="4" w:space="0" w:color="000000"/>
            </w:tcBorders>
            <w:tcMar>
              <w:left w:w="0" w:type="dxa"/>
              <w:right w:w="0" w:type="dxa"/>
            </w:tcMar>
            <w:vAlign w:val="center"/>
          </w:tcPr>
          <w:p w14:paraId="0F913DC0"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85,0</w:t>
            </w:r>
          </w:p>
        </w:tc>
        <w:tc>
          <w:tcPr>
            <w:tcW w:w="846" w:type="dxa"/>
            <w:tcBorders>
              <w:left w:val="single" w:sz="4" w:space="0" w:color="000000"/>
              <w:bottom w:val="single" w:sz="4" w:space="0" w:color="000000"/>
            </w:tcBorders>
            <w:tcMar>
              <w:left w:w="0" w:type="dxa"/>
              <w:right w:w="0" w:type="dxa"/>
            </w:tcMar>
            <w:vAlign w:val="center"/>
          </w:tcPr>
          <w:p w14:paraId="51FAB136"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79,0</w:t>
            </w:r>
          </w:p>
        </w:tc>
        <w:tc>
          <w:tcPr>
            <w:tcW w:w="847" w:type="dxa"/>
            <w:tcBorders>
              <w:left w:val="single" w:sz="4" w:space="0" w:color="000000"/>
              <w:bottom w:val="single" w:sz="4" w:space="0" w:color="000000"/>
            </w:tcBorders>
            <w:tcMar>
              <w:left w:w="0" w:type="dxa"/>
              <w:right w:w="0" w:type="dxa"/>
            </w:tcMar>
            <w:vAlign w:val="center"/>
          </w:tcPr>
          <w:p w14:paraId="196D42E1"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75,0</w:t>
            </w:r>
          </w:p>
        </w:tc>
        <w:tc>
          <w:tcPr>
            <w:tcW w:w="909" w:type="dxa"/>
            <w:tcBorders>
              <w:left w:val="single" w:sz="4" w:space="0" w:color="000000"/>
              <w:bottom w:val="single" w:sz="4" w:space="0" w:color="000000"/>
            </w:tcBorders>
            <w:tcMar>
              <w:left w:w="0" w:type="dxa"/>
              <w:right w:w="0" w:type="dxa"/>
            </w:tcMar>
            <w:vAlign w:val="center"/>
          </w:tcPr>
          <w:p w14:paraId="0FAB788C" w14:textId="77777777" w:rsidR="00EB3E75" w:rsidRPr="009D5B83" w:rsidRDefault="00EB3E75" w:rsidP="00EB3E75">
            <w:pPr>
              <w:widowControl w:val="0"/>
              <w:suppressAutoHyphens/>
              <w:jc w:val="center"/>
              <w:rPr>
                <w:sz w:val="20"/>
                <w:szCs w:val="20"/>
              </w:rPr>
            </w:pPr>
            <w:r w:rsidRPr="009D5B83">
              <w:rPr>
                <w:sz w:val="20"/>
                <w:szCs w:val="20"/>
              </w:rPr>
              <w:t>9,0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403C5F49" w14:textId="77777777" w:rsidR="00EB3E75" w:rsidRPr="009D5B83" w:rsidRDefault="00EB3E75" w:rsidP="00EB3E75">
            <w:pPr>
              <w:suppressAutoHyphens/>
              <w:jc w:val="center"/>
              <w:rPr>
                <w:sz w:val="20"/>
                <w:szCs w:val="20"/>
              </w:rPr>
            </w:pPr>
            <w:r w:rsidRPr="009D5B83">
              <w:rPr>
                <w:sz w:val="20"/>
                <w:szCs w:val="20"/>
              </w:rPr>
              <w:t>420,0</w:t>
            </w:r>
          </w:p>
        </w:tc>
      </w:tr>
      <w:tr w:rsidR="00EB3E75" w:rsidRPr="009D5B83" w14:paraId="3D6C4956"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5ED701FD" w14:textId="77777777" w:rsidR="00EB3E75" w:rsidRPr="009D5B83" w:rsidRDefault="00EB3E75" w:rsidP="00EB3E75">
            <w:pPr>
              <w:widowControl w:val="0"/>
              <w:suppressAutoHyphens/>
              <w:rPr>
                <w:sz w:val="20"/>
                <w:szCs w:val="20"/>
              </w:rPr>
            </w:pPr>
            <w:r w:rsidRPr="009D5B83">
              <w:rPr>
                <w:sz w:val="20"/>
                <w:szCs w:val="20"/>
              </w:rPr>
              <w:t>Международная кооперация и экспорт</w:t>
            </w:r>
          </w:p>
        </w:tc>
        <w:tc>
          <w:tcPr>
            <w:tcW w:w="1074" w:type="dxa"/>
            <w:tcBorders>
              <w:left w:val="single" w:sz="4" w:space="0" w:color="000000"/>
              <w:bottom w:val="single" w:sz="4" w:space="0" w:color="000000"/>
            </w:tcBorders>
            <w:tcMar>
              <w:left w:w="0" w:type="dxa"/>
              <w:right w:w="0" w:type="dxa"/>
            </w:tcMar>
            <w:vAlign w:val="center"/>
          </w:tcPr>
          <w:p w14:paraId="79741ECC"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903,0</w:t>
            </w:r>
          </w:p>
        </w:tc>
        <w:tc>
          <w:tcPr>
            <w:tcW w:w="960" w:type="dxa"/>
            <w:tcBorders>
              <w:left w:val="single" w:sz="4" w:space="0" w:color="000000"/>
              <w:bottom w:val="single" w:sz="4" w:space="0" w:color="000000"/>
            </w:tcBorders>
            <w:tcMar>
              <w:left w:w="0" w:type="dxa"/>
              <w:right w:w="0" w:type="dxa"/>
            </w:tcMar>
            <w:vAlign w:val="center"/>
          </w:tcPr>
          <w:p w14:paraId="76CE7AC8"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957,0</w:t>
            </w:r>
          </w:p>
        </w:tc>
        <w:tc>
          <w:tcPr>
            <w:tcW w:w="859" w:type="dxa"/>
            <w:tcBorders>
              <w:left w:val="single" w:sz="4" w:space="0" w:color="000000"/>
              <w:bottom w:val="single" w:sz="4" w:space="0" w:color="000000"/>
            </w:tcBorders>
            <w:tcMar>
              <w:left w:w="0" w:type="dxa"/>
              <w:right w:w="0" w:type="dxa"/>
            </w:tcMar>
            <w:vAlign w:val="center"/>
          </w:tcPr>
          <w:p w14:paraId="6A494277" w14:textId="77777777" w:rsidR="00EB3E75" w:rsidRPr="009D5B83" w:rsidRDefault="00EB3E75" w:rsidP="00EB3E75">
            <w:pPr>
              <w:widowControl w:val="0"/>
              <w:suppressAutoHyphens/>
              <w:jc w:val="center"/>
              <w:rPr>
                <w:sz w:val="20"/>
                <w:szCs w:val="20"/>
              </w:rPr>
            </w:pPr>
            <w:r w:rsidRPr="009D5B83">
              <w:rPr>
                <w:sz w:val="20"/>
                <w:szCs w:val="20"/>
              </w:rPr>
              <w:t>272,0</w:t>
            </w:r>
          </w:p>
        </w:tc>
        <w:tc>
          <w:tcPr>
            <w:tcW w:w="960" w:type="dxa"/>
            <w:tcBorders>
              <w:left w:val="single" w:sz="4" w:space="0" w:color="000000"/>
              <w:bottom w:val="single" w:sz="4" w:space="0" w:color="000000"/>
            </w:tcBorders>
            <w:tcMar>
              <w:left w:w="0" w:type="dxa"/>
              <w:right w:w="0" w:type="dxa"/>
            </w:tcMar>
            <w:vAlign w:val="center"/>
          </w:tcPr>
          <w:p w14:paraId="1787BA28"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154,0</w:t>
            </w:r>
          </w:p>
        </w:tc>
        <w:tc>
          <w:tcPr>
            <w:tcW w:w="846" w:type="dxa"/>
            <w:tcBorders>
              <w:left w:val="single" w:sz="4" w:space="0" w:color="000000"/>
              <w:bottom w:val="single" w:sz="4" w:space="0" w:color="000000"/>
            </w:tcBorders>
            <w:tcMar>
              <w:left w:w="0" w:type="dxa"/>
              <w:right w:w="0" w:type="dxa"/>
            </w:tcMar>
            <w:vAlign w:val="center"/>
          </w:tcPr>
          <w:p w14:paraId="4CFD4BB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126,0</w:t>
            </w:r>
          </w:p>
        </w:tc>
        <w:tc>
          <w:tcPr>
            <w:tcW w:w="847" w:type="dxa"/>
            <w:tcBorders>
              <w:left w:val="single" w:sz="4" w:space="0" w:color="000000"/>
              <w:bottom w:val="single" w:sz="4" w:space="0" w:color="000000"/>
            </w:tcBorders>
            <w:tcMar>
              <w:left w:w="0" w:type="dxa"/>
              <w:right w:w="0" w:type="dxa"/>
            </w:tcMar>
            <w:vAlign w:val="center"/>
          </w:tcPr>
          <w:p w14:paraId="2C4EE514"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158,0</w:t>
            </w:r>
          </w:p>
        </w:tc>
        <w:tc>
          <w:tcPr>
            <w:tcW w:w="909" w:type="dxa"/>
            <w:tcBorders>
              <w:left w:val="single" w:sz="4" w:space="0" w:color="000000"/>
              <w:bottom w:val="single" w:sz="4" w:space="0" w:color="000000"/>
            </w:tcBorders>
            <w:tcMar>
              <w:left w:w="0" w:type="dxa"/>
              <w:right w:w="0" w:type="dxa"/>
            </w:tcMar>
            <w:vAlign w:val="center"/>
          </w:tcPr>
          <w:p w14:paraId="69B7072E" w14:textId="77777777" w:rsidR="00EB3E75" w:rsidRPr="009D5B83" w:rsidRDefault="00EB3E75" w:rsidP="00EB3E75">
            <w:pPr>
              <w:widowControl w:val="0"/>
              <w:suppressAutoHyphens/>
              <w:jc w:val="center"/>
              <w:rPr>
                <w:sz w:val="20"/>
                <w:szCs w:val="20"/>
              </w:rPr>
            </w:pPr>
            <w:r w:rsidRPr="009D5B83">
              <w:rPr>
                <w:sz w:val="20"/>
                <w:szCs w:val="20"/>
              </w:rPr>
              <w:t>21,0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2D9B6487" w14:textId="77777777" w:rsidR="00EB3E75" w:rsidRPr="009D5B83" w:rsidRDefault="00EB3E75" w:rsidP="00EB3E75">
            <w:pPr>
              <w:suppressAutoHyphens/>
              <w:jc w:val="center"/>
              <w:rPr>
                <w:sz w:val="20"/>
                <w:szCs w:val="20"/>
              </w:rPr>
            </w:pPr>
            <w:r w:rsidRPr="009D5B83">
              <w:rPr>
                <w:sz w:val="20"/>
                <w:szCs w:val="20"/>
              </w:rPr>
              <w:t>710,0</w:t>
            </w:r>
          </w:p>
        </w:tc>
      </w:tr>
      <w:tr w:rsidR="00EB3E75" w:rsidRPr="009D5B83" w14:paraId="40ADDFD6" w14:textId="77777777" w:rsidTr="001B68A1">
        <w:tc>
          <w:tcPr>
            <w:tcW w:w="1705" w:type="dxa"/>
            <w:tcBorders>
              <w:top w:val="single" w:sz="4" w:space="0" w:color="000000"/>
              <w:left w:val="single" w:sz="4" w:space="0" w:color="000000"/>
              <w:bottom w:val="single" w:sz="4" w:space="0" w:color="000000"/>
              <w:right w:val="single" w:sz="4" w:space="0" w:color="000000"/>
            </w:tcBorders>
          </w:tcPr>
          <w:p w14:paraId="7E464E37" w14:textId="77777777" w:rsidR="00EB3E75" w:rsidRPr="009D5B83" w:rsidRDefault="00EB3E75" w:rsidP="00EB3E75">
            <w:pPr>
              <w:widowControl w:val="0"/>
              <w:suppressAutoHyphens/>
              <w:rPr>
                <w:sz w:val="20"/>
                <w:szCs w:val="20"/>
              </w:rPr>
            </w:pPr>
            <w:r w:rsidRPr="009D5B83">
              <w:rPr>
                <w:sz w:val="20"/>
                <w:szCs w:val="20"/>
              </w:rPr>
              <w:t>Комплексный план модернизации инфраструктуры</w:t>
            </w:r>
          </w:p>
        </w:tc>
        <w:tc>
          <w:tcPr>
            <w:tcW w:w="1074" w:type="dxa"/>
            <w:tcBorders>
              <w:left w:val="single" w:sz="4" w:space="0" w:color="000000"/>
              <w:bottom w:val="single" w:sz="4" w:space="0" w:color="000000"/>
            </w:tcBorders>
            <w:tcMar>
              <w:left w:w="0" w:type="dxa"/>
              <w:right w:w="0" w:type="dxa"/>
            </w:tcMar>
            <w:vAlign w:val="center"/>
          </w:tcPr>
          <w:p w14:paraId="6A339C5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3 061,0</w:t>
            </w:r>
          </w:p>
        </w:tc>
        <w:tc>
          <w:tcPr>
            <w:tcW w:w="960" w:type="dxa"/>
            <w:tcBorders>
              <w:left w:val="single" w:sz="4" w:space="0" w:color="000000"/>
              <w:bottom w:val="single" w:sz="4" w:space="0" w:color="000000"/>
            </w:tcBorders>
            <w:tcMar>
              <w:left w:w="0" w:type="dxa"/>
              <w:right w:w="0" w:type="dxa"/>
            </w:tcMar>
            <w:vAlign w:val="center"/>
          </w:tcPr>
          <w:p w14:paraId="5901F2A6"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1 128,0</w:t>
            </w:r>
          </w:p>
        </w:tc>
        <w:tc>
          <w:tcPr>
            <w:tcW w:w="859" w:type="dxa"/>
            <w:tcBorders>
              <w:left w:val="single" w:sz="4" w:space="0" w:color="000000"/>
              <w:bottom w:val="single" w:sz="4" w:space="0" w:color="000000"/>
            </w:tcBorders>
            <w:tcMar>
              <w:left w:w="0" w:type="dxa"/>
              <w:right w:w="0" w:type="dxa"/>
            </w:tcMar>
            <w:vAlign w:val="center"/>
          </w:tcPr>
          <w:p w14:paraId="3AC6AEDC" w14:textId="77777777" w:rsidR="00EB3E75" w:rsidRPr="009D5B83" w:rsidRDefault="00EB3E75" w:rsidP="00EB3E75">
            <w:pPr>
              <w:widowControl w:val="0"/>
              <w:suppressAutoHyphens/>
              <w:jc w:val="center"/>
              <w:rPr>
                <w:sz w:val="20"/>
                <w:szCs w:val="20"/>
              </w:rPr>
            </w:pPr>
            <w:r w:rsidRPr="009D5B83">
              <w:rPr>
                <w:sz w:val="20"/>
                <w:szCs w:val="20"/>
              </w:rPr>
              <w:t>1 062,0</w:t>
            </w:r>
          </w:p>
        </w:tc>
        <w:tc>
          <w:tcPr>
            <w:tcW w:w="960" w:type="dxa"/>
            <w:tcBorders>
              <w:left w:val="single" w:sz="4" w:space="0" w:color="000000"/>
              <w:bottom w:val="single" w:sz="4" w:space="0" w:color="000000"/>
            </w:tcBorders>
            <w:tcMar>
              <w:left w:w="0" w:type="dxa"/>
              <w:right w:w="0" w:type="dxa"/>
            </w:tcMar>
            <w:vAlign w:val="center"/>
          </w:tcPr>
          <w:p w14:paraId="732EFE9E"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415,0</w:t>
            </w:r>
          </w:p>
        </w:tc>
        <w:tc>
          <w:tcPr>
            <w:tcW w:w="846" w:type="dxa"/>
            <w:tcBorders>
              <w:left w:val="single" w:sz="4" w:space="0" w:color="000000"/>
              <w:bottom w:val="single" w:sz="4" w:space="0" w:color="000000"/>
            </w:tcBorders>
            <w:tcMar>
              <w:left w:w="0" w:type="dxa"/>
              <w:right w:w="0" w:type="dxa"/>
            </w:tcMar>
            <w:vAlign w:val="center"/>
          </w:tcPr>
          <w:p w14:paraId="6CEAE549"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129,0</w:t>
            </w:r>
          </w:p>
        </w:tc>
        <w:tc>
          <w:tcPr>
            <w:tcW w:w="847" w:type="dxa"/>
            <w:tcBorders>
              <w:left w:val="single" w:sz="4" w:space="0" w:color="000000"/>
              <w:bottom w:val="single" w:sz="4" w:space="0" w:color="000000"/>
            </w:tcBorders>
            <w:tcMar>
              <w:left w:w="0" w:type="dxa"/>
              <w:right w:w="0" w:type="dxa"/>
            </w:tcMar>
            <w:vAlign w:val="center"/>
          </w:tcPr>
          <w:p w14:paraId="0A6B2552"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111,0</w:t>
            </w:r>
          </w:p>
        </w:tc>
        <w:tc>
          <w:tcPr>
            <w:tcW w:w="909" w:type="dxa"/>
            <w:tcBorders>
              <w:left w:val="single" w:sz="4" w:space="0" w:color="000000"/>
              <w:bottom w:val="single" w:sz="4" w:space="0" w:color="000000"/>
            </w:tcBorders>
            <w:tcMar>
              <w:left w:w="0" w:type="dxa"/>
              <w:right w:w="0" w:type="dxa"/>
            </w:tcMar>
            <w:vAlign w:val="center"/>
          </w:tcPr>
          <w:p w14:paraId="4B8381BF" w14:textId="77777777" w:rsidR="00EB3E75" w:rsidRPr="009D5B83" w:rsidRDefault="00EB3E75" w:rsidP="00EB3E75">
            <w:pPr>
              <w:widowControl w:val="0"/>
              <w:suppressAutoHyphens/>
              <w:jc w:val="center"/>
              <w:rPr>
                <w:sz w:val="20"/>
                <w:szCs w:val="20"/>
              </w:rPr>
            </w:pPr>
            <w:r w:rsidRPr="009D5B83">
              <w:rPr>
                <w:sz w:val="20"/>
                <w:szCs w:val="20"/>
              </w:rPr>
              <w:t>41,0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0F1556C1" w14:textId="77777777" w:rsidR="00EB3E75" w:rsidRPr="009D5B83" w:rsidRDefault="00EB3E75" w:rsidP="00EB3E75">
            <w:pPr>
              <w:suppressAutoHyphens/>
              <w:jc w:val="center"/>
              <w:rPr>
                <w:sz w:val="20"/>
                <w:szCs w:val="20"/>
              </w:rPr>
            </w:pPr>
            <w:r w:rsidRPr="009D5B83">
              <w:rPr>
                <w:sz w:val="20"/>
                <w:szCs w:val="20"/>
              </w:rPr>
              <w:t>1 717,0</w:t>
            </w:r>
          </w:p>
        </w:tc>
      </w:tr>
      <w:tr w:rsidR="00EB3E75" w:rsidRPr="009D5B83" w14:paraId="07F5F0F5" w14:textId="77777777" w:rsidTr="001B68A1">
        <w:tc>
          <w:tcPr>
            <w:tcW w:w="1705" w:type="dxa"/>
            <w:tcBorders>
              <w:left w:val="single" w:sz="4" w:space="0" w:color="000000"/>
              <w:bottom w:val="single" w:sz="4" w:space="0" w:color="000000"/>
              <w:right w:val="single" w:sz="4" w:space="0" w:color="000000"/>
            </w:tcBorders>
          </w:tcPr>
          <w:p w14:paraId="6970F7A5" w14:textId="77777777" w:rsidR="00EB3E75" w:rsidRPr="009D5B83" w:rsidRDefault="00EB3E75" w:rsidP="00EB3E75">
            <w:pPr>
              <w:widowControl w:val="0"/>
              <w:suppressAutoHyphens/>
              <w:rPr>
                <w:sz w:val="20"/>
                <w:szCs w:val="20"/>
              </w:rPr>
            </w:pPr>
            <w:r w:rsidRPr="009D5B83">
              <w:rPr>
                <w:sz w:val="20"/>
                <w:szCs w:val="20"/>
              </w:rPr>
              <w:t>Туризм и индустрия гостеприимства</w:t>
            </w:r>
          </w:p>
        </w:tc>
        <w:tc>
          <w:tcPr>
            <w:tcW w:w="1074" w:type="dxa"/>
            <w:tcBorders>
              <w:left w:val="single" w:sz="4" w:space="0" w:color="000000"/>
              <w:bottom w:val="single" w:sz="4" w:space="0" w:color="000000"/>
            </w:tcBorders>
            <w:tcMar>
              <w:left w:w="0" w:type="dxa"/>
              <w:right w:w="0" w:type="dxa"/>
            </w:tcMar>
            <w:vAlign w:val="center"/>
          </w:tcPr>
          <w:p w14:paraId="2DD96C27"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0,0</w:t>
            </w:r>
          </w:p>
        </w:tc>
        <w:tc>
          <w:tcPr>
            <w:tcW w:w="960" w:type="dxa"/>
            <w:tcBorders>
              <w:left w:val="single" w:sz="4" w:space="0" w:color="000000"/>
              <w:bottom w:val="single" w:sz="4" w:space="0" w:color="000000"/>
            </w:tcBorders>
            <w:tcMar>
              <w:left w:w="0" w:type="dxa"/>
              <w:right w:w="0" w:type="dxa"/>
            </w:tcMar>
            <w:vAlign w:val="center"/>
          </w:tcPr>
          <w:p w14:paraId="0916EDA3"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183,0</w:t>
            </w:r>
          </w:p>
        </w:tc>
        <w:tc>
          <w:tcPr>
            <w:tcW w:w="859" w:type="dxa"/>
            <w:tcBorders>
              <w:left w:val="single" w:sz="4" w:space="0" w:color="000000"/>
              <w:bottom w:val="single" w:sz="4" w:space="0" w:color="000000"/>
            </w:tcBorders>
            <w:tcMar>
              <w:left w:w="0" w:type="dxa"/>
              <w:right w:w="0" w:type="dxa"/>
            </w:tcMar>
            <w:vAlign w:val="center"/>
          </w:tcPr>
          <w:p w14:paraId="4FA7350B" w14:textId="77777777" w:rsidR="00EB3E75" w:rsidRPr="009D5B83" w:rsidRDefault="00EB3E75" w:rsidP="00EB3E75">
            <w:pPr>
              <w:widowControl w:val="0"/>
              <w:suppressAutoHyphens/>
              <w:jc w:val="center"/>
              <w:rPr>
                <w:sz w:val="20"/>
                <w:szCs w:val="20"/>
              </w:rPr>
            </w:pPr>
            <w:r w:rsidRPr="009D5B83">
              <w:rPr>
                <w:sz w:val="20"/>
                <w:szCs w:val="20"/>
              </w:rPr>
              <w:t>38,0</w:t>
            </w:r>
          </w:p>
        </w:tc>
        <w:tc>
          <w:tcPr>
            <w:tcW w:w="960" w:type="dxa"/>
            <w:tcBorders>
              <w:left w:val="single" w:sz="4" w:space="0" w:color="000000"/>
              <w:bottom w:val="single" w:sz="4" w:space="0" w:color="000000"/>
            </w:tcBorders>
            <w:tcMar>
              <w:left w:w="0" w:type="dxa"/>
              <w:right w:w="0" w:type="dxa"/>
            </w:tcMar>
            <w:vAlign w:val="center"/>
          </w:tcPr>
          <w:p w14:paraId="5CAAD4F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68,0</w:t>
            </w:r>
          </w:p>
        </w:tc>
        <w:tc>
          <w:tcPr>
            <w:tcW w:w="846" w:type="dxa"/>
            <w:tcBorders>
              <w:left w:val="single" w:sz="4" w:space="0" w:color="000000"/>
              <w:bottom w:val="single" w:sz="4" w:space="0" w:color="000000"/>
            </w:tcBorders>
            <w:tcMar>
              <w:left w:w="0" w:type="dxa"/>
              <w:right w:w="0" w:type="dxa"/>
            </w:tcMar>
            <w:vAlign w:val="center"/>
          </w:tcPr>
          <w:p w14:paraId="20B9E0A1"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48,0</w:t>
            </w:r>
          </w:p>
        </w:tc>
        <w:tc>
          <w:tcPr>
            <w:tcW w:w="847" w:type="dxa"/>
            <w:tcBorders>
              <w:left w:val="single" w:sz="4" w:space="0" w:color="000000"/>
              <w:bottom w:val="single" w:sz="4" w:space="0" w:color="000000"/>
            </w:tcBorders>
            <w:tcMar>
              <w:left w:w="0" w:type="dxa"/>
              <w:right w:w="0" w:type="dxa"/>
            </w:tcMar>
            <w:vAlign w:val="center"/>
          </w:tcPr>
          <w:p w14:paraId="15EB377D" w14:textId="77777777" w:rsidR="00EB3E75" w:rsidRPr="009D5B83" w:rsidRDefault="00EB3E75" w:rsidP="00EB3E75">
            <w:pPr>
              <w:widowControl w:val="0"/>
              <w:suppressAutoHyphens/>
              <w:jc w:val="center"/>
              <w:rPr>
                <w:color w:val="000000"/>
                <w:sz w:val="20"/>
                <w:szCs w:val="20"/>
              </w:rPr>
            </w:pPr>
            <w:r w:rsidRPr="009D5B83">
              <w:rPr>
                <w:color w:val="000000"/>
                <w:sz w:val="20"/>
                <w:szCs w:val="20"/>
              </w:rPr>
              <w:t>48,0</w:t>
            </w:r>
          </w:p>
        </w:tc>
        <w:tc>
          <w:tcPr>
            <w:tcW w:w="909" w:type="dxa"/>
            <w:tcBorders>
              <w:left w:val="single" w:sz="4" w:space="0" w:color="000000"/>
              <w:bottom w:val="single" w:sz="4" w:space="0" w:color="000000"/>
            </w:tcBorders>
            <w:tcMar>
              <w:left w:w="0" w:type="dxa"/>
              <w:right w:w="0" w:type="dxa"/>
            </w:tcMar>
            <w:vAlign w:val="center"/>
          </w:tcPr>
          <w:p w14:paraId="7BBC7652" w14:textId="77777777" w:rsidR="00EB3E75" w:rsidRPr="009D5B83" w:rsidRDefault="00EB3E75" w:rsidP="00EB3E75">
            <w:pPr>
              <w:widowControl w:val="0"/>
              <w:suppressAutoHyphens/>
              <w:jc w:val="center"/>
              <w:rPr>
                <w:sz w:val="20"/>
                <w:szCs w:val="20"/>
              </w:rPr>
            </w:pPr>
            <w:r w:rsidRPr="009D5B83">
              <w:rPr>
                <w:sz w:val="20"/>
                <w:szCs w:val="20"/>
              </w:rPr>
              <w:t>1,0</w:t>
            </w:r>
          </w:p>
        </w:tc>
        <w:tc>
          <w:tcPr>
            <w:tcW w:w="1023" w:type="dxa"/>
            <w:tcBorders>
              <w:left w:val="single" w:sz="4" w:space="0" w:color="000000"/>
              <w:bottom w:val="single" w:sz="4" w:space="0" w:color="000000"/>
              <w:right w:val="single" w:sz="4" w:space="0" w:color="000000"/>
            </w:tcBorders>
            <w:tcMar>
              <w:left w:w="0" w:type="dxa"/>
              <w:right w:w="0" w:type="dxa"/>
            </w:tcMar>
            <w:vAlign w:val="center"/>
          </w:tcPr>
          <w:p w14:paraId="081425AC" w14:textId="77777777" w:rsidR="00EB3E75" w:rsidRPr="009D5B83" w:rsidRDefault="00EB3E75" w:rsidP="00EB3E75">
            <w:pPr>
              <w:suppressAutoHyphens/>
              <w:jc w:val="center"/>
              <w:rPr>
                <w:sz w:val="20"/>
                <w:szCs w:val="20"/>
              </w:rPr>
            </w:pPr>
            <w:r w:rsidRPr="009D5B83">
              <w:rPr>
                <w:sz w:val="20"/>
                <w:szCs w:val="20"/>
              </w:rPr>
              <w:t>202,0</w:t>
            </w:r>
          </w:p>
        </w:tc>
      </w:tr>
    </w:tbl>
    <w:p w14:paraId="0129A6B2" w14:textId="005DF7DC" w:rsidR="00EB3E75" w:rsidRPr="009D5B83" w:rsidRDefault="00EB3E75" w:rsidP="00EB3E75">
      <w:pPr>
        <w:keepLines/>
        <w:suppressAutoHyphens/>
        <w:spacing w:after="120"/>
        <w:ind w:firstLine="709"/>
        <w:jc w:val="both"/>
      </w:pPr>
      <w:r w:rsidRPr="009D5B83">
        <w:rPr>
          <w:i/>
          <w:color w:val="000000"/>
          <w:sz w:val="20"/>
        </w:rPr>
        <w:t>Источник:</w:t>
      </w:r>
      <w:r w:rsidRPr="009D5B83">
        <w:rPr>
          <w:color w:val="000000"/>
          <w:sz w:val="20"/>
        </w:rPr>
        <w:t xml:space="preserve"> </w:t>
      </w:r>
      <w:r w:rsidRPr="009D5B83">
        <w:rPr>
          <w:sz w:val="20"/>
        </w:rPr>
        <w:t>Пояснительная записка, паспорта национальных проектов, утвержденные президиумом Совета при Президенте РФ по стратегическому развитию и национальным проектам паспорта национальных проектов, Федеральное казначейство, расчеты авторов.</w:t>
      </w:r>
    </w:p>
    <w:p w14:paraId="35ECBD47" w14:textId="57D33585" w:rsidR="00EB3E75" w:rsidRPr="00E103B9" w:rsidRDefault="00EB3E75" w:rsidP="00EB3E75">
      <w:pPr>
        <w:suppressAutoHyphens/>
        <w:spacing w:after="60"/>
        <w:ind w:firstLine="567"/>
        <w:jc w:val="both"/>
        <w:rPr>
          <w:sz w:val="28"/>
        </w:rPr>
      </w:pPr>
      <w:r w:rsidRPr="009D5B83">
        <w:lastRenderedPageBreak/>
        <w:t xml:space="preserve"> </w:t>
      </w:r>
      <w:r w:rsidRPr="00E103B9">
        <w:rPr>
          <w:sz w:val="28"/>
        </w:rPr>
        <w:t xml:space="preserve">Наибольшее отклонение от первоначально заложенных объемов расходов отмечается по НП «Безопасные качественные дороги» и «Демография» на 1 048 и 1 493 </w:t>
      </w:r>
      <w:proofErr w:type="gramStart"/>
      <w:r w:rsidRPr="00E103B9">
        <w:rPr>
          <w:sz w:val="28"/>
        </w:rPr>
        <w:t>млрд</w:t>
      </w:r>
      <w:proofErr w:type="gramEnd"/>
      <w:r w:rsidRPr="00E103B9">
        <w:rPr>
          <w:sz w:val="28"/>
        </w:rPr>
        <w:t xml:space="preserve"> руб. или в 4,5 и 1,5 раза соответственно. Также запланировано увеличение общего объема финансирования в 2019-2024 гг. относительно первоначально утвержденных объемов по следующим </w:t>
      </w:r>
      <w:r w:rsidR="00805A31" w:rsidRPr="00E103B9">
        <w:rPr>
          <w:sz w:val="28"/>
        </w:rPr>
        <w:t>проектам</w:t>
      </w:r>
      <w:r w:rsidRPr="00E103B9">
        <w:rPr>
          <w:sz w:val="28"/>
        </w:rPr>
        <w:t xml:space="preserve"> (в абсолютном и номинальном выражении): </w:t>
      </w:r>
      <w:r w:rsidR="00805A31" w:rsidRPr="00E103B9">
        <w:rPr>
          <w:sz w:val="28"/>
        </w:rPr>
        <w:t xml:space="preserve">НП </w:t>
      </w:r>
      <w:r w:rsidRPr="00E103B9">
        <w:rPr>
          <w:sz w:val="28"/>
        </w:rPr>
        <w:t xml:space="preserve">«Здравоохранение» на 351 </w:t>
      </w:r>
      <w:proofErr w:type="gramStart"/>
      <w:r w:rsidRPr="00E103B9">
        <w:rPr>
          <w:sz w:val="28"/>
        </w:rPr>
        <w:t>млрд</w:t>
      </w:r>
      <w:proofErr w:type="gramEnd"/>
      <w:r w:rsidRPr="00E103B9">
        <w:rPr>
          <w:sz w:val="28"/>
        </w:rPr>
        <w:t xml:space="preserve"> руб. и на 26,2%, </w:t>
      </w:r>
      <w:r w:rsidR="00805A31" w:rsidRPr="00E103B9">
        <w:rPr>
          <w:sz w:val="28"/>
        </w:rPr>
        <w:t xml:space="preserve">НП </w:t>
      </w:r>
      <w:r w:rsidRPr="00E103B9">
        <w:rPr>
          <w:sz w:val="28"/>
        </w:rPr>
        <w:t xml:space="preserve">«Образование» на 298 млрд руб. и на 41,7%, </w:t>
      </w:r>
      <w:r w:rsidR="00805A31" w:rsidRPr="00E103B9">
        <w:rPr>
          <w:sz w:val="28"/>
        </w:rPr>
        <w:t xml:space="preserve">НП </w:t>
      </w:r>
      <w:r w:rsidRPr="00E103B9">
        <w:rPr>
          <w:sz w:val="28"/>
        </w:rPr>
        <w:t xml:space="preserve">«Жилье и городская среда» на 197 млрд руб. и 22,5%, </w:t>
      </w:r>
      <w:r w:rsidR="00805A31" w:rsidRPr="00E103B9">
        <w:rPr>
          <w:sz w:val="28"/>
        </w:rPr>
        <w:t xml:space="preserve">НП </w:t>
      </w:r>
      <w:r w:rsidRPr="00E103B9">
        <w:rPr>
          <w:sz w:val="28"/>
        </w:rPr>
        <w:t xml:space="preserve">«Наука и университеты» на 178 млрд руб. и 44,0%, </w:t>
      </w:r>
      <w:r w:rsidR="00805A31" w:rsidRPr="00E103B9">
        <w:rPr>
          <w:sz w:val="28"/>
        </w:rPr>
        <w:t xml:space="preserve">НП </w:t>
      </w:r>
      <w:r w:rsidRPr="00E103B9">
        <w:rPr>
          <w:sz w:val="28"/>
        </w:rPr>
        <w:t xml:space="preserve">«Культура» на 101 млрд руб. и в 2 раза. </w:t>
      </w:r>
    </w:p>
    <w:p w14:paraId="562612A0" w14:textId="45311B9D" w:rsidR="00EB3E75" w:rsidRPr="00E103B9" w:rsidRDefault="00EB3E75" w:rsidP="00EB3E75">
      <w:pPr>
        <w:suppressAutoHyphens/>
        <w:spacing w:after="60"/>
        <w:jc w:val="both"/>
        <w:rPr>
          <w:sz w:val="28"/>
        </w:rPr>
      </w:pPr>
      <w:r w:rsidRPr="00E103B9">
        <w:rPr>
          <w:sz w:val="28"/>
        </w:rPr>
        <w:tab/>
      </w:r>
      <w:proofErr w:type="gramStart"/>
      <w:r w:rsidRPr="00E103B9">
        <w:rPr>
          <w:sz w:val="28"/>
        </w:rPr>
        <w:t xml:space="preserve">В соответствии с постановлением Правительства РФ от 09.04.2022 г. № 628 «Об особенностях реализации национальных проектов (программ), федеральных проектов, ведомственных проектов и региональных проектов в условиях геополитического и </w:t>
      </w:r>
      <w:proofErr w:type="spellStart"/>
      <w:r w:rsidRPr="00E103B9">
        <w:rPr>
          <w:sz w:val="28"/>
        </w:rPr>
        <w:t>санкционного</w:t>
      </w:r>
      <w:proofErr w:type="spellEnd"/>
      <w:r w:rsidRPr="00E103B9">
        <w:rPr>
          <w:sz w:val="28"/>
        </w:rPr>
        <w:t xml:space="preserve"> давления на развитие российской экономики» продление сроков реализации и планирования паспортов национальных проектов, выходящих за пределы очередного финансового года и планового периода, не осуществляется, кроме федеральных проектов</w:t>
      </w:r>
      <w:r w:rsidR="00805A31" w:rsidRPr="00E103B9">
        <w:rPr>
          <w:sz w:val="28"/>
        </w:rPr>
        <w:t xml:space="preserve"> (далее – ФП)</w:t>
      </w:r>
      <w:r w:rsidRPr="00E103B9">
        <w:rPr>
          <w:sz w:val="28"/>
        </w:rPr>
        <w:t>, соответствующих инициативам социально-экономического</w:t>
      </w:r>
      <w:proofErr w:type="gramEnd"/>
      <w:r w:rsidRPr="00E103B9">
        <w:rPr>
          <w:sz w:val="28"/>
        </w:rPr>
        <w:t xml:space="preserve"> развития Российской Федерации до 2030 г.</w:t>
      </w:r>
      <w:r w:rsidRPr="00E103B9">
        <w:rPr>
          <w:sz w:val="28"/>
          <w:vertAlign w:val="superscript"/>
        </w:rPr>
        <w:footnoteReference w:id="41"/>
      </w:r>
      <w:r w:rsidRPr="00E103B9">
        <w:rPr>
          <w:sz w:val="28"/>
        </w:rPr>
        <w:t xml:space="preserve"> Из 77 </w:t>
      </w:r>
      <w:r w:rsidR="00805A31" w:rsidRPr="00E103B9">
        <w:rPr>
          <w:sz w:val="28"/>
        </w:rPr>
        <w:t>ФП</w:t>
      </w:r>
      <w:r w:rsidRPr="00E103B9">
        <w:rPr>
          <w:sz w:val="28"/>
        </w:rPr>
        <w:t xml:space="preserve">, реализуемых до 2024 г. в рамках национальных проектов, финансирование 42 проектов не отвечает долгосрочным целям развития. Общий объем расходов по продолжающимся </w:t>
      </w:r>
      <w:r w:rsidR="00805A31" w:rsidRPr="00E103B9">
        <w:rPr>
          <w:sz w:val="28"/>
        </w:rPr>
        <w:t>ФП</w:t>
      </w:r>
      <w:r w:rsidRPr="00E103B9">
        <w:rPr>
          <w:sz w:val="28"/>
        </w:rPr>
        <w:t xml:space="preserve"> в 2025 г. составит 2,0 </w:t>
      </w:r>
      <w:proofErr w:type="gramStart"/>
      <w:r w:rsidRPr="00E103B9">
        <w:rPr>
          <w:sz w:val="28"/>
        </w:rPr>
        <w:t>трлн</w:t>
      </w:r>
      <w:proofErr w:type="gramEnd"/>
      <w:r w:rsidRPr="00E103B9">
        <w:rPr>
          <w:sz w:val="28"/>
        </w:rPr>
        <w:t xml:space="preserve"> руб. По большинству из них отмечается существенное сокращение расходов, что позволяет ожидать их прекращение после 2025 г. Однако по отдельным федеральным проектам плановый объем финансирования в 2025 г. поддерживается на среднегодовом уровне 2022-2024 гг. и выше, включая:</w:t>
      </w:r>
      <w:r w:rsidR="00805A31" w:rsidRPr="00E103B9">
        <w:rPr>
          <w:sz w:val="28"/>
        </w:rPr>
        <w:t xml:space="preserve"> ФП</w:t>
      </w:r>
      <w:r w:rsidRPr="00E103B9">
        <w:rPr>
          <w:sz w:val="28"/>
        </w:rPr>
        <w:t xml:space="preserve"> «Финансовая поддержка семей при рождении детей» - 805,6 </w:t>
      </w:r>
      <w:proofErr w:type="gramStart"/>
      <w:r w:rsidRPr="00E103B9">
        <w:rPr>
          <w:sz w:val="28"/>
        </w:rPr>
        <w:t>млрд</w:t>
      </w:r>
      <w:proofErr w:type="gramEnd"/>
      <w:r w:rsidRPr="00E103B9">
        <w:rPr>
          <w:sz w:val="28"/>
        </w:rPr>
        <w:t xml:space="preserve"> руб., </w:t>
      </w:r>
      <w:r w:rsidR="00805A31" w:rsidRPr="00E103B9">
        <w:rPr>
          <w:sz w:val="28"/>
        </w:rPr>
        <w:t xml:space="preserve">ФП </w:t>
      </w:r>
      <w:r w:rsidRPr="00E103B9">
        <w:rPr>
          <w:sz w:val="28"/>
        </w:rPr>
        <w:t xml:space="preserve">«Борьба с онкологическими заболеваниями» - 140,0 млрд руб., </w:t>
      </w:r>
      <w:r w:rsidR="00805A31" w:rsidRPr="00E103B9">
        <w:rPr>
          <w:sz w:val="28"/>
        </w:rPr>
        <w:t xml:space="preserve">ФП </w:t>
      </w:r>
      <w:r w:rsidRPr="00E103B9">
        <w:rPr>
          <w:sz w:val="28"/>
        </w:rPr>
        <w:t xml:space="preserve">«Модернизация первичного звена здравоохранения Российской Федерации» -133,3 млрд руб., </w:t>
      </w:r>
      <w:r w:rsidR="00805A31" w:rsidRPr="00E103B9">
        <w:rPr>
          <w:sz w:val="28"/>
        </w:rPr>
        <w:t xml:space="preserve">ФП </w:t>
      </w:r>
      <w:r w:rsidRPr="00E103B9">
        <w:rPr>
          <w:sz w:val="28"/>
        </w:rPr>
        <w:t xml:space="preserve">«Региональная и местная дорожная сеть» - 281,8 млрд руб., </w:t>
      </w:r>
      <w:r w:rsidR="00805A31" w:rsidRPr="00E103B9">
        <w:rPr>
          <w:sz w:val="28"/>
        </w:rPr>
        <w:t xml:space="preserve">ФП </w:t>
      </w:r>
      <w:r w:rsidRPr="00E103B9">
        <w:rPr>
          <w:sz w:val="28"/>
        </w:rPr>
        <w:t xml:space="preserve">«Развитие федеральной магистральной сети» - 336,7 млрд руб. и ряд других. Можно ожидать, что данные федеральные проекты будут финансироваться и после 2025 г. </w:t>
      </w:r>
    </w:p>
    <w:p w14:paraId="0DA57485" w14:textId="014A4CF6" w:rsidR="00EB3E75" w:rsidRPr="00E103B9" w:rsidRDefault="00EB3E75" w:rsidP="00EB3E75">
      <w:pPr>
        <w:suppressAutoHyphens/>
        <w:spacing w:after="60"/>
        <w:jc w:val="both"/>
        <w:rPr>
          <w:sz w:val="28"/>
        </w:rPr>
      </w:pPr>
      <w:r w:rsidRPr="00E103B9">
        <w:rPr>
          <w:sz w:val="28"/>
        </w:rPr>
        <w:tab/>
      </w:r>
      <w:proofErr w:type="gramStart"/>
      <w:r w:rsidRPr="00E103B9">
        <w:rPr>
          <w:sz w:val="28"/>
        </w:rPr>
        <w:t xml:space="preserve">Интеграция действующих программно-целевых инструментов управления бюджетом, реализуемых в рамках стратегических документов, Указов Президента </w:t>
      </w:r>
      <w:r w:rsidR="00611BEC" w:rsidRPr="00E103B9">
        <w:rPr>
          <w:sz w:val="28"/>
        </w:rPr>
        <w:t xml:space="preserve">РФ </w:t>
      </w:r>
      <w:r w:rsidRPr="00E103B9">
        <w:rPr>
          <w:sz w:val="28"/>
        </w:rPr>
        <w:t>от 7 мая 2018 г. и от 21 июля 2020 г. осуществлена в принятом в октябре 2021 г. «Едином плане по достижению национальных целей развития Российской Федерации на период до 2024 г. и на плановый период до 2030 г.», согласно которому федеральные проекты, реализуемые в составе</w:t>
      </w:r>
      <w:proofErr w:type="gramEnd"/>
      <w:r w:rsidRPr="00E103B9">
        <w:rPr>
          <w:sz w:val="28"/>
        </w:rPr>
        <w:t xml:space="preserve"> </w:t>
      </w:r>
      <w:proofErr w:type="gramStart"/>
      <w:r w:rsidRPr="00E103B9">
        <w:rPr>
          <w:sz w:val="28"/>
        </w:rPr>
        <w:t>национальных проектов, включены в государственные программы</w:t>
      </w:r>
      <w:r w:rsidR="00D639F9" w:rsidRPr="00E103B9">
        <w:rPr>
          <w:sz w:val="28"/>
        </w:rPr>
        <w:t xml:space="preserve"> (далее – ГП)</w:t>
      </w:r>
      <w:r w:rsidRPr="00E103B9">
        <w:rPr>
          <w:sz w:val="28"/>
        </w:rPr>
        <w:t>, распределенные по семи национальным приоритетам.</w:t>
      </w:r>
      <w:proofErr w:type="gramEnd"/>
      <w:r w:rsidRPr="00E103B9">
        <w:rPr>
          <w:sz w:val="28"/>
        </w:rPr>
        <w:t xml:space="preserve"> Динамика расходов на реализацию национальных приоритетов в 2022-2025 гг. представлена ниже (</w:t>
      </w:r>
      <w:r w:rsidRPr="00E103B9">
        <w:rPr>
          <w:i/>
          <w:sz w:val="28"/>
        </w:rPr>
        <w:t>таблица</w:t>
      </w:r>
      <w:r w:rsidR="007D5408" w:rsidRPr="00E103B9">
        <w:rPr>
          <w:i/>
          <w:sz w:val="28"/>
        </w:rPr>
        <w:t xml:space="preserve"> 10</w:t>
      </w:r>
      <w:r w:rsidRPr="00E103B9">
        <w:rPr>
          <w:sz w:val="28"/>
        </w:rPr>
        <w:t>).</w:t>
      </w:r>
    </w:p>
    <w:p w14:paraId="1A772BA6" w14:textId="68D22E35" w:rsidR="008637AE" w:rsidRDefault="008637AE" w:rsidP="00EB3E75">
      <w:pPr>
        <w:suppressAutoHyphens/>
        <w:spacing w:after="60"/>
        <w:jc w:val="both"/>
      </w:pPr>
    </w:p>
    <w:p w14:paraId="6243A7B7" w14:textId="588614C2" w:rsidR="008637AE" w:rsidRDefault="008637AE" w:rsidP="00EB3E75">
      <w:pPr>
        <w:suppressAutoHyphens/>
        <w:spacing w:after="60"/>
        <w:jc w:val="both"/>
      </w:pPr>
    </w:p>
    <w:p w14:paraId="2AD74B4B" w14:textId="77777777" w:rsidR="008637AE" w:rsidRPr="009D5B83" w:rsidRDefault="008637AE" w:rsidP="00EB3E75">
      <w:pPr>
        <w:suppressAutoHyphens/>
        <w:spacing w:after="60"/>
        <w:jc w:val="both"/>
      </w:pPr>
    </w:p>
    <w:p w14:paraId="1F73D77A" w14:textId="0E0DEDE7" w:rsidR="00EB3E75" w:rsidRPr="009D5B83" w:rsidRDefault="00EB3E75" w:rsidP="00EB3E75">
      <w:pPr>
        <w:suppressAutoHyphens/>
        <w:spacing w:after="60"/>
        <w:ind w:firstLine="709"/>
        <w:jc w:val="right"/>
      </w:pPr>
      <w:r w:rsidRPr="009D5B83">
        <w:rPr>
          <w:i/>
        </w:rPr>
        <w:lastRenderedPageBreak/>
        <w:t xml:space="preserve">Таблица </w:t>
      </w:r>
      <w:bookmarkStart w:id="15" w:name="_Ref52661158"/>
      <w:bookmarkEnd w:id="15"/>
      <w:r w:rsidR="007D5408" w:rsidRPr="009D5B83">
        <w:rPr>
          <w:i/>
        </w:rPr>
        <w:t>10</w:t>
      </w:r>
    </w:p>
    <w:p w14:paraId="3A1E2FE6" w14:textId="77777777" w:rsidR="00EB3E75" w:rsidRPr="009D5B83" w:rsidRDefault="00EB3E75" w:rsidP="00EB3E75">
      <w:pPr>
        <w:suppressAutoHyphens/>
        <w:spacing w:before="60" w:after="120"/>
        <w:ind w:firstLine="709"/>
        <w:jc w:val="center"/>
        <w:rPr>
          <w:b/>
          <w:color w:val="000000"/>
          <w:szCs w:val="20"/>
        </w:rPr>
      </w:pPr>
      <w:r w:rsidRPr="009D5B83">
        <w:rPr>
          <w:b/>
          <w:color w:val="000000"/>
          <w:szCs w:val="20"/>
        </w:rPr>
        <w:t xml:space="preserve">Программная структура расходов федерального бюджета в 2022-2025 гг., </w:t>
      </w:r>
      <w:proofErr w:type="gramStart"/>
      <w:r w:rsidRPr="009D5B83">
        <w:rPr>
          <w:b/>
          <w:color w:val="000000"/>
          <w:szCs w:val="20"/>
        </w:rPr>
        <w:t>млрд</w:t>
      </w:r>
      <w:proofErr w:type="gramEnd"/>
      <w:r w:rsidRPr="009D5B83">
        <w:rPr>
          <w:b/>
          <w:color w:val="000000"/>
          <w:szCs w:val="20"/>
        </w:rPr>
        <w:t xml:space="preserve"> руб.</w:t>
      </w:r>
    </w:p>
    <w:tbl>
      <w:tblPr>
        <w:tblW w:w="9309" w:type="dxa"/>
        <w:jc w:val="center"/>
        <w:tblLayout w:type="fixed"/>
        <w:tblLook w:val="04A0" w:firstRow="1" w:lastRow="0" w:firstColumn="1" w:lastColumn="0" w:noHBand="0" w:noVBand="1"/>
      </w:tblPr>
      <w:tblGrid>
        <w:gridCol w:w="3539"/>
        <w:gridCol w:w="992"/>
        <w:gridCol w:w="993"/>
        <w:gridCol w:w="992"/>
        <w:gridCol w:w="949"/>
        <w:gridCol w:w="973"/>
        <w:gridCol w:w="871"/>
      </w:tblGrid>
      <w:tr w:rsidR="00EB3E75" w:rsidRPr="009D5B83" w14:paraId="36409995" w14:textId="77777777" w:rsidTr="00E853B4">
        <w:trPr>
          <w:tblHeader/>
          <w:jc w:val="center"/>
        </w:trPr>
        <w:tc>
          <w:tcPr>
            <w:tcW w:w="3539" w:type="dxa"/>
            <w:vMerge w:val="restart"/>
            <w:tcBorders>
              <w:top w:val="single" w:sz="4" w:space="0" w:color="000000"/>
              <w:left w:val="single" w:sz="4" w:space="0" w:color="000000"/>
              <w:bottom w:val="single" w:sz="4" w:space="0" w:color="000000"/>
              <w:right w:val="single" w:sz="4" w:space="0" w:color="000000"/>
            </w:tcBorders>
          </w:tcPr>
          <w:p w14:paraId="33205675" w14:textId="77777777" w:rsidR="00EB3E75" w:rsidRPr="009D5B83" w:rsidRDefault="00EB3E75" w:rsidP="00EB3E75">
            <w:pPr>
              <w:widowControl w:val="0"/>
              <w:suppressAutoHyphens/>
              <w:contextualSpacing/>
              <w:jc w:val="center"/>
              <w:rPr>
                <w:b/>
                <w:sz w:val="20"/>
                <w:szCs w:val="20"/>
              </w:rPr>
            </w:pPr>
            <w:r w:rsidRPr="009D5B83">
              <w:rPr>
                <w:b/>
                <w:sz w:val="20"/>
                <w:szCs w:val="20"/>
              </w:rPr>
              <w:t>Показатель</w:t>
            </w:r>
          </w:p>
        </w:tc>
        <w:tc>
          <w:tcPr>
            <w:tcW w:w="992" w:type="dxa"/>
            <w:vMerge w:val="restart"/>
            <w:tcBorders>
              <w:top w:val="single" w:sz="4" w:space="0" w:color="000000"/>
              <w:left w:val="single" w:sz="4" w:space="0" w:color="000000"/>
              <w:bottom w:val="single" w:sz="4" w:space="0" w:color="000000"/>
              <w:right w:val="single" w:sz="4" w:space="0" w:color="000000"/>
            </w:tcBorders>
          </w:tcPr>
          <w:p w14:paraId="7AA1A06A" w14:textId="77777777" w:rsidR="00EB3E75" w:rsidRPr="009D5B83" w:rsidRDefault="00EB3E75" w:rsidP="00EB3E75">
            <w:pPr>
              <w:widowControl w:val="0"/>
              <w:suppressAutoHyphens/>
              <w:contextualSpacing/>
              <w:jc w:val="center"/>
              <w:rPr>
                <w:b/>
                <w:sz w:val="20"/>
                <w:szCs w:val="20"/>
              </w:rPr>
            </w:pPr>
            <w:r w:rsidRPr="009D5B83">
              <w:rPr>
                <w:b/>
                <w:sz w:val="20"/>
                <w:szCs w:val="20"/>
              </w:rPr>
              <w:t>2022 г. (оценка)</w:t>
            </w:r>
          </w:p>
        </w:tc>
        <w:tc>
          <w:tcPr>
            <w:tcW w:w="993" w:type="dxa"/>
            <w:vMerge w:val="restart"/>
            <w:tcBorders>
              <w:top w:val="single" w:sz="4" w:space="0" w:color="000000"/>
              <w:bottom w:val="single" w:sz="4" w:space="0" w:color="000000"/>
              <w:right w:val="single" w:sz="4" w:space="0" w:color="000000"/>
            </w:tcBorders>
          </w:tcPr>
          <w:p w14:paraId="25940183" w14:textId="77777777" w:rsidR="00EB3E75" w:rsidRPr="009D5B83" w:rsidRDefault="00EB3E75" w:rsidP="00EB3E75">
            <w:pPr>
              <w:widowControl w:val="0"/>
              <w:suppressAutoHyphens/>
              <w:contextualSpacing/>
              <w:jc w:val="center"/>
            </w:pPr>
            <w:r w:rsidRPr="009D5B83">
              <w:rPr>
                <w:b/>
                <w:sz w:val="20"/>
                <w:szCs w:val="20"/>
              </w:rPr>
              <w:t>2023 г.</w:t>
            </w:r>
          </w:p>
        </w:tc>
        <w:tc>
          <w:tcPr>
            <w:tcW w:w="992" w:type="dxa"/>
            <w:vMerge w:val="restart"/>
            <w:tcBorders>
              <w:top w:val="single" w:sz="4" w:space="0" w:color="000000"/>
              <w:bottom w:val="single" w:sz="4" w:space="0" w:color="000000"/>
              <w:right w:val="single" w:sz="4" w:space="0" w:color="000000"/>
            </w:tcBorders>
          </w:tcPr>
          <w:p w14:paraId="3A0AD3EF" w14:textId="77777777" w:rsidR="00EB3E75" w:rsidRPr="009D5B83" w:rsidRDefault="00EB3E75" w:rsidP="00EB3E75">
            <w:pPr>
              <w:widowControl w:val="0"/>
              <w:suppressAutoHyphens/>
              <w:contextualSpacing/>
              <w:jc w:val="center"/>
            </w:pPr>
            <w:r w:rsidRPr="009D5B83">
              <w:rPr>
                <w:b/>
                <w:sz w:val="20"/>
                <w:szCs w:val="20"/>
              </w:rPr>
              <w:t>2024 г.</w:t>
            </w:r>
          </w:p>
        </w:tc>
        <w:tc>
          <w:tcPr>
            <w:tcW w:w="949" w:type="dxa"/>
            <w:vMerge w:val="restart"/>
            <w:tcBorders>
              <w:top w:val="single" w:sz="4" w:space="0" w:color="000000"/>
              <w:bottom w:val="single" w:sz="4" w:space="0" w:color="000000"/>
              <w:right w:val="single" w:sz="4" w:space="0" w:color="000000"/>
            </w:tcBorders>
          </w:tcPr>
          <w:p w14:paraId="4C714D64" w14:textId="77777777" w:rsidR="00EB3E75" w:rsidRPr="009D5B83" w:rsidRDefault="00EB3E75" w:rsidP="00EB3E75">
            <w:pPr>
              <w:widowControl w:val="0"/>
              <w:suppressAutoHyphens/>
              <w:contextualSpacing/>
              <w:jc w:val="center"/>
            </w:pPr>
            <w:r w:rsidRPr="009D5B83">
              <w:rPr>
                <w:b/>
                <w:sz w:val="20"/>
                <w:szCs w:val="20"/>
              </w:rPr>
              <w:t>2025 г.</w:t>
            </w:r>
          </w:p>
        </w:tc>
        <w:tc>
          <w:tcPr>
            <w:tcW w:w="1844" w:type="dxa"/>
            <w:gridSpan w:val="2"/>
            <w:tcBorders>
              <w:top w:val="single" w:sz="4" w:space="0" w:color="000000"/>
              <w:left w:val="single" w:sz="4" w:space="0" w:color="000000"/>
              <w:bottom w:val="single" w:sz="4" w:space="0" w:color="000000"/>
              <w:right w:val="single" w:sz="4" w:space="0" w:color="000000"/>
            </w:tcBorders>
            <w:tcMar>
              <w:top w:w="55" w:type="dxa"/>
              <w:bottom w:w="55" w:type="dxa"/>
            </w:tcMar>
          </w:tcPr>
          <w:p w14:paraId="31B2DFCD" w14:textId="77777777" w:rsidR="00EB3E75" w:rsidRPr="009D5B83" w:rsidRDefault="00EB3E75" w:rsidP="00EB3E75">
            <w:pPr>
              <w:widowControl w:val="0"/>
              <w:suppressAutoHyphens/>
              <w:contextualSpacing/>
              <w:jc w:val="center"/>
            </w:pPr>
            <w:r w:rsidRPr="009D5B83">
              <w:rPr>
                <w:b/>
                <w:sz w:val="20"/>
                <w:szCs w:val="20"/>
              </w:rPr>
              <w:t>Отклонение 2025 г. к 20</w:t>
            </w:r>
            <w:r w:rsidRPr="009D5B83">
              <w:rPr>
                <w:b/>
                <w:sz w:val="20"/>
                <w:szCs w:val="20"/>
                <w:lang w:val="en-US"/>
              </w:rPr>
              <w:t>2</w:t>
            </w:r>
            <w:r w:rsidRPr="009D5B83">
              <w:rPr>
                <w:b/>
                <w:sz w:val="20"/>
                <w:szCs w:val="20"/>
              </w:rPr>
              <w:t>2 г.</w:t>
            </w:r>
          </w:p>
        </w:tc>
      </w:tr>
      <w:tr w:rsidR="00EB3E75" w:rsidRPr="009D5B83" w14:paraId="102915F5" w14:textId="77777777" w:rsidTr="00E853B4">
        <w:trPr>
          <w:tblHeader/>
          <w:jc w:val="center"/>
        </w:trPr>
        <w:tc>
          <w:tcPr>
            <w:tcW w:w="3539" w:type="dxa"/>
            <w:vMerge/>
            <w:tcBorders>
              <w:top w:val="single" w:sz="4" w:space="0" w:color="000000"/>
              <w:left w:val="single" w:sz="4" w:space="0" w:color="000000"/>
              <w:bottom w:val="single" w:sz="4" w:space="0" w:color="000000"/>
              <w:right w:val="single" w:sz="4" w:space="0" w:color="000000"/>
            </w:tcBorders>
          </w:tcPr>
          <w:p w14:paraId="6750C85C" w14:textId="77777777" w:rsidR="00EB3E75" w:rsidRPr="009D5B83" w:rsidRDefault="00EB3E75" w:rsidP="00EB3E75">
            <w:pPr>
              <w:suppressAutoHyphens/>
              <w:spacing w:after="60"/>
              <w:ind w:firstLine="709"/>
              <w:jc w:val="both"/>
            </w:pPr>
          </w:p>
        </w:tc>
        <w:tc>
          <w:tcPr>
            <w:tcW w:w="992" w:type="dxa"/>
            <w:vMerge/>
            <w:tcBorders>
              <w:top w:val="single" w:sz="4" w:space="0" w:color="000000"/>
              <w:left w:val="single" w:sz="4" w:space="0" w:color="000000"/>
              <w:bottom w:val="single" w:sz="4" w:space="0" w:color="000000"/>
              <w:right w:val="single" w:sz="4" w:space="0" w:color="000000"/>
            </w:tcBorders>
          </w:tcPr>
          <w:p w14:paraId="21236C75" w14:textId="77777777" w:rsidR="00EB3E75" w:rsidRPr="009D5B83" w:rsidRDefault="00EB3E75" w:rsidP="00EB3E75">
            <w:pPr>
              <w:suppressAutoHyphens/>
              <w:spacing w:after="60"/>
              <w:ind w:firstLine="709"/>
              <w:jc w:val="both"/>
            </w:pPr>
          </w:p>
        </w:tc>
        <w:tc>
          <w:tcPr>
            <w:tcW w:w="993" w:type="dxa"/>
            <w:vMerge/>
            <w:tcBorders>
              <w:top w:val="single" w:sz="4" w:space="0" w:color="000000"/>
              <w:bottom w:val="single" w:sz="4" w:space="0" w:color="000000"/>
              <w:right w:val="single" w:sz="4" w:space="0" w:color="000000"/>
            </w:tcBorders>
          </w:tcPr>
          <w:p w14:paraId="670481B8" w14:textId="77777777" w:rsidR="00EB3E75" w:rsidRPr="009D5B83" w:rsidRDefault="00EB3E75" w:rsidP="00EB3E75">
            <w:pPr>
              <w:suppressAutoHyphens/>
              <w:spacing w:after="60"/>
              <w:ind w:firstLine="709"/>
              <w:jc w:val="both"/>
            </w:pPr>
          </w:p>
        </w:tc>
        <w:tc>
          <w:tcPr>
            <w:tcW w:w="992" w:type="dxa"/>
            <w:vMerge/>
            <w:tcBorders>
              <w:top w:val="single" w:sz="4" w:space="0" w:color="000000"/>
              <w:bottom w:val="single" w:sz="4" w:space="0" w:color="000000"/>
              <w:right w:val="single" w:sz="4" w:space="0" w:color="000000"/>
            </w:tcBorders>
          </w:tcPr>
          <w:p w14:paraId="32F1590B" w14:textId="77777777" w:rsidR="00EB3E75" w:rsidRPr="009D5B83" w:rsidRDefault="00EB3E75" w:rsidP="00EB3E75">
            <w:pPr>
              <w:suppressAutoHyphens/>
              <w:spacing w:after="60"/>
              <w:ind w:firstLine="709"/>
              <w:jc w:val="both"/>
            </w:pPr>
          </w:p>
        </w:tc>
        <w:tc>
          <w:tcPr>
            <w:tcW w:w="949" w:type="dxa"/>
            <w:vMerge/>
            <w:tcBorders>
              <w:top w:val="single" w:sz="4" w:space="0" w:color="000000"/>
              <w:bottom w:val="single" w:sz="4" w:space="0" w:color="000000"/>
              <w:right w:val="single" w:sz="4" w:space="0" w:color="000000"/>
            </w:tcBorders>
          </w:tcPr>
          <w:p w14:paraId="6FF1D5BB" w14:textId="77777777" w:rsidR="00EB3E75" w:rsidRPr="009D5B83" w:rsidRDefault="00EB3E75" w:rsidP="00EB3E75">
            <w:pPr>
              <w:suppressAutoHyphens/>
              <w:spacing w:after="60"/>
              <w:ind w:firstLine="709"/>
              <w:jc w:val="both"/>
            </w:pPr>
          </w:p>
        </w:tc>
        <w:tc>
          <w:tcPr>
            <w:tcW w:w="973" w:type="dxa"/>
            <w:tcBorders>
              <w:left w:val="single" w:sz="4" w:space="0" w:color="000000"/>
              <w:bottom w:val="single" w:sz="4" w:space="0" w:color="000000"/>
            </w:tcBorders>
            <w:tcMar>
              <w:top w:w="55" w:type="dxa"/>
              <w:bottom w:w="55" w:type="dxa"/>
            </w:tcMar>
          </w:tcPr>
          <w:p w14:paraId="2BA165DD" w14:textId="77777777" w:rsidR="00EB3E75" w:rsidRPr="009D5B83" w:rsidRDefault="00EB3E75" w:rsidP="00EB3E75">
            <w:pPr>
              <w:widowControl w:val="0"/>
              <w:suppressAutoHyphens/>
              <w:spacing w:after="60"/>
              <w:jc w:val="center"/>
              <w:rPr>
                <w:b/>
                <w:sz w:val="20"/>
                <w:szCs w:val="20"/>
              </w:rPr>
            </w:pPr>
            <w:proofErr w:type="gramStart"/>
            <w:r w:rsidRPr="009D5B83">
              <w:rPr>
                <w:b/>
                <w:sz w:val="20"/>
                <w:szCs w:val="20"/>
              </w:rPr>
              <w:t>млрд</w:t>
            </w:r>
            <w:proofErr w:type="gramEnd"/>
            <w:r w:rsidRPr="009D5B83">
              <w:rPr>
                <w:b/>
                <w:sz w:val="20"/>
                <w:szCs w:val="20"/>
              </w:rPr>
              <w:t xml:space="preserve"> руб.</w:t>
            </w:r>
          </w:p>
        </w:tc>
        <w:tc>
          <w:tcPr>
            <w:tcW w:w="871" w:type="dxa"/>
            <w:tcBorders>
              <w:left w:val="single" w:sz="4" w:space="0" w:color="000000"/>
              <w:bottom w:val="single" w:sz="4" w:space="0" w:color="000000"/>
              <w:right w:val="single" w:sz="4" w:space="0" w:color="000000"/>
            </w:tcBorders>
            <w:tcMar>
              <w:top w:w="55" w:type="dxa"/>
              <w:bottom w:w="55" w:type="dxa"/>
            </w:tcMar>
          </w:tcPr>
          <w:p w14:paraId="69CD9DBC" w14:textId="77777777" w:rsidR="00EB3E75" w:rsidRPr="009D5B83" w:rsidRDefault="00EB3E75" w:rsidP="00EB3E75">
            <w:pPr>
              <w:widowControl w:val="0"/>
              <w:suppressAutoHyphens/>
              <w:spacing w:after="60"/>
              <w:jc w:val="center"/>
              <w:rPr>
                <w:b/>
                <w:i/>
                <w:iCs/>
                <w:sz w:val="20"/>
                <w:szCs w:val="20"/>
              </w:rPr>
            </w:pPr>
            <w:r w:rsidRPr="009D5B83">
              <w:rPr>
                <w:b/>
                <w:i/>
                <w:iCs/>
                <w:sz w:val="20"/>
                <w:szCs w:val="20"/>
              </w:rPr>
              <w:t>прирост, %</w:t>
            </w:r>
          </w:p>
        </w:tc>
      </w:tr>
      <w:tr w:rsidR="00EB3E75" w:rsidRPr="009D5B83" w14:paraId="0156803C" w14:textId="77777777" w:rsidTr="00E853B4">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0362EA69" w14:textId="14F7AF02" w:rsidR="00EB3E75" w:rsidRPr="009D22DF" w:rsidRDefault="00EB3E75" w:rsidP="009D22DF">
            <w:pPr>
              <w:widowControl w:val="0"/>
              <w:suppressAutoHyphens/>
              <w:spacing w:after="60"/>
              <w:ind w:left="-57" w:right="-57"/>
              <w:jc w:val="both"/>
              <w:rPr>
                <w:b/>
                <w:bCs/>
                <w:color w:val="000000"/>
                <w:sz w:val="20"/>
                <w:szCs w:val="20"/>
              </w:rPr>
            </w:pPr>
            <w:r w:rsidRPr="009D5B83">
              <w:rPr>
                <w:b/>
                <w:bCs/>
                <w:color w:val="000000"/>
                <w:sz w:val="20"/>
                <w:szCs w:val="20"/>
              </w:rPr>
              <w:t xml:space="preserve">Расходы на реализацию государственных программ, </w:t>
            </w:r>
            <w:r w:rsidR="002606E9">
              <w:rPr>
                <w:b/>
                <w:bCs/>
                <w:color w:val="000000"/>
                <w:sz w:val="20"/>
                <w:szCs w:val="20"/>
              </w:rPr>
              <w:t>ВСЕГО</w:t>
            </w:r>
          </w:p>
        </w:tc>
        <w:tc>
          <w:tcPr>
            <w:tcW w:w="992" w:type="dxa"/>
            <w:tcBorders>
              <w:top w:val="single" w:sz="4" w:space="0" w:color="000000"/>
              <w:bottom w:val="single" w:sz="4" w:space="0" w:color="000000"/>
              <w:right w:val="single" w:sz="4" w:space="0" w:color="000000"/>
            </w:tcBorders>
            <w:vAlign w:val="center"/>
          </w:tcPr>
          <w:p w14:paraId="04C761BD" w14:textId="77777777" w:rsidR="00EB3E75" w:rsidRPr="009D5B83" w:rsidRDefault="00EB3E75" w:rsidP="00EB3E75">
            <w:pPr>
              <w:widowControl w:val="0"/>
              <w:suppressAutoHyphens/>
              <w:contextualSpacing/>
              <w:jc w:val="center"/>
              <w:rPr>
                <w:b/>
                <w:bCs/>
                <w:sz w:val="20"/>
                <w:szCs w:val="20"/>
              </w:rPr>
            </w:pPr>
            <w:r w:rsidRPr="009D5B83">
              <w:rPr>
                <w:b/>
                <w:bCs/>
                <w:sz w:val="20"/>
                <w:szCs w:val="20"/>
              </w:rPr>
              <w:t>22 705,4</w:t>
            </w:r>
          </w:p>
        </w:tc>
        <w:tc>
          <w:tcPr>
            <w:tcW w:w="993" w:type="dxa"/>
            <w:tcBorders>
              <w:top w:val="single" w:sz="4" w:space="0" w:color="000000"/>
              <w:left w:val="single" w:sz="4" w:space="0" w:color="000000"/>
              <w:bottom w:val="single" w:sz="4" w:space="0" w:color="000000"/>
              <w:right w:val="single" w:sz="4" w:space="0" w:color="000000"/>
            </w:tcBorders>
            <w:vAlign w:val="center"/>
          </w:tcPr>
          <w:p w14:paraId="6FFD4DD9" w14:textId="77777777" w:rsidR="00EB3E75" w:rsidRPr="009D5B83" w:rsidRDefault="00EB3E75" w:rsidP="00EB3E75">
            <w:pPr>
              <w:widowControl w:val="0"/>
              <w:suppressAutoHyphens/>
              <w:contextualSpacing/>
              <w:jc w:val="center"/>
              <w:rPr>
                <w:b/>
                <w:bCs/>
                <w:sz w:val="20"/>
                <w:szCs w:val="20"/>
              </w:rPr>
            </w:pPr>
            <w:r w:rsidRPr="009D5B83">
              <w:rPr>
                <w:b/>
                <w:bCs/>
                <w:sz w:val="20"/>
                <w:szCs w:val="20"/>
              </w:rPr>
              <w:t>20 644,3</w:t>
            </w:r>
          </w:p>
        </w:tc>
        <w:tc>
          <w:tcPr>
            <w:tcW w:w="992" w:type="dxa"/>
            <w:tcBorders>
              <w:top w:val="single" w:sz="4" w:space="0" w:color="000000"/>
              <w:left w:val="single" w:sz="4" w:space="0" w:color="000000"/>
              <w:bottom w:val="single" w:sz="4" w:space="0" w:color="000000"/>
              <w:right w:val="single" w:sz="4" w:space="0" w:color="000000"/>
            </w:tcBorders>
            <w:vAlign w:val="center"/>
          </w:tcPr>
          <w:p w14:paraId="63A074E4" w14:textId="77777777" w:rsidR="00EB3E75" w:rsidRPr="009D5B83" w:rsidRDefault="00EB3E75" w:rsidP="00EB3E75">
            <w:pPr>
              <w:widowControl w:val="0"/>
              <w:suppressAutoHyphens/>
              <w:contextualSpacing/>
              <w:jc w:val="center"/>
              <w:rPr>
                <w:b/>
                <w:bCs/>
                <w:sz w:val="20"/>
                <w:szCs w:val="20"/>
              </w:rPr>
            </w:pPr>
            <w:r w:rsidRPr="009D5B83">
              <w:rPr>
                <w:b/>
                <w:bCs/>
                <w:sz w:val="20"/>
                <w:szCs w:val="20"/>
              </w:rPr>
              <w:t>20 874,2</w:t>
            </w:r>
          </w:p>
        </w:tc>
        <w:tc>
          <w:tcPr>
            <w:tcW w:w="949" w:type="dxa"/>
            <w:tcBorders>
              <w:top w:val="single" w:sz="4" w:space="0" w:color="000000"/>
              <w:left w:val="single" w:sz="4" w:space="0" w:color="000000"/>
              <w:bottom w:val="single" w:sz="4" w:space="0" w:color="000000"/>
            </w:tcBorders>
            <w:vAlign w:val="center"/>
          </w:tcPr>
          <w:p w14:paraId="1DB140CC" w14:textId="77777777" w:rsidR="00EB3E75" w:rsidRPr="009D5B83" w:rsidRDefault="00EB3E75" w:rsidP="00EB3E75">
            <w:pPr>
              <w:widowControl w:val="0"/>
              <w:suppressAutoHyphens/>
              <w:contextualSpacing/>
              <w:jc w:val="center"/>
              <w:rPr>
                <w:b/>
                <w:bCs/>
                <w:sz w:val="20"/>
                <w:szCs w:val="20"/>
              </w:rPr>
            </w:pPr>
            <w:r w:rsidRPr="009D5B83">
              <w:rPr>
                <w:b/>
                <w:bCs/>
                <w:sz w:val="20"/>
                <w:szCs w:val="20"/>
              </w:rPr>
              <w:t>20 301,2</w:t>
            </w:r>
          </w:p>
        </w:tc>
        <w:tc>
          <w:tcPr>
            <w:tcW w:w="973" w:type="dxa"/>
            <w:tcBorders>
              <w:top w:val="single" w:sz="4" w:space="0" w:color="000000"/>
              <w:left w:val="single" w:sz="4" w:space="0" w:color="000000"/>
              <w:bottom w:val="single" w:sz="4" w:space="0" w:color="000000"/>
            </w:tcBorders>
            <w:vAlign w:val="center"/>
          </w:tcPr>
          <w:p w14:paraId="340F9027" w14:textId="6709F077" w:rsidR="00EB3E75" w:rsidRPr="009D5B83" w:rsidRDefault="00EB3E75" w:rsidP="00EB3E75">
            <w:pPr>
              <w:widowControl w:val="0"/>
              <w:suppressAutoHyphens/>
              <w:contextualSpacing/>
              <w:jc w:val="center"/>
              <w:rPr>
                <w:b/>
                <w:bCs/>
                <w:sz w:val="20"/>
                <w:szCs w:val="20"/>
              </w:rPr>
            </w:pPr>
            <w:r w:rsidRPr="009D5B83">
              <w:rPr>
                <w:b/>
                <w:bCs/>
                <w:sz w:val="20"/>
                <w:szCs w:val="20"/>
              </w:rPr>
              <w:t>-2</w:t>
            </w:r>
            <w:r w:rsidR="00805A31">
              <w:rPr>
                <w:b/>
                <w:bCs/>
                <w:sz w:val="20"/>
                <w:szCs w:val="20"/>
              </w:rPr>
              <w:t xml:space="preserve"> </w:t>
            </w:r>
            <w:r w:rsidRPr="009D5B83">
              <w:rPr>
                <w:b/>
                <w:bCs/>
                <w:sz w:val="20"/>
                <w:szCs w:val="20"/>
              </w:rPr>
              <w:t>404,2</w:t>
            </w:r>
          </w:p>
        </w:tc>
        <w:tc>
          <w:tcPr>
            <w:tcW w:w="871" w:type="dxa"/>
            <w:tcBorders>
              <w:top w:val="single" w:sz="4" w:space="0" w:color="000000"/>
              <w:left w:val="single" w:sz="4" w:space="0" w:color="000000"/>
              <w:bottom w:val="single" w:sz="4" w:space="0" w:color="000000"/>
              <w:right w:val="single" w:sz="4" w:space="0" w:color="000000"/>
            </w:tcBorders>
            <w:vAlign w:val="center"/>
          </w:tcPr>
          <w:p w14:paraId="5419EAEE" w14:textId="77777777" w:rsidR="00EB3E75" w:rsidRPr="00E853B4" w:rsidRDefault="00EB3E75" w:rsidP="00EB3E75">
            <w:pPr>
              <w:widowControl w:val="0"/>
              <w:suppressAutoHyphens/>
              <w:contextualSpacing/>
              <w:jc w:val="center"/>
              <w:rPr>
                <w:b/>
                <w:bCs/>
                <w:i/>
                <w:iCs/>
                <w:sz w:val="20"/>
                <w:szCs w:val="20"/>
              </w:rPr>
            </w:pPr>
            <w:r w:rsidRPr="00E853B4">
              <w:rPr>
                <w:b/>
                <w:bCs/>
                <w:i/>
                <w:iCs/>
                <w:sz w:val="20"/>
                <w:szCs w:val="20"/>
              </w:rPr>
              <w:t>-10,6</w:t>
            </w:r>
          </w:p>
        </w:tc>
      </w:tr>
      <w:tr w:rsidR="009D22DF" w:rsidRPr="009D5B83" w14:paraId="468C9BFF"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56AF6D3D" w14:textId="1C171CE7" w:rsidR="009D22DF" w:rsidRPr="009D5B83" w:rsidRDefault="009D22DF" w:rsidP="009D22DF">
            <w:pPr>
              <w:widowControl w:val="0"/>
              <w:suppressAutoHyphens/>
              <w:spacing w:after="60"/>
              <w:ind w:right="-57"/>
              <w:jc w:val="both"/>
              <w:rPr>
                <w:color w:val="000000"/>
                <w:sz w:val="20"/>
                <w:szCs w:val="20"/>
              </w:rPr>
            </w:pPr>
            <w:r w:rsidRPr="009D5B83">
              <w:rPr>
                <w:color w:val="000000"/>
                <w:sz w:val="20"/>
                <w:szCs w:val="20"/>
              </w:rPr>
              <w:t>в том числе по направлениям без закрытой части:</w:t>
            </w:r>
          </w:p>
        </w:tc>
        <w:tc>
          <w:tcPr>
            <w:tcW w:w="992" w:type="dxa"/>
            <w:tcBorders>
              <w:top w:val="single" w:sz="4" w:space="0" w:color="000000"/>
              <w:bottom w:val="single" w:sz="4" w:space="0" w:color="000000"/>
              <w:right w:val="single" w:sz="4" w:space="0" w:color="000000"/>
            </w:tcBorders>
            <w:vAlign w:val="center"/>
          </w:tcPr>
          <w:p w14:paraId="22FE919B" w14:textId="77777777" w:rsidR="009D22DF" w:rsidRPr="009D5B83" w:rsidRDefault="009D22DF" w:rsidP="00EB3E75">
            <w:pPr>
              <w:widowControl w:val="0"/>
              <w:suppressAutoHyphens/>
              <w:spacing w:after="60"/>
              <w:ind w:left="-57" w:right="-57"/>
              <w:jc w:val="center"/>
              <w:rPr>
                <w:color w:val="000000"/>
                <w:spacing w:val="-8"/>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B24B5FC" w14:textId="77777777" w:rsidR="009D22DF" w:rsidRPr="009D5B83" w:rsidRDefault="009D22DF" w:rsidP="00EB3E75">
            <w:pPr>
              <w:widowControl w:val="0"/>
              <w:suppressAutoHyphens/>
              <w:spacing w:after="60"/>
              <w:ind w:left="-57" w:right="-57"/>
              <w:jc w:val="center"/>
              <w:rPr>
                <w:color w:val="000000"/>
                <w:spacing w:val="-8"/>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6653BE" w14:textId="77777777" w:rsidR="009D22DF" w:rsidRPr="009D5B83" w:rsidRDefault="009D22DF" w:rsidP="00EB3E75">
            <w:pPr>
              <w:widowControl w:val="0"/>
              <w:suppressAutoHyphens/>
              <w:spacing w:after="60"/>
              <w:ind w:left="-57" w:right="-57"/>
              <w:jc w:val="center"/>
              <w:rPr>
                <w:color w:val="000000"/>
                <w:spacing w:val="-8"/>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2A7A000" w14:textId="77777777" w:rsidR="009D22DF" w:rsidRPr="009D5B83" w:rsidRDefault="009D22DF" w:rsidP="00EB3E75">
            <w:pPr>
              <w:widowControl w:val="0"/>
              <w:suppressAutoHyphens/>
              <w:spacing w:after="60"/>
              <w:ind w:left="-57" w:right="-57"/>
              <w:jc w:val="center"/>
              <w:rPr>
                <w:color w:val="000000"/>
                <w:spacing w:val="-8"/>
                <w:sz w:val="20"/>
                <w:szCs w:val="20"/>
              </w:rPr>
            </w:pPr>
          </w:p>
        </w:tc>
        <w:tc>
          <w:tcPr>
            <w:tcW w:w="973" w:type="dxa"/>
            <w:tcBorders>
              <w:left w:val="single" w:sz="4" w:space="0" w:color="000000"/>
              <w:bottom w:val="single" w:sz="4" w:space="0" w:color="000000"/>
            </w:tcBorders>
            <w:vAlign w:val="center"/>
          </w:tcPr>
          <w:p w14:paraId="23B20322" w14:textId="77777777" w:rsidR="009D22DF" w:rsidRPr="009D5B83" w:rsidRDefault="009D22DF" w:rsidP="00EB3E75">
            <w:pPr>
              <w:widowControl w:val="0"/>
              <w:suppressAutoHyphens/>
              <w:contextualSpacing/>
              <w:jc w:val="center"/>
              <w:rPr>
                <w:sz w:val="20"/>
                <w:szCs w:val="20"/>
              </w:rPr>
            </w:pPr>
          </w:p>
        </w:tc>
        <w:tc>
          <w:tcPr>
            <w:tcW w:w="871" w:type="dxa"/>
            <w:tcBorders>
              <w:left w:val="single" w:sz="4" w:space="0" w:color="000000"/>
              <w:bottom w:val="single" w:sz="4" w:space="0" w:color="000000"/>
              <w:right w:val="single" w:sz="4" w:space="0" w:color="000000"/>
            </w:tcBorders>
            <w:vAlign w:val="center"/>
          </w:tcPr>
          <w:p w14:paraId="7F2EEED0" w14:textId="77777777" w:rsidR="009D22DF" w:rsidRPr="009D22DF" w:rsidRDefault="009D22DF" w:rsidP="00EB3E75">
            <w:pPr>
              <w:widowControl w:val="0"/>
              <w:suppressAutoHyphens/>
              <w:contextualSpacing/>
              <w:jc w:val="center"/>
              <w:rPr>
                <w:i/>
                <w:iCs/>
                <w:sz w:val="20"/>
                <w:szCs w:val="20"/>
              </w:rPr>
            </w:pPr>
          </w:p>
        </w:tc>
      </w:tr>
      <w:tr w:rsidR="00EB3E75" w:rsidRPr="009D5B83" w14:paraId="22AABCD2"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6E82341E"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Сохранение населения, здоровье и благополучие людей (5 программ)</w:t>
            </w:r>
          </w:p>
        </w:tc>
        <w:tc>
          <w:tcPr>
            <w:tcW w:w="992" w:type="dxa"/>
            <w:tcBorders>
              <w:top w:val="single" w:sz="4" w:space="0" w:color="000000"/>
              <w:bottom w:val="single" w:sz="4" w:space="0" w:color="000000"/>
              <w:right w:val="single" w:sz="4" w:space="0" w:color="000000"/>
            </w:tcBorders>
            <w:vAlign w:val="center"/>
          </w:tcPr>
          <w:p w14:paraId="14165731"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4 346,6</w:t>
            </w:r>
          </w:p>
        </w:tc>
        <w:tc>
          <w:tcPr>
            <w:tcW w:w="993" w:type="dxa"/>
            <w:tcBorders>
              <w:top w:val="single" w:sz="4" w:space="0" w:color="000000"/>
              <w:left w:val="single" w:sz="4" w:space="0" w:color="000000"/>
              <w:bottom w:val="single" w:sz="4" w:space="0" w:color="000000"/>
              <w:right w:val="single" w:sz="4" w:space="0" w:color="000000"/>
            </w:tcBorders>
            <w:vAlign w:val="center"/>
          </w:tcPr>
          <w:p w14:paraId="381BAE38"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4 558, 9</w:t>
            </w:r>
          </w:p>
        </w:tc>
        <w:tc>
          <w:tcPr>
            <w:tcW w:w="992" w:type="dxa"/>
            <w:tcBorders>
              <w:top w:val="single" w:sz="4" w:space="0" w:color="000000"/>
              <w:left w:val="single" w:sz="4" w:space="0" w:color="000000"/>
              <w:bottom w:val="single" w:sz="4" w:space="0" w:color="000000"/>
              <w:right w:val="single" w:sz="4" w:space="0" w:color="000000"/>
            </w:tcBorders>
            <w:vAlign w:val="center"/>
          </w:tcPr>
          <w:p w14:paraId="18F775C2"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4 636 ,3</w:t>
            </w:r>
          </w:p>
        </w:tc>
        <w:tc>
          <w:tcPr>
            <w:tcW w:w="949" w:type="dxa"/>
            <w:tcBorders>
              <w:top w:val="single" w:sz="4" w:space="0" w:color="000000"/>
              <w:left w:val="single" w:sz="4" w:space="0" w:color="000000"/>
              <w:bottom w:val="single" w:sz="4" w:space="0" w:color="000000"/>
              <w:right w:val="single" w:sz="4" w:space="0" w:color="000000"/>
            </w:tcBorders>
            <w:vAlign w:val="center"/>
          </w:tcPr>
          <w:p w14:paraId="686D5E07"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4 720, 0</w:t>
            </w:r>
          </w:p>
        </w:tc>
        <w:tc>
          <w:tcPr>
            <w:tcW w:w="973" w:type="dxa"/>
            <w:tcBorders>
              <w:left w:val="single" w:sz="4" w:space="0" w:color="000000"/>
              <w:bottom w:val="single" w:sz="4" w:space="0" w:color="000000"/>
            </w:tcBorders>
            <w:vAlign w:val="center"/>
          </w:tcPr>
          <w:p w14:paraId="46BD287B" w14:textId="77777777" w:rsidR="00EB3E75" w:rsidRPr="009D5B83" w:rsidRDefault="00EB3E75" w:rsidP="00EB3E75">
            <w:pPr>
              <w:widowControl w:val="0"/>
              <w:suppressAutoHyphens/>
              <w:contextualSpacing/>
              <w:jc w:val="center"/>
              <w:rPr>
                <w:sz w:val="20"/>
                <w:szCs w:val="20"/>
              </w:rPr>
            </w:pPr>
            <w:r w:rsidRPr="009D5B83">
              <w:rPr>
                <w:sz w:val="20"/>
                <w:szCs w:val="20"/>
              </w:rPr>
              <w:t>373,4</w:t>
            </w:r>
          </w:p>
        </w:tc>
        <w:tc>
          <w:tcPr>
            <w:tcW w:w="871" w:type="dxa"/>
            <w:tcBorders>
              <w:left w:val="single" w:sz="4" w:space="0" w:color="000000"/>
              <w:bottom w:val="single" w:sz="4" w:space="0" w:color="000000"/>
              <w:right w:val="single" w:sz="4" w:space="0" w:color="000000"/>
            </w:tcBorders>
            <w:vAlign w:val="center"/>
          </w:tcPr>
          <w:p w14:paraId="61C6CCC6" w14:textId="77777777" w:rsidR="00EB3E75" w:rsidRPr="00E853B4" w:rsidRDefault="00EB3E75" w:rsidP="00EB3E75">
            <w:pPr>
              <w:widowControl w:val="0"/>
              <w:suppressAutoHyphens/>
              <w:contextualSpacing/>
              <w:jc w:val="center"/>
              <w:rPr>
                <w:i/>
                <w:iCs/>
                <w:sz w:val="20"/>
                <w:szCs w:val="20"/>
              </w:rPr>
            </w:pPr>
            <w:r w:rsidRPr="00E853B4">
              <w:rPr>
                <w:i/>
                <w:iCs/>
                <w:sz w:val="20"/>
                <w:szCs w:val="20"/>
              </w:rPr>
              <w:t>8,9</w:t>
            </w:r>
          </w:p>
        </w:tc>
      </w:tr>
      <w:tr w:rsidR="00EB3E75" w:rsidRPr="009D5B83" w14:paraId="290D928D"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0B1A858E"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Возможности для самореализации и развития талантов (4 программы)</w:t>
            </w:r>
          </w:p>
        </w:tc>
        <w:tc>
          <w:tcPr>
            <w:tcW w:w="992" w:type="dxa"/>
            <w:tcBorders>
              <w:top w:val="single" w:sz="4" w:space="0" w:color="000000"/>
              <w:bottom w:val="single" w:sz="4" w:space="0" w:color="000000"/>
              <w:right w:val="single" w:sz="4" w:space="0" w:color="000000"/>
            </w:tcBorders>
            <w:vAlign w:val="center"/>
          </w:tcPr>
          <w:p w14:paraId="13825415"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780,5</w:t>
            </w:r>
          </w:p>
        </w:tc>
        <w:tc>
          <w:tcPr>
            <w:tcW w:w="993" w:type="dxa"/>
            <w:tcBorders>
              <w:top w:val="single" w:sz="4" w:space="0" w:color="000000"/>
              <w:left w:val="single" w:sz="4" w:space="0" w:color="000000"/>
              <w:bottom w:val="single" w:sz="4" w:space="0" w:color="000000"/>
              <w:right w:val="single" w:sz="4" w:space="0" w:color="000000"/>
            </w:tcBorders>
            <w:vAlign w:val="center"/>
          </w:tcPr>
          <w:p w14:paraId="09E065A6"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783,5</w:t>
            </w:r>
          </w:p>
        </w:tc>
        <w:tc>
          <w:tcPr>
            <w:tcW w:w="992" w:type="dxa"/>
            <w:tcBorders>
              <w:top w:val="single" w:sz="4" w:space="0" w:color="000000"/>
              <w:left w:val="single" w:sz="4" w:space="0" w:color="000000"/>
              <w:bottom w:val="single" w:sz="4" w:space="0" w:color="000000"/>
              <w:right w:val="single" w:sz="4" w:space="0" w:color="000000"/>
            </w:tcBorders>
            <w:vAlign w:val="center"/>
          </w:tcPr>
          <w:p w14:paraId="00A857BE"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791,0</w:t>
            </w:r>
          </w:p>
        </w:tc>
        <w:tc>
          <w:tcPr>
            <w:tcW w:w="949" w:type="dxa"/>
            <w:tcBorders>
              <w:top w:val="single" w:sz="4" w:space="0" w:color="000000"/>
              <w:left w:val="single" w:sz="4" w:space="0" w:color="000000"/>
              <w:bottom w:val="single" w:sz="4" w:space="0" w:color="000000"/>
              <w:right w:val="single" w:sz="4" w:space="0" w:color="000000"/>
            </w:tcBorders>
            <w:vAlign w:val="center"/>
          </w:tcPr>
          <w:p w14:paraId="553ABD9C"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546,5</w:t>
            </w:r>
          </w:p>
        </w:tc>
        <w:tc>
          <w:tcPr>
            <w:tcW w:w="973" w:type="dxa"/>
            <w:tcBorders>
              <w:left w:val="single" w:sz="4" w:space="0" w:color="000000"/>
              <w:bottom w:val="single" w:sz="4" w:space="0" w:color="000000"/>
            </w:tcBorders>
            <w:vAlign w:val="center"/>
          </w:tcPr>
          <w:p w14:paraId="4988DC3E" w14:textId="77777777" w:rsidR="00EB3E75" w:rsidRPr="009D5B83" w:rsidRDefault="00EB3E75" w:rsidP="00EB3E75">
            <w:pPr>
              <w:widowControl w:val="0"/>
              <w:suppressAutoHyphens/>
              <w:contextualSpacing/>
              <w:jc w:val="center"/>
              <w:rPr>
                <w:sz w:val="20"/>
                <w:szCs w:val="20"/>
              </w:rPr>
            </w:pPr>
            <w:r w:rsidRPr="009D5B83">
              <w:rPr>
                <w:sz w:val="20"/>
                <w:szCs w:val="20"/>
              </w:rPr>
              <w:t>-134,0</w:t>
            </w:r>
          </w:p>
        </w:tc>
        <w:tc>
          <w:tcPr>
            <w:tcW w:w="871" w:type="dxa"/>
            <w:tcBorders>
              <w:left w:val="single" w:sz="4" w:space="0" w:color="000000"/>
              <w:bottom w:val="single" w:sz="4" w:space="0" w:color="000000"/>
              <w:right w:val="single" w:sz="4" w:space="0" w:color="000000"/>
            </w:tcBorders>
            <w:vAlign w:val="center"/>
          </w:tcPr>
          <w:p w14:paraId="22762246" w14:textId="77777777" w:rsidR="00EB3E75" w:rsidRPr="00E853B4" w:rsidRDefault="00EB3E75" w:rsidP="00EB3E75">
            <w:pPr>
              <w:widowControl w:val="0"/>
              <w:suppressAutoHyphens/>
              <w:contextualSpacing/>
              <w:jc w:val="center"/>
              <w:rPr>
                <w:i/>
                <w:iCs/>
                <w:sz w:val="20"/>
                <w:szCs w:val="20"/>
              </w:rPr>
            </w:pPr>
            <w:r w:rsidRPr="00E853B4">
              <w:rPr>
                <w:i/>
                <w:iCs/>
                <w:sz w:val="20"/>
                <w:szCs w:val="20"/>
              </w:rPr>
              <w:t>- 30,0</w:t>
            </w:r>
          </w:p>
        </w:tc>
      </w:tr>
      <w:tr w:rsidR="00EB3E75" w:rsidRPr="009D5B83" w14:paraId="44714F94"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08BBEAC4"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Комфортная и безопасная среда для жизни (8 программ)</w:t>
            </w:r>
          </w:p>
        </w:tc>
        <w:tc>
          <w:tcPr>
            <w:tcW w:w="992" w:type="dxa"/>
            <w:tcBorders>
              <w:top w:val="single" w:sz="4" w:space="0" w:color="000000"/>
              <w:bottom w:val="single" w:sz="4" w:space="0" w:color="000000"/>
              <w:right w:val="single" w:sz="4" w:space="0" w:color="000000"/>
            </w:tcBorders>
            <w:vAlign w:val="center"/>
          </w:tcPr>
          <w:p w14:paraId="2C2A15E1"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3 776,8</w:t>
            </w:r>
          </w:p>
        </w:tc>
        <w:tc>
          <w:tcPr>
            <w:tcW w:w="993" w:type="dxa"/>
            <w:tcBorders>
              <w:top w:val="single" w:sz="4" w:space="0" w:color="000000"/>
              <w:left w:val="single" w:sz="4" w:space="0" w:color="000000"/>
              <w:bottom w:val="single" w:sz="4" w:space="0" w:color="000000"/>
              <w:right w:val="single" w:sz="4" w:space="0" w:color="000000"/>
            </w:tcBorders>
            <w:vAlign w:val="center"/>
          </w:tcPr>
          <w:p w14:paraId="659626D0"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3 397,9</w:t>
            </w:r>
          </w:p>
        </w:tc>
        <w:tc>
          <w:tcPr>
            <w:tcW w:w="992" w:type="dxa"/>
            <w:tcBorders>
              <w:top w:val="single" w:sz="4" w:space="0" w:color="000000"/>
              <w:left w:val="single" w:sz="4" w:space="0" w:color="000000"/>
              <w:bottom w:val="single" w:sz="4" w:space="0" w:color="000000"/>
              <w:right w:val="single" w:sz="4" w:space="0" w:color="000000"/>
            </w:tcBorders>
            <w:vAlign w:val="center"/>
          </w:tcPr>
          <w:p w14:paraId="4C5BDDBE"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3 438,3</w:t>
            </w:r>
          </w:p>
        </w:tc>
        <w:tc>
          <w:tcPr>
            <w:tcW w:w="949" w:type="dxa"/>
            <w:tcBorders>
              <w:top w:val="single" w:sz="4" w:space="0" w:color="000000"/>
              <w:left w:val="single" w:sz="4" w:space="0" w:color="000000"/>
              <w:bottom w:val="single" w:sz="4" w:space="0" w:color="000000"/>
              <w:right w:val="single" w:sz="4" w:space="0" w:color="000000"/>
            </w:tcBorders>
            <w:vAlign w:val="center"/>
          </w:tcPr>
          <w:p w14:paraId="7B56963D"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3 277, 5</w:t>
            </w:r>
          </w:p>
        </w:tc>
        <w:tc>
          <w:tcPr>
            <w:tcW w:w="973" w:type="dxa"/>
            <w:tcBorders>
              <w:left w:val="single" w:sz="4" w:space="0" w:color="000000"/>
              <w:bottom w:val="single" w:sz="4" w:space="0" w:color="000000"/>
            </w:tcBorders>
            <w:vAlign w:val="center"/>
          </w:tcPr>
          <w:p w14:paraId="43CEA8A8" w14:textId="77777777" w:rsidR="00EB3E75" w:rsidRPr="009D5B83" w:rsidRDefault="00EB3E75" w:rsidP="00EB3E75">
            <w:pPr>
              <w:widowControl w:val="0"/>
              <w:suppressAutoHyphens/>
              <w:contextualSpacing/>
              <w:jc w:val="center"/>
              <w:rPr>
                <w:sz w:val="20"/>
                <w:szCs w:val="20"/>
              </w:rPr>
            </w:pPr>
            <w:r w:rsidRPr="009D5B83">
              <w:rPr>
                <w:sz w:val="20"/>
                <w:szCs w:val="20"/>
              </w:rPr>
              <w:t>-499,3</w:t>
            </w:r>
          </w:p>
        </w:tc>
        <w:tc>
          <w:tcPr>
            <w:tcW w:w="871" w:type="dxa"/>
            <w:tcBorders>
              <w:left w:val="single" w:sz="4" w:space="0" w:color="000000"/>
              <w:bottom w:val="single" w:sz="4" w:space="0" w:color="000000"/>
              <w:right w:val="single" w:sz="4" w:space="0" w:color="000000"/>
            </w:tcBorders>
            <w:vAlign w:val="center"/>
          </w:tcPr>
          <w:p w14:paraId="6A2910AB" w14:textId="77777777" w:rsidR="00EB3E75" w:rsidRPr="00E853B4" w:rsidRDefault="00EB3E75" w:rsidP="00EB3E75">
            <w:pPr>
              <w:widowControl w:val="0"/>
              <w:suppressAutoHyphens/>
              <w:contextualSpacing/>
              <w:jc w:val="center"/>
              <w:rPr>
                <w:i/>
                <w:iCs/>
                <w:sz w:val="20"/>
                <w:szCs w:val="20"/>
              </w:rPr>
            </w:pPr>
            <w:r w:rsidRPr="00E853B4">
              <w:rPr>
                <w:i/>
                <w:iCs/>
                <w:sz w:val="20"/>
                <w:szCs w:val="20"/>
              </w:rPr>
              <w:t>- 13,2</w:t>
            </w:r>
          </w:p>
        </w:tc>
      </w:tr>
      <w:tr w:rsidR="00EB3E75" w:rsidRPr="009D5B83" w14:paraId="05EA94A4"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4A06CA57"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Достойный, эффективный труд и успешное предпринимательство</w:t>
            </w:r>
          </w:p>
          <w:p w14:paraId="018D42D3"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(8 программ)</w:t>
            </w:r>
          </w:p>
        </w:tc>
        <w:tc>
          <w:tcPr>
            <w:tcW w:w="992" w:type="dxa"/>
            <w:tcBorders>
              <w:top w:val="single" w:sz="4" w:space="0" w:color="000000"/>
              <w:bottom w:val="single" w:sz="4" w:space="0" w:color="000000"/>
              <w:right w:val="single" w:sz="4" w:space="0" w:color="000000"/>
            </w:tcBorders>
            <w:vAlign w:val="center"/>
          </w:tcPr>
          <w:p w14:paraId="23495C9D"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3 227,3</w:t>
            </w:r>
          </w:p>
        </w:tc>
        <w:tc>
          <w:tcPr>
            <w:tcW w:w="993" w:type="dxa"/>
            <w:tcBorders>
              <w:top w:val="single" w:sz="4" w:space="0" w:color="000000"/>
              <w:left w:val="single" w:sz="4" w:space="0" w:color="000000"/>
              <w:bottom w:val="single" w:sz="4" w:space="0" w:color="000000"/>
              <w:right w:val="single" w:sz="4" w:space="0" w:color="000000"/>
            </w:tcBorders>
            <w:vAlign w:val="center"/>
          </w:tcPr>
          <w:p w14:paraId="5072C335"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2 765,5</w:t>
            </w:r>
          </w:p>
        </w:tc>
        <w:tc>
          <w:tcPr>
            <w:tcW w:w="992" w:type="dxa"/>
            <w:tcBorders>
              <w:top w:val="single" w:sz="4" w:space="0" w:color="000000"/>
              <w:left w:val="single" w:sz="4" w:space="0" w:color="000000"/>
              <w:bottom w:val="single" w:sz="4" w:space="0" w:color="000000"/>
              <w:right w:val="single" w:sz="4" w:space="0" w:color="000000"/>
            </w:tcBorders>
            <w:vAlign w:val="center"/>
          </w:tcPr>
          <w:p w14:paraId="5DB7BB3B"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2 844, 3</w:t>
            </w:r>
          </w:p>
        </w:tc>
        <w:tc>
          <w:tcPr>
            <w:tcW w:w="949" w:type="dxa"/>
            <w:tcBorders>
              <w:top w:val="single" w:sz="4" w:space="0" w:color="000000"/>
              <w:left w:val="single" w:sz="4" w:space="0" w:color="000000"/>
              <w:bottom w:val="single" w:sz="4" w:space="0" w:color="000000"/>
              <w:right w:val="single" w:sz="4" w:space="0" w:color="000000"/>
            </w:tcBorders>
            <w:vAlign w:val="center"/>
          </w:tcPr>
          <w:p w14:paraId="6C96A909"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2 921,4</w:t>
            </w:r>
          </w:p>
        </w:tc>
        <w:tc>
          <w:tcPr>
            <w:tcW w:w="973" w:type="dxa"/>
            <w:tcBorders>
              <w:left w:val="single" w:sz="4" w:space="0" w:color="000000"/>
              <w:bottom w:val="single" w:sz="4" w:space="0" w:color="000000"/>
            </w:tcBorders>
            <w:vAlign w:val="center"/>
          </w:tcPr>
          <w:p w14:paraId="6ADFBFF8" w14:textId="77777777" w:rsidR="00EB3E75" w:rsidRPr="009D5B83" w:rsidRDefault="00EB3E75" w:rsidP="00EB3E75">
            <w:pPr>
              <w:widowControl w:val="0"/>
              <w:suppressAutoHyphens/>
              <w:contextualSpacing/>
              <w:jc w:val="center"/>
              <w:rPr>
                <w:sz w:val="20"/>
                <w:szCs w:val="20"/>
              </w:rPr>
            </w:pPr>
            <w:r w:rsidRPr="009D5B83">
              <w:rPr>
                <w:sz w:val="20"/>
                <w:szCs w:val="20"/>
              </w:rPr>
              <w:t>-305,9</w:t>
            </w:r>
          </w:p>
        </w:tc>
        <w:tc>
          <w:tcPr>
            <w:tcW w:w="871" w:type="dxa"/>
            <w:tcBorders>
              <w:left w:val="single" w:sz="4" w:space="0" w:color="000000"/>
              <w:bottom w:val="single" w:sz="4" w:space="0" w:color="000000"/>
              <w:right w:val="single" w:sz="4" w:space="0" w:color="000000"/>
            </w:tcBorders>
            <w:vAlign w:val="center"/>
          </w:tcPr>
          <w:p w14:paraId="24D4771F" w14:textId="77777777" w:rsidR="00EB3E75" w:rsidRPr="00E853B4" w:rsidRDefault="00EB3E75" w:rsidP="00EB3E75">
            <w:pPr>
              <w:widowControl w:val="0"/>
              <w:suppressAutoHyphens/>
              <w:contextualSpacing/>
              <w:jc w:val="center"/>
              <w:rPr>
                <w:i/>
                <w:iCs/>
                <w:sz w:val="20"/>
                <w:szCs w:val="20"/>
              </w:rPr>
            </w:pPr>
            <w:r w:rsidRPr="00E853B4">
              <w:rPr>
                <w:i/>
                <w:iCs/>
                <w:sz w:val="20"/>
                <w:szCs w:val="20"/>
              </w:rPr>
              <w:t>- 9,5</w:t>
            </w:r>
          </w:p>
        </w:tc>
      </w:tr>
      <w:tr w:rsidR="00EB3E75" w:rsidRPr="009D5B83" w14:paraId="7A953C23"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135509C8"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Развитие науки, промышленности и технологий (8 программ)</w:t>
            </w:r>
          </w:p>
        </w:tc>
        <w:tc>
          <w:tcPr>
            <w:tcW w:w="992" w:type="dxa"/>
            <w:tcBorders>
              <w:top w:val="single" w:sz="4" w:space="0" w:color="000000"/>
              <w:bottom w:val="single" w:sz="4" w:space="0" w:color="000000"/>
              <w:right w:val="single" w:sz="4" w:space="0" w:color="000000"/>
            </w:tcBorders>
            <w:vAlign w:val="center"/>
          </w:tcPr>
          <w:p w14:paraId="40650BF5"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2 249,1</w:t>
            </w:r>
          </w:p>
        </w:tc>
        <w:tc>
          <w:tcPr>
            <w:tcW w:w="993" w:type="dxa"/>
            <w:tcBorders>
              <w:top w:val="single" w:sz="4" w:space="0" w:color="000000"/>
              <w:left w:val="single" w:sz="4" w:space="0" w:color="000000"/>
              <w:bottom w:val="single" w:sz="4" w:space="0" w:color="000000"/>
              <w:right w:val="single" w:sz="4" w:space="0" w:color="000000"/>
            </w:tcBorders>
            <w:vAlign w:val="center"/>
          </w:tcPr>
          <w:p w14:paraId="7F8888B9"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2 141,0</w:t>
            </w:r>
          </w:p>
        </w:tc>
        <w:tc>
          <w:tcPr>
            <w:tcW w:w="992" w:type="dxa"/>
            <w:tcBorders>
              <w:top w:val="single" w:sz="4" w:space="0" w:color="000000"/>
              <w:left w:val="single" w:sz="4" w:space="0" w:color="000000"/>
              <w:bottom w:val="single" w:sz="4" w:space="0" w:color="000000"/>
              <w:right w:val="single" w:sz="4" w:space="0" w:color="000000"/>
            </w:tcBorders>
            <w:vAlign w:val="center"/>
          </w:tcPr>
          <w:p w14:paraId="33F20F6D"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2 245, 1</w:t>
            </w:r>
          </w:p>
        </w:tc>
        <w:tc>
          <w:tcPr>
            <w:tcW w:w="949" w:type="dxa"/>
            <w:tcBorders>
              <w:top w:val="single" w:sz="4" w:space="0" w:color="000000"/>
              <w:left w:val="single" w:sz="4" w:space="0" w:color="000000"/>
              <w:bottom w:val="single" w:sz="4" w:space="0" w:color="000000"/>
              <w:right w:val="single" w:sz="4" w:space="0" w:color="000000"/>
            </w:tcBorders>
            <w:vAlign w:val="center"/>
          </w:tcPr>
          <w:p w14:paraId="6846A9ED"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1 881, 4</w:t>
            </w:r>
          </w:p>
        </w:tc>
        <w:tc>
          <w:tcPr>
            <w:tcW w:w="973" w:type="dxa"/>
            <w:tcBorders>
              <w:left w:val="single" w:sz="4" w:space="0" w:color="000000"/>
              <w:bottom w:val="single" w:sz="4" w:space="0" w:color="000000"/>
            </w:tcBorders>
            <w:vAlign w:val="center"/>
          </w:tcPr>
          <w:p w14:paraId="79F1E76C" w14:textId="77777777" w:rsidR="00EB3E75" w:rsidRPr="009D5B83" w:rsidRDefault="00EB3E75" w:rsidP="00EB3E75">
            <w:pPr>
              <w:widowControl w:val="0"/>
              <w:suppressAutoHyphens/>
              <w:contextualSpacing/>
              <w:jc w:val="center"/>
              <w:rPr>
                <w:sz w:val="20"/>
                <w:szCs w:val="20"/>
              </w:rPr>
            </w:pPr>
            <w:r w:rsidRPr="009D5B83">
              <w:rPr>
                <w:sz w:val="20"/>
                <w:szCs w:val="20"/>
              </w:rPr>
              <w:t>-367,7</w:t>
            </w:r>
          </w:p>
        </w:tc>
        <w:tc>
          <w:tcPr>
            <w:tcW w:w="871" w:type="dxa"/>
            <w:tcBorders>
              <w:left w:val="single" w:sz="4" w:space="0" w:color="000000"/>
              <w:bottom w:val="single" w:sz="4" w:space="0" w:color="000000"/>
              <w:right w:val="single" w:sz="4" w:space="0" w:color="000000"/>
            </w:tcBorders>
            <w:vAlign w:val="center"/>
          </w:tcPr>
          <w:p w14:paraId="504823E1" w14:textId="77777777" w:rsidR="00EB3E75" w:rsidRPr="00E853B4" w:rsidRDefault="00EB3E75" w:rsidP="00EB3E75">
            <w:pPr>
              <w:widowControl w:val="0"/>
              <w:suppressAutoHyphens/>
              <w:contextualSpacing/>
              <w:jc w:val="center"/>
              <w:rPr>
                <w:i/>
                <w:iCs/>
                <w:sz w:val="20"/>
                <w:szCs w:val="20"/>
              </w:rPr>
            </w:pPr>
            <w:r w:rsidRPr="00E853B4">
              <w:rPr>
                <w:i/>
                <w:iCs/>
                <w:sz w:val="20"/>
                <w:szCs w:val="20"/>
              </w:rPr>
              <w:t>-16,4</w:t>
            </w:r>
          </w:p>
        </w:tc>
      </w:tr>
      <w:tr w:rsidR="00EB3E75" w:rsidRPr="009D5B83" w14:paraId="7390E564" w14:textId="77777777" w:rsidTr="00E853B4">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4A30FCE8"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 xml:space="preserve"> Цифровая трансформация</w:t>
            </w:r>
          </w:p>
          <w:p w14:paraId="5463233A"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(2 программы)</w:t>
            </w:r>
          </w:p>
        </w:tc>
        <w:tc>
          <w:tcPr>
            <w:tcW w:w="992" w:type="dxa"/>
            <w:tcBorders>
              <w:top w:val="single" w:sz="4" w:space="0" w:color="000000"/>
              <w:bottom w:val="single" w:sz="4" w:space="0" w:color="000000"/>
              <w:right w:val="single" w:sz="4" w:space="0" w:color="000000"/>
            </w:tcBorders>
            <w:vAlign w:val="center"/>
          </w:tcPr>
          <w:p w14:paraId="7A4B44D4"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452,6</w:t>
            </w:r>
          </w:p>
        </w:tc>
        <w:tc>
          <w:tcPr>
            <w:tcW w:w="993" w:type="dxa"/>
            <w:tcBorders>
              <w:top w:val="single" w:sz="4" w:space="0" w:color="000000"/>
              <w:left w:val="single" w:sz="4" w:space="0" w:color="000000"/>
              <w:bottom w:val="single" w:sz="4" w:space="0" w:color="000000"/>
              <w:right w:val="single" w:sz="4" w:space="0" w:color="000000"/>
            </w:tcBorders>
            <w:vAlign w:val="center"/>
          </w:tcPr>
          <w:p w14:paraId="349C7446"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330, 0</w:t>
            </w:r>
          </w:p>
        </w:tc>
        <w:tc>
          <w:tcPr>
            <w:tcW w:w="992" w:type="dxa"/>
            <w:tcBorders>
              <w:top w:val="single" w:sz="4" w:space="0" w:color="000000"/>
              <w:left w:val="single" w:sz="4" w:space="0" w:color="000000"/>
              <w:bottom w:val="single" w:sz="4" w:space="0" w:color="000000"/>
              <w:right w:val="single" w:sz="4" w:space="0" w:color="000000"/>
            </w:tcBorders>
            <w:vAlign w:val="center"/>
          </w:tcPr>
          <w:p w14:paraId="712573A0"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307,6</w:t>
            </w:r>
          </w:p>
        </w:tc>
        <w:tc>
          <w:tcPr>
            <w:tcW w:w="949" w:type="dxa"/>
            <w:tcBorders>
              <w:top w:val="single" w:sz="4" w:space="0" w:color="000000"/>
              <w:left w:val="single" w:sz="4" w:space="0" w:color="000000"/>
              <w:bottom w:val="single" w:sz="4" w:space="0" w:color="000000"/>
              <w:right w:val="single" w:sz="4" w:space="0" w:color="000000"/>
            </w:tcBorders>
            <w:vAlign w:val="center"/>
          </w:tcPr>
          <w:p w14:paraId="44D1A4EE"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238, 7</w:t>
            </w:r>
          </w:p>
        </w:tc>
        <w:tc>
          <w:tcPr>
            <w:tcW w:w="973" w:type="dxa"/>
            <w:tcBorders>
              <w:top w:val="single" w:sz="4" w:space="0" w:color="000000"/>
              <w:left w:val="single" w:sz="4" w:space="0" w:color="000000"/>
              <w:bottom w:val="single" w:sz="4" w:space="0" w:color="000000"/>
            </w:tcBorders>
            <w:tcMar>
              <w:top w:w="55" w:type="dxa"/>
              <w:bottom w:w="55" w:type="dxa"/>
            </w:tcMar>
            <w:vAlign w:val="center"/>
          </w:tcPr>
          <w:p w14:paraId="39B11634" w14:textId="77777777" w:rsidR="00EB3E75" w:rsidRPr="009D5B83" w:rsidRDefault="00EB3E75" w:rsidP="00EB3E75">
            <w:pPr>
              <w:widowControl w:val="0"/>
              <w:suppressAutoHyphens/>
              <w:contextualSpacing/>
              <w:jc w:val="center"/>
              <w:rPr>
                <w:sz w:val="20"/>
                <w:szCs w:val="20"/>
              </w:rPr>
            </w:pPr>
            <w:r w:rsidRPr="009D5B83">
              <w:rPr>
                <w:sz w:val="20"/>
                <w:szCs w:val="20"/>
              </w:rPr>
              <w:t>-213.9</w:t>
            </w:r>
          </w:p>
        </w:tc>
        <w:tc>
          <w:tcPr>
            <w:tcW w:w="871"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59AD9744" w14:textId="77777777" w:rsidR="00EB3E75" w:rsidRPr="00E853B4" w:rsidRDefault="00EB3E75" w:rsidP="00EB3E75">
            <w:pPr>
              <w:widowControl w:val="0"/>
              <w:suppressAutoHyphens/>
              <w:contextualSpacing/>
              <w:jc w:val="center"/>
              <w:rPr>
                <w:i/>
                <w:iCs/>
                <w:sz w:val="20"/>
                <w:szCs w:val="20"/>
              </w:rPr>
            </w:pPr>
            <w:r w:rsidRPr="00E853B4">
              <w:rPr>
                <w:i/>
                <w:iCs/>
                <w:sz w:val="20"/>
                <w:szCs w:val="20"/>
              </w:rPr>
              <w:t>-47,3</w:t>
            </w:r>
          </w:p>
        </w:tc>
      </w:tr>
      <w:tr w:rsidR="00EB3E75" w:rsidRPr="009D5B83" w14:paraId="52BE0474" w14:textId="77777777" w:rsidTr="00E853B4">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18BD176E" w14:textId="77777777" w:rsidR="00EB3E75" w:rsidRPr="009D5B83" w:rsidRDefault="00EB3E75" w:rsidP="00EB3E75">
            <w:pPr>
              <w:widowControl w:val="0"/>
              <w:suppressAutoHyphens/>
              <w:spacing w:after="60"/>
              <w:ind w:left="170" w:right="-57"/>
              <w:jc w:val="both"/>
              <w:rPr>
                <w:color w:val="000000"/>
                <w:sz w:val="20"/>
                <w:szCs w:val="20"/>
              </w:rPr>
            </w:pPr>
            <w:r w:rsidRPr="009D5B83">
              <w:rPr>
                <w:color w:val="000000"/>
                <w:sz w:val="20"/>
                <w:szCs w:val="20"/>
              </w:rPr>
              <w:t>Сбалансированное региональное развитие (6 программ)</w:t>
            </w:r>
          </w:p>
        </w:tc>
        <w:tc>
          <w:tcPr>
            <w:tcW w:w="992" w:type="dxa"/>
            <w:tcBorders>
              <w:top w:val="single" w:sz="4" w:space="0" w:color="000000"/>
              <w:bottom w:val="single" w:sz="4" w:space="0" w:color="000000"/>
              <w:right w:val="single" w:sz="4" w:space="0" w:color="000000"/>
            </w:tcBorders>
            <w:vAlign w:val="center"/>
          </w:tcPr>
          <w:p w14:paraId="2938923B"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1 233,5</w:t>
            </w:r>
          </w:p>
        </w:tc>
        <w:tc>
          <w:tcPr>
            <w:tcW w:w="993" w:type="dxa"/>
            <w:tcBorders>
              <w:top w:val="single" w:sz="4" w:space="0" w:color="000000"/>
              <w:left w:val="single" w:sz="4" w:space="0" w:color="000000"/>
              <w:bottom w:val="single" w:sz="4" w:space="0" w:color="000000"/>
              <w:right w:val="single" w:sz="4" w:space="0" w:color="000000"/>
            </w:tcBorders>
            <w:vAlign w:val="center"/>
          </w:tcPr>
          <w:p w14:paraId="7A4EAEE8" w14:textId="7D01AED9"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1 269,9</w:t>
            </w:r>
          </w:p>
        </w:tc>
        <w:tc>
          <w:tcPr>
            <w:tcW w:w="992" w:type="dxa"/>
            <w:tcBorders>
              <w:top w:val="single" w:sz="4" w:space="0" w:color="000000"/>
              <w:left w:val="single" w:sz="4" w:space="0" w:color="000000"/>
              <w:bottom w:val="single" w:sz="4" w:space="0" w:color="000000"/>
              <w:right w:val="single" w:sz="4" w:space="0" w:color="000000"/>
            </w:tcBorders>
            <w:vAlign w:val="center"/>
          </w:tcPr>
          <w:p w14:paraId="3798F371"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1 253,6</w:t>
            </w:r>
          </w:p>
        </w:tc>
        <w:tc>
          <w:tcPr>
            <w:tcW w:w="949" w:type="dxa"/>
            <w:tcBorders>
              <w:top w:val="single" w:sz="4" w:space="0" w:color="000000"/>
              <w:left w:val="single" w:sz="4" w:space="0" w:color="000000"/>
              <w:bottom w:val="single" w:sz="4" w:space="0" w:color="000000"/>
              <w:right w:val="single" w:sz="4" w:space="0" w:color="000000"/>
            </w:tcBorders>
            <w:vAlign w:val="center"/>
          </w:tcPr>
          <w:p w14:paraId="01C004F4"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1 282,1</w:t>
            </w:r>
          </w:p>
        </w:tc>
        <w:tc>
          <w:tcPr>
            <w:tcW w:w="973" w:type="dxa"/>
            <w:tcBorders>
              <w:top w:val="single" w:sz="4" w:space="0" w:color="000000"/>
              <w:left w:val="single" w:sz="4" w:space="0" w:color="000000"/>
              <w:bottom w:val="single" w:sz="4" w:space="0" w:color="000000"/>
            </w:tcBorders>
            <w:vAlign w:val="center"/>
          </w:tcPr>
          <w:p w14:paraId="3E8AC262" w14:textId="77777777" w:rsidR="00EB3E75" w:rsidRPr="009D5B83" w:rsidRDefault="00EB3E75" w:rsidP="00EB3E75">
            <w:pPr>
              <w:widowControl w:val="0"/>
              <w:suppressAutoHyphens/>
              <w:contextualSpacing/>
              <w:jc w:val="center"/>
              <w:rPr>
                <w:sz w:val="20"/>
                <w:szCs w:val="20"/>
              </w:rPr>
            </w:pPr>
            <w:r w:rsidRPr="009D5B83">
              <w:rPr>
                <w:sz w:val="20"/>
                <w:szCs w:val="20"/>
              </w:rPr>
              <w:t>48,6</w:t>
            </w:r>
          </w:p>
        </w:tc>
        <w:tc>
          <w:tcPr>
            <w:tcW w:w="871" w:type="dxa"/>
            <w:tcBorders>
              <w:top w:val="single" w:sz="4" w:space="0" w:color="000000"/>
              <w:left w:val="single" w:sz="4" w:space="0" w:color="000000"/>
              <w:bottom w:val="single" w:sz="4" w:space="0" w:color="000000"/>
              <w:right w:val="single" w:sz="4" w:space="0" w:color="000000"/>
            </w:tcBorders>
            <w:vAlign w:val="center"/>
          </w:tcPr>
          <w:p w14:paraId="6C4FF6DA" w14:textId="77777777" w:rsidR="00EB3E75" w:rsidRPr="00E853B4" w:rsidRDefault="00EB3E75" w:rsidP="00EB3E75">
            <w:pPr>
              <w:widowControl w:val="0"/>
              <w:suppressAutoHyphens/>
              <w:contextualSpacing/>
              <w:jc w:val="center"/>
              <w:rPr>
                <w:i/>
                <w:iCs/>
                <w:sz w:val="20"/>
                <w:szCs w:val="20"/>
              </w:rPr>
            </w:pPr>
            <w:r w:rsidRPr="00E853B4">
              <w:rPr>
                <w:i/>
                <w:iCs/>
                <w:sz w:val="20"/>
                <w:szCs w:val="20"/>
              </w:rPr>
              <w:t>4,0</w:t>
            </w:r>
          </w:p>
        </w:tc>
      </w:tr>
      <w:tr w:rsidR="00EB3E75" w:rsidRPr="009D5B83" w14:paraId="710F2BD6"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5EBDA856" w14:textId="77777777" w:rsidR="00EB3E75" w:rsidRPr="009D5B83" w:rsidRDefault="00EB3E75" w:rsidP="00EB3E75">
            <w:pPr>
              <w:widowControl w:val="0"/>
              <w:suppressAutoHyphens/>
              <w:spacing w:after="60"/>
              <w:ind w:left="-57" w:right="-57"/>
              <w:jc w:val="both"/>
              <w:rPr>
                <w:color w:val="000000"/>
                <w:sz w:val="20"/>
                <w:szCs w:val="20"/>
              </w:rPr>
            </w:pPr>
            <w:r w:rsidRPr="009D5B83">
              <w:rPr>
                <w:color w:val="000000"/>
                <w:sz w:val="20"/>
                <w:szCs w:val="20"/>
              </w:rPr>
              <w:t>Расходы на реализацию государственных программ (закрытая часть)</w:t>
            </w:r>
          </w:p>
        </w:tc>
        <w:tc>
          <w:tcPr>
            <w:tcW w:w="992" w:type="dxa"/>
            <w:tcBorders>
              <w:bottom w:val="single" w:sz="4" w:space="0" w:color="000000"/>
              <w:right w:val="single" w:sz="4" w:space="0" w:color="000000"/>
            </w:tcBorders>
            <w:vAlign w:val="center"/>
          </w:tcPr>
          <w:p w14:paraId="2CEFCF0C"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4 193,9</w:t>
            </w:r>
          </w:p>
        </w:tc>
        <w:tc>
          <w:tcPr>
            <w:tcW w:w="993" w:type="dxa"/>
            <w:tcBorders>
              <w:left w:val="single" w:sz="4" w:space="0" w:color="000000"/>
              <w:bottom w:val="single" w:sz="4" w:space="0" w:color="000000"/>
              <w:right w:val="single" w:sz="4" w:space="0" w:color="000000"/>
            </w:tcBorders>
            <w:vAlign w:val="center"/>
          </w:tcPr>
          <w:p w14:paraId="06E6D71B"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2 395, 1</w:t>
            </w:r>
          </w:p>
        </w:tc>
        <w:tc>
          <w:tcPr>
            <w:tcW w:w="992" w:type="dxa"/>
            <w:tcBorders>
              <w:left w:val="single" w:sz="4" w:space="0" w:color="000000"/>
              <w:bottom w:val="single" w:sz="4" w:space="0" w:color="000000"/>
              <w:right w:val="single" w:sz="4" w:space="0" w:color="000000"/>
            </w:tcBorders>
            <w:vAlign w:val="center"/>
          </w:tcPr>
          <w:p w14:paraId="60D6CED2"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2 422, 1</w:t>
            </w:r>
          </w:p>
        </w:tc>
        <w:tc>
          <w:tcPr>
            <w:tcW w:w="949" w:type="dxa"/>
            <w:tcBorders>
              <w:left w:val="single" w:sz="4" w:space="0" w:color="000000"/>
              <w:bottom w:val="single" w:sz="4" w:space="0" w:color="000000"/>
              <w:right w:val="single" w:sz="4" w:space="0" w:color="000000"/>
            </w:tcBorders>
            <w:vAlign w:val="center"/>
          </w:tcPr>
          <w:p w14:paraId="2BC927FB" w14:textId="77777777" w:rsidR="00EB3E75" w:rsidRPr="009D5B83" w:rsidRDefault="00EB3E75" w:rsidP="00EB3E75">
            <w:pPr>
              <w:widowControl w:val="0"/>
              <w:suppressAutoHyphens/>
              <w:spacing w:after="60"/>
              <w:ind w:left="-57" w:right="-57"/>
              <w:jc w:val="center"/>
              <w:rPr>
                <w:color w:val="000000"/>
                <w:spacing w:val="-8"/>
                <w:sz w:val="20"/>
                <w:szCs w:val="20"/>
              </w:rPr>
            </w:pPr>
            <w:r w:rsidRPr="009D5B83">
              <w:rPr>
                <w:color w:val="000000"/>
                <w:spacing w:val="-8"/>
                <w:sz w:val="20"/>
                <w:szCs w:val="20"/>
              </w:rPr>
              <w:t>2 493, 0</w:t>
            </w:r>
          </w:p>
        </w:tc>
        <w:tc>
          <w:tcPr>
            <w:tcW w:w="973" w:type="dxa"/>
            <w:tcBorders>
              <w:left w:val="single" w:sz="4" w:space="0" w:color="000000"/>
              <w:bottom w:val="single" w:sz="4" w:space="0" w:color="000000"/>
            </w:tcBorders>
            <w:vAlign w:val="center"/>
          </w:tcPr>
          <w:p w14:paraId="5F0F8BEB" w14:textId="77777777" w:rsidR="00EB3E75" w:rsidRPr="009D5B83" w:rsidRDefault="00EB3E75" w:rsidP="00EB3E75">
            <w:pPr>
              <w:widowControl w:val="0"/>
              <w:suppressAutoHyphens/>
              <w:contextualSpacing/>
              <w:jc w:val="center"/>
              <w:rPr>
                <w:sz w:val="20"/>
                <w:szCs w:val="20"/>
              </w:rPr>
            </w:pPr>
            <w:r w:rsidRPr="009D5B83">
              <w:rPr>
                <w:sz w:val="20"/>
                <w:szCs w:val="20"/>
              </w:rPr>
              <w:t>-1700,9</w:t>
            </w:r>
          </w:p>
        </w:tc>
        <w:tc>
          <w:tcPr>
            <w:tcW w:w="871" w:type="dxa"/>
            <w:tcBorders>
              <w:left w:val="single" w:sz="4" w:space="0" w:color="000000"/>
              <w:bottom w:val="single" w:sz="4" w:space="0" w:color="000000"/>
              <w:right w:val="single" w:sz="4" w:space="0" w:color="000000"/>
            </w:tcBorders>
            <w:vAlign w:val="center"/>
          </w:tcPr>
          <w:p w14:paraId="72779800" w14:textId="77777777" w:rsidR="00EB3E75" w:rsidRPr="00E853B4" w:rsidRDefault="00EB3E75" w:rsidP="00EB3E75">
            <w:pPr>
              <w:widowControl w:val="0"/>
              <w:suppressAutoHyphens/>
              <w:contextualSpacing/>
              <w:jc w:val="center"/>
              <w:rPr>
                <w:i/>
                <w:iCs/>
                <w:sz w:val="20"/>
                <w:szCs w:val="20"/>
              </w:rPr>
            </w:pPr>
            <w:r w:rsidRPr="00E853B4">
              <w:rPr>
                <w:i/>
                <w:iCs/>
                <w:sz w:val="20"/>
                <w:szCs w:val="20"/>
              </w:rPr>
              <w:t>-40,5</w:t>
            </w:r>
          </w:p>
        </w:tc>
      </w:tr>
      <w:tr w:rsidR="00EB3E75" w:rsidRPr="009D5B83" w14:paraId="62759D9D" w14:textId="77777777" w:rsidTr="00E853B4">
        <w:trPr>
          <w:jc w:val="center"/>
        </w:trPr>
        <w:tc>
          <w:tcPr>
            <w:tcW w:w="3539" w:type="dxa"/>
            <w:tcBorders>
              <w:left w:val="single" w:sz="4" w:space="0" w:color="000000"/>
              <w:bottom w:val="single" w:sz="4" w:space="0" w:color="000000"/>
              <w:right w:val="single" w:sz="4" w:space="0" w:color="000000"/>
            </w:tcBorders>
            <w:vAlign w:val="center"/>
          </w:tcPr>
          <w:p w14:paraId="6E11AA0C" w14:textId="77777777" w:rsidR="00EB3E75" w:rsidRPr="009D5B83" w:rsidRDefault="00EB3E75" w:rsidP="00EB3E75">
            <w:pPr>
              <w:widowControl w:val="0"/>
              <w:suppressAutoHyphens/>
              <w:spacing w:after="60"/>
              <w:ind w:left="-57" w:right="-57"/>
              <w:jc w:val="both"/>
              <w:rPr>
                <w:i/>
                <w:iCs/>
                <w:color w:val="000000"/>
                <w:sz w:val="20"/>
                <w:szCs w:val="20"/>
              </w:rPr>
            </w:pPr>
            <w:proofErr w:type="spellStart"/>
            <w:r w:rsidRPr="009D5B83">
              <w:rPr>
                <w:i/>
                <w:iCs/>
                <w:color w:val="000000"/>
                <w:sz w:val="20"/>
                <w:szCs w:val="20"/>
              </w:rPr>
              <w:t>Справочно</w:t>
            </w:r>
            <w:proofErr w:type="spellEnd"/>
            <w:r w:rsidRPr="009D5B83">
              <w:rPr>
                <w:i/>
                <w:iCs/>
                <w:color w:val="000000"/>
                <w:sz w:val="20"/>
                <w:szCs w:val="20"/>
              </w:rPr>
              <w:t>: доля расходов федерального бюджета, распределенных по государственным программам, %</w:t>
            </w:r>
          </w:p>
        </w:tc>
        <w:tc>
          <w:tcPr>
            <w:tcW w:w="992" w:type="dxa"/>
            <w:tcBorders>
              <w:bottom w:val="single" w:sz="4" w:space="0" w:color="000000"/>
              <w:right w:val="single" w:sz="4" w:space="0" w:color="000000"/>
            </w:tcBorders>
            <w:vAlign w:val="center"/>
          </w:tcPr>
          <w:p w14:paraId="36B5918F" w14:textId="77777777" w:rsidR="00EB3E75" w:rsidRPr="009D5B83" w:rsidRDefault="00EB3E75" w:rsidP="00EB3E75">
            <w:pPr>
              <w:suppressAutoHyphens/>
              <w:spacing w:after="60"/>
              <w:jc w:val="center"/>
              <w:rPr>
                <w:i/>
                <w:iCs/>
                <w:sz w:val="20"/>
                <w:szCs w:val="20"/>
              </w:rPr>
            </w:pPr>
            <w:r w:rsidRPr="009D5B83">
              <w:rPr>
                <w:i/>
                <w:iCs/>
                <w:sz w:val="20"/>
                <w:szCs w:val="20"/>
              </w:rPr>
              <w:t>78,3</w:t>
            </w:r>
          </w:p>
        </w:tc>
        <w:tc>
          <w:tcPr>
            <w:tcW w:w="993" w:type="dxa"/>
            <w:tcBorders>
              <w:left w:val="single" w:sz="4" w:space="0" w:color="000000"/>
              <w:bottom w:val="single" w:sz="4" w:space="0" w:color="000000"/>
              <w:right w:val="single" w:sz="4" w:space="0" w:color="000000"/>
            </w:tcBorders>
            <w:vAlign w:val="center"/>
          </w:tcPr>
          <w:p w14:paraId="6E9DF6E2" w14:textId="77777777" w:rsidR="00EB3E75" w:rsidRPr="009D5B83" w:rsidRDefault="00EB3E75" w:rsidP="00EB3E75">
            <w:pPr>
              <w:suppressAutoHyphens/>
              <w:spacing w:after="60"/>
              <w:jc w:val="center"/>
              <w:rPr>
                <w:i/>
                <w:iCs/>
                <w:sz w:val="20"/>
                <w:szCs w:val="20"/>
              </w:rPr>
            </w:pPr>
            <w:r w:rsidRPr="009D5B83">
              <w:rPr>
                <w:i/>
                <w:iCs/>
                <w:sz w:val="20"/>
                <w:szCs w:val="20"/>
              </w:rPr>
              <w:t>71,0</w:t>
            </w:r>
          </w:p>
        </w:tc>
        <w:tc>
          <w:tcPr>
            <w:tcW w:w="992" w:type="dxa"/>
            <w:tcBorders>
              <w:left w:val="single" w:sz="4" w:space="0" w:color="000000"/>
              <w:bottom w:val="single" w:sz="4" w:space="0" w:color="000000"/>
              <w:right w:val="single" w:sz="4" w:space="0" w:color="000000"/>
            </w:tcBorders>
            <w:vAlign w:val="center"/>
          </w:tcPr>
          <w:p w14:paraId="3D15376F" w14:textId="77777777" w:rsidR="00EB3E75" w:rsidRPr="009D5B83" w:rsidRDefault="00EB3E75" w:rsidP="00EB3E75">
            <w:pPr>
              <w:suppressAutoHyphens/>
              <w:spacing w:after="60"/>
              <w:jc w:val="center"/>
              <w:rPr>
                <w:i/>
                <w:iCs/>
                <w:sz w:val="20"/>
                <w:szCs w:val="20"/>
              </w:rPr>
            </w:pPr>
            <w:r w:rsidRPr="009D5B83">
              <w:rPr>
                <w:i/>
                <w:iCs/>
                <w:sz w:val="20"/>
                <w:szCs w:val="20"/>
              </w:rPr>
              <w:t>70,9</w:t>
            </w:r>
          </w:p>
        </w:tc>
        <w:tc>
          <w:tcPr>
            <w:tcW w:w="949" w:type="dxa"/>
            <w:tcBorders>
              <w:left w:val="single" w:sz="4" w:space="0" w:color="000000"/>
              <w:bottom w:val="single" w:sz="4" w:space="0" w:color="000000"/>
              <w:right w:val="single" w:sz="4" w:space="0" w:color="000000"/>
            </w:tcBorders>
            <w:vAlign w:val="center"/>
          </w:tcPr>
          <w:p w14:paraId="71FC7690" w14:textId="77777777" w:rsidR="00EB3E75" w:rsidRPr="009D5B83" w:rsidRDefault="00EB3E75" w:rsidP="00EB3E75">
            <w:pPr>
              <w:suppressAutoHyphens/>
              <w:spacing w:after="60"/>
              <w:jc w:val="center"/>
              <w:rPr>
                <w:i/>
                <w:iCs/>
                <w:sz w:val="20"/>
                <w:szCs w:val="20"/>
              </w:rPr>
            </w:pPr>
            <w:r w:rsidRPr="009D5B83">
              <w:rPr>
                <w:i/>
                <w:iCs/>
                <w:sz w:val="20"/>
                <w:szCs w:val="20"/>
              </w:rPr>
              <w:t>69,4</w:t>
            </w:r>
          </w:p>
        </w:tc>
        <w:tc>
          <w:tcPr>
            <w:tcW w:w="973" w:type="dxa"/>
            <w:tcBorders>
              <w:left w:val="single" w:sz="4" w:space="0" w:color="000000"/>
              <w:bottom w:val="single" w:sz="4" w:space="0" w:color="000000"/>
            </w:tcBorders>
            <w:vAlign w:val="center"/>
          </w:tcPr>
          <w:p w14:paraId="7D5D58F6" w14:textId="77777777" w:rsidR="00EB3E75" w:rsidRPr="009D5B83" w:rsidRDefault="00EB3E75" w:rsidP="00EB3E75">
            <w:pPr>
              <w:widowControl w:val="0"/>
              <w:suppressAutoHyphens/>
              <w:contextualSpacing/>
              <w:jc w:val="center"/>
              <w:rPr>
                <w:i/>
                <w:iCs/>
                <w:sz w:val="20"/>
                <w:szCs w:val="20"/>
              </w:rPr>
            </w:pPr>
            <w:r w:rsidRPr="009D5B83">
              <w:rPr>
                <w:i/>
                <w:iCs/>
                <w:sz w:val="20"/>
                <w:szCs w:val="20"/>
              </w:rPr>
              <w:t>-</w:t>
            </w:r>
          </w:p>
        </w:tc>
        <w:tc>
          <w:tcPr>
            <w:tcW w:w="871" w:type="dxa"/>
            <w:tcBorders>
              <w:left w:val="single" w:sz="4" w:space="0" w:color="000000"/>
              <w:bottom w:val="single" w:sz="4" w:space="0" w:color="000000"/>
              <w:right w:val="single" w:sz="4" w:space="0" w:color="000000"/>
            </w:tcBorders>
            <w:vAlign w:val="center"/>
          </w:tcPr>
          <w:p w14:paraId="012ACFE1" w14:textId="77777777" w:rsidR="00EB3E75" w:rsidRPr="009D5B83" w:rsidRDefault="00EB3E75" w:rsidP="00EB3E75">
            <w:pPr>
              <w:widowControl w:val="0"/>
              <w:suppressAutoHyphens/>
              <w:contextualSpacing/>
              <w:jc w:val="center"/>
              <w:rPr>
                <w:i/>
                <w:iCs/>
                <w:sz w:val="20"/>
                <w:szCs w:val="20"/>
              </w:rPr>
            </w:pPr>
            <w:r w:rsidRPr="009D5B83">
              <w:rPr>
                <w:i/>
                <w:iCs/>
                <w:sz w:val="20"/>
                <w:szCs w:val="20"/>
              </w:rPr>
              <w:t>-</w:t>
            </w:r>
          </w:p>
        </w:tc>
      </w:tr>
    </w:tbl>
    <w:p w14:paraId="552C76B0" w14:textId="77777777" w:rsidR="00EB3E75" w:rsidRPr="009D5B83" w:rsidRDefault="00EB3E75" w:rsidP="00EB3E75">
      <w:pPr>
        <w:keepLines/>
        <w:suppressAutoHyphens/>
        <w:spacing w:after="120"/>
        <w:ind w:firstLine="708"/>
        <w:jc w:val="both"/>
      </w:pPr>
      <w:r w:rsidRPr="009D5B83">
        <w:rPr>
          <w:i/>
          <w:sz w:val="20"/>
        </w:rPr>
        <w:t>Источник:</w:t>
      </w:r>
      <w:r w:rsidRPr="009D5B83">
        <w:rPr>
          <w:sz w:val="20"/>
        </w:rPr>
        <w:t xml:space="preserve"> Пояснительная записка, Федеральное казначейство, расчеты авторов.</w:t>
      </w:r>
    </w:p>
    <w:p w14:paraId="25D21D66" w14:textId="794BF55B" w:rsidR="00EB3E75" w:rsidRPr="00E103B9" w:rsidRDefault="00EB3E75" w:rsidP="00EB3E75">
      <w:pPr>
        <w:suppressAutoHyphens/>
        <w:spacing w:after="60"/>
        <w:ind w:firstLine="709"/>
        <w:jc w:val="both"/>
        <w:rPr>
          <w:sz w:val="28"/>
        </w:rPr>
      </w:pPr>
      <w:r w:rsidRPr="00E103B9">
        <w:rPr>
          <w:sz w:val="28"/>
        </w:rPr>
        <w:t xml:space="preserve">К 2025 г. программные расходы планируется сократить на 2,4 </w:t>
      </w:r>
      <w:proofErr w:type="gramStart"/>
      <w:r w:rsidRPr="00E103B9">
        <w:rPr>
          <w:sz w:val="28"/>
        </w:rPr>
        <w:t>трлн</w:t>
      </w:r>
      <w:proofErr w:type="gramEnd"/>
      <w:r w:rsidRPr="00E103B9">
        <w:rPr>
          <w:sz w:val="28"/>
        </w:rPr>
        <w:t xml:space="preserve"> руб. или на 10,6% относительно 2022 г., преимущественно за счет уменьшения финансирования закрытых статей (на 1,7 трлн руб.). По открытым статьям по 5-ти направлениям запланировано некоторое сокращение, а по направлениям «С</w:t>
      </w:r>
      <w:r w:rsidRPr="00E103B9">
        <w:rPr>
          <w:color w:val="000000"/>
          <w:sz w:val="28"/>
        </w:rPr>
        <w:t>охранение населения, здоровье и благополучие людей» и «Сбалансированное региональное развитие» ожидается незначительный рост бюджетных ассигнований (</w:t>
      </w:r>
      <w:r w:rsidRPr="00E103B9">
        <w:rPr>
          <w:i/>
          <w:iCs/>
          <w:color w:val="000000"/>
          <w:sz w:val="28"/>
        </w:rPr>
        <w:t>таблиц</w:t>
      </w:r>
      <w:r w:rsidR="009678BE" w:rsidRPr="00E103B9">
        <w:rPr>
          <w:i/>
          <w:iCs/>
          <w:color w:val="000000"/>
          <w:sz w:val="28"/>
        </w:rPr>
        <w:t>а 10</w:t>
      </w:r>
      <w:r w:rsidRPr="00E103B9">
        <w:rPr>
          <w:color w:val="000000"/>
          <w:sz w:val="28"/>
        </w:rPr>
        <w:t xml:space="preserve">). </w:t>
      </w:r>
    </w:p>
    <w:p w14:paraId="08BE9545" w14:textId="77777777" w:rsidR="00EB3E75" w:rsidRPr="00E103B9" w:rsidRDefault="00EB3E75" w:rsidP="00EB3E75">
      <w:pPr>
        <w:suppressAutoHyphens/>
        <w:spacing w:after="60"/>
        <w:ind w:firstLine="709"/>
        <w:jc w:val="both"/>
        <w:rPr>
          <w:sz w:val="28"/>
        </w:rPr>
      </w:pPr>
      <w:r w:rsidRPr="00E103B9">
        <w:rPr>
          <w:sz w:val="28"/>
        </w:rPr>
        <w:t xml:space="preserve">Увеличение объемов финансирования в 2025 г. относительно 2022 г. планируется только по 9-и государственным программам из 41 программы. В то же время наибольшему сокращению в номинальном выражении (2025 г. к 2022 г.) подверглись следующие государственные программы (по открытой части бюджета)): на (-) 95,5 % по </w:t>
      </w:r>
      <w:r w:rsidRPr="00E103B9">
        <w:rPr>
          <w:color w:val="000000"/>
          <w:sz w:val="28"/>
        </w:rPr>
        <w:t xml:space="preserve">ГП «Развитие фармацевтической и медицинской промышленности» до 234,7 </w:t>
      </w:r>
      <w:proofErr w:type="gramStart"/>
      <w:r w:rsidRPr="00E103B9">
        <w:rPr>
          <w:color w:val="000000"/>
          <w:sz w:val="28"/>
        </w:rPr>
        <w:t>млрд</w:t>
      </w:r>
      <w:proofErr w:type="gramEnd"/>
      <w:r w:rsidRPr="00E103B9">
        <w:rPr>
          <w:color w:val="000000"/>
          <w:sz w:val="28"/>
        </w:rPr>
        <w:t xml:space="preserve"> руб., на (-) 66,9% по ГП «Экономическое развитие и инновационная экономика» до 56,2 млрд руб., на (-) 63,3% по ГП «Обеспечение доступным и комфортным жильем и коммунальными услугами граждан Российской Федерации» до 202,8 </w:t>
      </w:r>
      <w:proofErr w:type="gramStart"/>
      <w:r w:rsidRPr="00E103B9">
        <w:rPr>
          <w:color w:val="000000"/>
          <w:sz w:val="28"/>
        </w:rPr>
        <w:t>млрд</w:t>
      </w:r>
      <w:proofErr w:type="gramEnd"/>
      <w:r w:rsidRPr="00E103B9">
        <w:rPr>
          <w:color w:val="000000"/>
          <w:sz w:val="28"/>
        </w:rPr>
        <w:t xml:space="preserve"> руб., на (-) 56,7% по ГП </w:t>
      </w:r>
      <w:r w:rsidRPr="00E103B9">
        <w:rPr>
          <w:color w:val="000000"/>
          <w:sz w:val="28"/>
        </w:rPr>
        <w:lastRenderedPageBreak/>
        <w:t>«Информационное общество» до 170,4 млрд руб., на (-) 50,1% по ГП «Охрана окружающей среды» до 65,5 млрд руб., на (-) 46,5% по ГП «Развитие промышленности и повышение ее конкурентоспособности» до 346,7 млрд руб.</w:t>
      </w:r>
    </w:p>
    <w:p w14:paraId="127128EC" w14:textId="304981AD" w:rsidR="00EB3E75" w:rsidRPr="00E103B9" w:rsidRDefault="00EB3E75" w:rsidP="00EB3E75">
      <w:pPr>
        <w:suppressAutoHyphens/>
        <w:spacing w:after="60"/>
        <w:ind w:firstLine="709"/>
        <w:jc w:val="both"/>
        <w:rPr>
          <w:sz w:val="28"/>
        </w:rPr>
      </w:pPr>
      <w:r w:rsidRPr="00E103B9">
        <w:rPr>
          <w:color w:val="000000"/>
          <w:sz w:val="28"/>
        </w:rPr>
        <w:t xml:space="preserve">С 2022 г. структура программной части расходов федерального бюджета существенно изменилась. Так, в бюджете 2021 г. расходы по государственным программам разделялись на подпрограммы, которые группировали бюджетные ассигнования по основным мероприятиям, ведомственным целевым программам, федеральным проектам, федеральным целевым программам. </w:t>
      </w:r>
      <w:proofErr w:type="gramStart"/>
      <w:r w:rsidRPr="00E103B9">
        <w:rPr>
          <w:color w:val="000000"/>
          <w:sz w:val="28"/>
        </w:rPr>
        <w:t xml:space="preserve">В соответствии с постановлением Правительства </w:t>
      </w:r>
      <w:r w:rsidR="00611BEC" w:rsidRPr="00E103B9">
        <w:rPr>
          <w:color w:val="000000"/>
          <w:sz w:val="28"/>
        </w:rPr>
        <w:t>РФ</w:t>
      </w:r>
      <w:r w:rsidRPr="00E103B9">
        <w:rPr>
          <w:color w:val="000000"/>
          <w:sz w:val="28"/>
        </w:rPr>
        <w:t xml:space="preserve"> </w:t>
      </w:r>
      <w:r w:rsidRPr="00E103B9">
        <w:rPr>
          <w:sz w:val="28"/>
        </w:rPr>
        <w:t>от 26.05.2021 № 786 «О системе управления государственными программами Российской Федерации»</w:t>
      </w:r>
      <w:r w:rsidRPr="00E103B9">
        <w:rPr>
          <w:color w:val="000000"/>
          <w:sz w:val="28"/>
        </w:rPr>
        <w:t xml:space="preserve"> в бюджете 2022 г. отсутствует группировка расходов по подпрограммам, а в структуру государственных программ включены федеральные и ведомственные проекты, а также комплексные процессные мероприятия</w:t>
      </w:r>
      <w:r w:rsidR="00611BEC" w:rsidRPr="00E103B9">
        <w:rPr>
          <w:color w:val="000000"/>
          <w:sz w:val="28"/>
        </w:rPr>
        <w:t xml:space="preserve"> (далее – КПМ)</w:t>
      </w:r>
      <w:r w:rsidRPr="00E103B9">
        <w:rPr>
          <w:color w:val="000000"/>
          <w:sz w:val="28"/>
        </w:rPr>
        <w:t>.</w:t>
      </w:r>
      <w:proofErr w:type="gramEnd"/>
      <w:r w:rsidRPr="00E103B9">
        <w:rPr>
          <w:color w:val="000000"/>
          <w:sz w:val="28"/>
        </w:rPr>
        <w:t xml:space="preserve"> Группировка расходов по ведомственным целевым программам отсутствует, однако в программную часть расходов включены 8 федеральных целевых программ со сроками реализации после 2022 г., например, «Развитие космодромов на период 2017-2025 годов в обеспечение космической деятельности Российской Федерации» и «Развитие Республики Карелия на период до 2023 года».</w:t>
      </w:r>
    </w:p>
    <w:p w14:paraId="0AFD7979" w14:textId="3E73CBED" w:rsidR="00631660" w:rsidRPr="00E103B9" w:rsidRDefault="00EB3E75" w:rsidP="00805A31">
      <w:pPr>
        <w:suppressAutoHyphens/>
        <w:spacing w:after="60"/>
        <w:ind w:firstLine="709"/>
        <w:jc w:val="both"/>
        <w:rPr>
          <w:color w:val="000000"/>
          <w:sz w:val="28"/>
        </w:rPr>
      </w:pPr>
      <w:proofErr w:type="gramStart"/>
      <w:r w:rsidRPr="00E103B9">
        <w:rPr>
          <w:color w:val="000000"/>
          <w:sz w:val="28"/>
        </w:rPr>
        <w:t>При всех положительных аспектах новой группировки программной части федерального бюджета (лучшая читаемость бюджета, отделение проектной от процессной деятельности ведомств) в ней по-прежнему наблюдается заметная доля федеральных проектов, не входящих в состав национальных проектов, которые по сути замещают ранее финансируемые основные мероприятия и/или ведомственные проекты и далеко не всегда имеют значимый мультипликативный социальный или экономический эффект.</w:t>
      </w:r>
      <w:proofErr w:type="gramEnd"/>
      <w:r w:rsidRPr="00E103B9">
        <w:rPr>
          <w:color w:val="000000"/>
          <w:sz w:val="28"/>
        </w:rPr>
        <w:t xml:space="preserve"> Общее количество таких «</w:t>
      </w:r>
      <w:proofErr w:type="spellStart"/>
      <w:r w:rsidRPr="00E103B9">
        <w:rPr>
          <w:color w:val="000000"/>
          <w:sz w:val="28"/>
        </w:rPr>
        <w:t>ненациональных</w:t>
      </w:r>
      <w:proofErr w:type="spellEnd"/>
      <w:r w:rsidRPr="00E103B9">
        <w:rPr>
          <w:color w:val="000000"/>
          <w:sz w:val="28"/>
        </w:rPr>
        <w:t xml:space="preserve">» федеральных проектов составило более 130 ед. в федеральном бюджете 2022 г. при объеме финансирования почти в 2,9 </w:t>
      </w:r>
      <w:proofErr w:type="gramStart"/>
      <w:r w:rsidRPr="00E103B9">
        <w:rPr>
          <w:color w:val="000000"/>
          <w:sz w:val="28"/>
        </w:rPr>
        <w:t>трлн</w:t>
      </w:r>
      <w:proofErr w:type="gramEnd"/>
      <w:r w:rsidRPr="00E103B9">
        <w:rPr>
          <w:color w:val="000000"/>
          <w:sz w:val="28"/>
        </w:rPr>
        <w:t xml:space="preserve"> руб. В условиях жестких бюджетных ограничений данные проекты вполне могут быть предметом детального рассмотрения в рамках проведения бюджетной консолидации.</w:t>
      </w:r>
    </w:p>
    <w:p w14:paraId="5E7A544A" w14:textId="6CE6CAAC" w:rsidR="0079642C" w:rsidRPr="00E103B9" w:rsidRDefault="00C473F9" w:rsidP="00255BE8">
      <w:pPr>
        <w:keepNext/>
        <w:spacing w:before="240" w:after="120"/>
        <w:jc w:val="center"/>
        <w:outlineLvl w:val="1"/>
        <w:rPr>
          <w:b/>
          <w:sz w:val="28"/>
        </w:rPr>
      </w:pPr>
      <w:bookmarkStart w:id="16" w:name="_Toc116593936"/>
      <w:r w:rsidRPr="00E103B9">
        <w:rPr>
          <w:b/>
          <w:sz w:val="28"/>
          <w:szCs w:val="20"/>
        </w:rPr>
        <w:t>4</w:t>
      </w:r>
      <w:r w:rsidR="0079642C" w:rsidRPr="00E103B9">
        <w:rPr>
          <w:b/>
          <w:sz w:val="28"/>
          <w:szCs w:val="20"/>
        </w:rPr>
        <w:t>.</w:t>
      </w:r>
      <w:r w:rsidR="0052311A" w:rsidRPr="00E103B9">
        <w:rPr>
          <w:b/>
          <w:sz w:val="28"/>
          <w:szCs w:val="20"/>
        </w:rPr>
        <w:t>2</w:t>
      </w:r>
      <w:r w:rsidR="0079642C" w:rsidRPr="00E103B9">
        <w:rPr>
          <w:b/>
          <w:sz w:val="28"/>
        </w:rPr>
        <w:t xml:space="preserve"> Общие тенденции расходов по функциональным разделам</w:t>
      </w:r>
      <w:bookmarkEnd w:id="16"/>
    </w:p>
    <w:p w14:paraId="5AB607BF" w14:textId="32407CFB" w:rsidR="00C75D90" w:rsidRPr="00E103B9" w:rsidRDefault="00C75D90" w:rsidP="00C75D90">
      <w:pPr>
        <w:suppressAutoHyphens/>
        <w:spacing w:after="60"/>
        <w:ind w:firstLine="709"/>
        <w:jc w:val="both"/>
        <w:rPr>
          <w:sz w:val="28"/>
        </w:rPr>
      </w:pPr>
      <w:r w:rsidRPr="00E103B9">
        <w:rPr>
          <w:sz w:val="28"/>
        </w:rPr>
        <w:t>Существенный рост расходов в 2023-2024 гг. относительно утвержденных в Закон</w:t>
      </w:r>
      <w:r w:rsidR="00A42B28" w:rsidRPr="00E103B9">
        <w:rPr>
          <w:sz w:val="28"/>
        </w:rPr>
        <w:t>е</w:t>
      </w:r>
      <w:r w:rsidRPr="00E103B9">
        <w:rPr>
          <w:sz w:val="28"/>
        </w:rPr>
        <w:t xml:space="preserve"> №390-ФЗ планируется только по двум разделам (в % относительно утвержденных): национальная оборона (на 43,4 и 28,7% соответственно) и н</w:t>
      </w:r>
      <w:r w:rsidRPr="00E103B9">
        <w:rPr>
          <w:color w:val="000000"/>
          <w:kern w:val="2"/>
          <w:sz w:val="28"/>
        </w:rPr>
        <w:t xml:space="preserve">ациональная безопасность и правоохранительная деятельность (на 48,9 и 35,7%), что обусловлено последствиями </w:t>
      </w:r>
      <w:r w:rsidR="00A42B28" w:rsidRPr="00E103B9">
        <w:rPr>
          <w:color w:val="000000"/>
          <w:kern w:val="2"/>
          <w:sz w:val="28"/>
        </w:rPr>
        <w:t xml:space="preserve">спецоперации </w:t>
      </w:r>
      <w:r w:rsidRPr="00E103B9">
        <w:rPr>
          <w:color w:val="000000"/>
          <w:kern w:val="2"/>
          <w:sz w:val="28"/>
        </w:rPr>
        <w:t>и присоединения к России четырех новых субъектов РФ.</w:t>
      </w:r>
      <w:r w:rsidRPr="00E103B9">
        <w:rPr>
          <w:sz w:val="28"/>
        </w:rPr>
        <w:t xml:space="preserve"> </w:t>
      </w:r>
    </w:p>
    <w:p w14:paraId="145422E0" w14:textId="045104B9" w:rsidR="00C75D90" w:rsidRPr="00E103B9" w:rsidRDefault="00C75D90" w:rsidP="00C75D90">
      <w:pPr>
        <w:suppressAutoHyphens/>
        <w:spacing w:after="60"/>
        <w:ind w:firstLine="709"/>
        <w:jc w:val="both"/>
        <w:rPr>
          <w:sz w:val="28"/>
        </w:rPr>
      </w:pPr>
      <w:proofErr w:type="gramStart"/>
      <w:r w:rsidRPr="00E103B9">
        <w:rPr>
          <w:sz w:val="28"/>
        </w:rPr>
        <w:t xml:space="preserve">В разрезе функциональной классификации расходов (даже без учета нераспределенных </w:t>
      </w:r>
      <w:r w:rsidR="006A2737" w:rsidRPr="00E103B9">
        <w:rPr>
          <w:sz w:val="28"/>
        </w:rPr>
        <w:t>УУР</w:t>
      </w:r>
      <w:r w:rsidRPr="00E103B9">
        <w:rPr>
          <w:sz w:val="28"/>
        </w:rPr>
        <w:t>,</w:t>
      </w:r>
      <w:r w:rsidRPr="00E103B9">
        <w:rPr>
          <w:i/>
          <w:sz w:val="28"/>
        </w:rPr>
        <w:t xml:space="preserve"> таблица</w:t>
      </w:r>
      <w:r w:rsidR="009678BE" w:rsidRPr="00E103B9">
        <w:rPr>
          <w:i/>
          <w:sz w:val="28"/>
        </w:rPr>
        <w:t xml:space="preserve"> 11</w:t>
      </w:r>
      <w:r w:rsidRPr="00E103B9">
        <w:rPr>
          <w:sz w:val="28"/>
        </w:rPr>
        <w:t>) наибольший рост в номинальном выражении в 2022-2025 гг. запланирован по разделам «Национальная безопасность и правоохранительная деятельность» (+86,0% в 2025 г. к уровню 2021 г.), «Обслуживание государственного и муниципального долга» (+73,2%), «Национальная оборона» (+17,8%).</w:t>
      </w:r>
      <w:proofErr w:type="gramEnd"/>
      <w:r w:rsidRPr="00E103B9">
        <w:rPr>
          <w:sz w:val="28"/>
        </w:rPr>
        <w:t xml:space="preserve"> В свою очередь </w:t>
      </w:r>
      <w:proofErr w:type="gramStart"/>
      <w:r w:rsidRPr="00E103B9">
        <w:rPr>
          <w:sz w:val="28"/>
        </w:rPr>
        <w:t>наибольшем</w:t>
      </w:r>
      <w:proofErr w:type="gramEnd"/>
      <w:r w:rsidRPr="00E103B9">
        <w:rPr>
          <w:sz w:val="28"/>
        </w:rPr>
        <w:t xml:space="preserve"> сокращению </w:t>
      </w:r>
      <w:r w:rsidRPr="00E103B9">
        <w:rPr>
          <w:sz w:val="28"/>
        </w:rPr>
        <w:lastRenderedPageBreak/>
        <w:t>подверглись такие разделы, как «Жилищно-коммунальное хозяйство» (-46,1%), «Физическая культура и спорт» (-24,1%), «Национальная экономика» (17,6%).</w:t>
      </w:r>
    </w:p>
    <w:p w14:paraId="139CEACD" w14:textId="77777777" w:rsidR="008637AE" w:rsidRDefault="008637AE" w:rsidP="00C75D90">
      <w:pPr>
        <w:suppressAutoHyphens/>
        <w:spacing w:after="60"/>
        <w:ind w:firstLine="709"/>
        <w:jc w:val="right"/>
        <w:rPr>
          <w:i/>
        </w:rPr>
      </w:pPr>
    </w:p>
    <w:p w14:paraId="7ACAA1D8" w14:textId="1281AB7F" w:rsidR="00C75D90" w:rsidRPr="009D5B83" w:rsidRDefault="00C75D90" w:rsidP="00C75D90">
      <w:pPr>
        <w:suppressAutoHyphens/>
        <w:spacing w:after="60"/>
        <w:ind w:firstLine="709"/>
        <w:jc w:val="right"/>
      </w:pPr>
      <w:r w:rsidRPr="009D5B83">
        <w:rPr>
          <w:i/>
        </w:rPr>
        <w:t xml:space="preserve">Таблица </w:t>
      </w:r>
      <w:r w:rsidR="009678BE" w:rsidRPr="009D5B83">
        <w:rPr>
          <w:i/>
        </w:rPr>
        <w:t>11</w:t>
      </w:r>
    </w:p>
    <w:p w14:paraId="4AAFDDB2" w14:textId="77777777" w:rsidR="00C75D90" w:rsidRPr="009D5B83" w:rsidRDefault="00C75D90" w:rsidP="00805A31">
      <w:pPr>
        <w:suppressAutoHyphens/>
        <w:spacing w:before="60" w:after="120"/>
        <w:jc w:val="center"/>
        <w:rPr>
          <w:b/>
          <w:color w:val="000000"/>
          <w:szCs w:val="20"/>
        </w:rPr>
      </w:pPr>
      <w:r w:rsidRPr="009D5B83">
        <w:rPr>
          <w:b/>
          <w:color w:val="000000"/>
          <w:szCs w:val="20"/>
        </w:rPr>
        <w:t xml:space="preserve">Расходы федерального бюджета в 2021-2025 гг., </w:t>
      </w:r>
      <w:proofErr w:type="gramStart"/>
      <w:r w:rsidRPr="009D5B83">
        <w:rPr>
          <w:b/>
          <w:color w:val="000000"/>
          <w:szCs w:val="20"/>
        </w:rPr>
        <w:t>млрд</w:t>
      </w:r>
      <w:proofErr w:type="gramEnd"/>
      <w:r w:rsidRPr="009D5B83">
        <w:rPr>
          <w:b/>
          <w:color w:val="000000"/>
          <w:szCs w:val="20"/>
        </w:rPr>
        <w:t xml:space="preserve"> руб.</w:t>
      </w:r>
    </w:p>
    <w:tbl>
      <w:tblPr>
        <w:tblW w:w="9069" w:type="dxa"/>
        <w:tblInd w:w="113" w:type="dxa"/>
        <w:tblLayout w:type="fixed"/>
        <w:tblLook w:val="04A0" w:firstRow="1" w:lastRow="0" w:firstColumn="1" w:lastColumn="0" w:noHBand="0" w:noVBand="1"/>
      </w:tblPr>
      <w:tblGrid>
        <w:gridCol w:w="1819"/>
        <w:gridCol w:w="1187"/>
        <w:gridCol w:w="1188"/>
        <w:gridCol w:w="1023"/>
        <w:gridCol w:w="1023"/>
        <w:gridCol w:w="1074"/>
        <w:gridCol w:w="794"/>
        <w:gridCol w:w="961"/>
      </w:tblGrid>
      <w:tr w:rsidR="00C75D90" w:rsidRPr="009D5B83" w14:paraId="15D40608" w14:textId="77777777" w:rsidTr="001B68A1">
        <w:trPr>
          <w:tblHeader/>
        </w:trPr>
        <w:tc>
          <w:tcPr>
            <w:tcW w:w="1819" w:type="dxa"/>
            <w:vMerge w:val="restart"/>
            <w:tcBorders>
              <w:top w:val="single" w:sz="4" w:space="0" w:color="000000"/>
              <w:left w:val="single" w:sz="4" w:space="0" w:color="000000"/>
              <w:bottom w:val="single" w:sz="4" w:space="0" w:color="000000"/>
              <w:right w:val="single" w:sz="4" w:space="0" w:color="000000"/>
            </w:tcBorders>
            <w:vAlign w:val="center"/>
          </w:tcPr>
          <w:p w14:paraId="57D8C3D0" w14:textId="77777777" w:rsidR="00C75D90" w:rsidRPr="009D5B83" w:rsidRDefault="00C75D90" w:rsidP="00C75D90">
            <w:pPr>
              <w:widowControl w:val="0"/>
              <w:suppressAutoHyphens/>
              <w:jc w:val="center"/>
              <w:rPr>
                <w:b/>
                <w:sz w:val="20"/>
                <w:szCs w:val="20"/>
              </w:rPr>
            </w:pPr>
            <w:r w:rsidRPr="009D5B83">
              <w:rPr>
                <w:b/>
                <w:sz w:val="20"/>
                <w:szCs w:val="20"/>
              </w:rPr>
              <w:t>Показатель</w:t>
            </w:r>
          </w:p>
        </w:tc>
        <w:tc>
          <w:tcPr>
            <w:tcW w:w="1187" w:type="dxa"/>
            <w:tcBorders>
              <w:top w:val="single" w:sz="4" w:space="0" w:color="000000"/>
              <w:left w:val="single" w:sz="4" w:space="0" w:color="000000"/>
              <w:bottom w:val="single" w:sz="4" w:space="0" w:color="000000"/>
              <w:right w:val="single" w:sz="4" w:space="0" w:color="000000"/>
            </w:tcBorders>
            <w:vAlign w:val="center"/>
          </w:tcPr>
          <w:p w14:paraId="31DCEDB6" w14:textId="77777777" w:rsidR="00C75D90" w:rsidRPr="009D5B83" w:rsidRDefault="00C75D90" w:rsidP="00C75D90">
            <w:pPr>
              <w:widowControl w:val="0"/>
              <w:suppressAutoHyphens/>
              <w:jc w:val="center"/>
              <w:rPr>
                <w:b/>
                <w:sz w:val="20"/>
                <w:szCs w:val="20"/>
              </w:rPr>
            </w:pPr>
            <w:r w:rsidRPr="009D5B83">
              <w:rPr>
                <w:b/>
                <w:sz w:val="20"/>
                <w:szCs w:val="20"/>
              </w:rPr>
              <w:t>Кассовое исполнение</w:t>
            </w:r>
          </w:p>
        </w:tc>
        <w:tc>
          <w:tcPr>
            <w:tcW w:w="1188" w:type="dxa"/>
            <w:tcBorders>
              <w:top w:val="single" w:sz="4" w:space="0" w:color="000000"/>
              <w:left w:val="single" w:sz="4" w:space="0" w:color="000000"/>
              <w:bottom w:val="single" w:sz="4" w:space="0" w:color="000000"/>
              <w:right w:val="single" w:sz="4" w:space="0" w:color="000000"/>
            </w:tcBorders>
            <w:vAlign w:val="center"/>
          </w:tcPr>
          <w:p w14:paraId="03982F38" w14:textId="77777777" w:rsidR="00C75D90" w:rsidRPr="009D5B83" w:rsidRDefault="00C75D90" w:rsidP="00C75D90">
            <w:pPr>
              <w:widowControl w:val="0"/>
              <w:suppressAutoHyphens/>
              <w:jc w:val="center"/>
              <w:rPr>
                <w:b/>
                <w:sz w:val="20"/>
                <w:szCs w:val="20"/>
              </w:rPr>
            </w:pPr>
            <w:r w:rsidRPr="009D5B83">
              <w:rPr>
                <w:b/>
                <w:sz w:val="20"/>
                <w:szCs w:val="20"/>
              </w:rPr>
              <w:t>Оценка</w:t>
            </w:r>
          </w:p>
        </w:tc>
        <w:tc>
          <w:tcPr>
            <w:tcW w:w="3120" w:type="dxa"/>
            <w:gridSpan w:val="3"/>
            <w:tcBorders>
              <w:top w:val="single" w:sz="4" w:space="0" w:color="000000"/>
              <w:left w:val="single" w:sz="4" w:space="0" w:color="000000"/>
              <w:bottom w:val="single" w:sz="4" w:space="0" w:color="000000"/>
              <w:right w:val="single" w:sz="4" w:space="0" w:color="000000"/>
            </w:tcBorders>
            <w:vAlign w:val="center"/>
          </w:tcPr>
          <w:p w14:paraId="0058317E" w14:textId="77777777" w:rsidR="00C75D90" w:rsidRPr="009D5B83" w:rsidRDefault="00C75D90" w:rsidP="00C75D90">
            <w:pPr>
              <w:widowControl w:val="0"/>
              <w:suppressAutoHyphens/>
              <w:jc w:val="center"/>
              <w:rPr>
                <w:b/>
                <w:sz w:val="20"/>
                <w:szCs w:val="20"/>
              </w:rPr>
            </w:pPr>
            <w:r w:rsidRPr="009D5B83">
              <w:rPr>
                <w:b/>
                <w:sz w:val="20"/>
                <w:szCs w:val="20"/>
              </w:rPr>
              <w:t>Законопроект</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14:paraId="526F6073" w14:textId="77777777" w:rsidR="00C75D90" w:rsidRPr="009D5B83" w:rsidRDefault="00C75D90" w:rsidP="00C75D90">
            <w:pPr>
              <w:widowControl w:val="0"/>
              <w:suppressAutoHyphens/>
              <w:jc w:val="center"/>
              <w:rPr>
                <w:b/>
                <w:iCs/>
                <w:sz w:val="20"/>
                <w:szCs w:val="20"/>
              </w:rPr>
            </w:pPr>
            <w:r w:rsidRPr="009D5B83">
              <w:rPr>
                <w:b/>
                <w:iCs/>
                <w:sz w:val="20"/>
                <w:szCs w:val="20"/>
              </w:rPr>
              <w:t>Отклонение 2025 г. к 2021 г.</w:t>
            </w:r>
          </w:p>
        </w:tc>
      </w:tr>
      <w:tr w:rsidR="00C75D90" w:rsidRPr="009D5B83" w14:paraId="68139466" w14:textId="77777777" w:rsidTr="001B68A1">
        <w:trPr>
          <w:tblHeader/>
        </w:trPr>
        <w:tc>
          <w:tcPr>
            <w:tcW w:w="1819" w:type="dxa"/>
            <w:vMerge/>
            <w:tcBorders>
              <w:top w:val="single" w:sz="4" w:space="0" w:color="000000"/>
              <w:left w:val="single" w:sz="4" w:space="0" w:color="000000"/>
              <w:bottom w:val="single" w:sz="4" w:space="0" w:color="000000"/>
              <w:right w:val="single" w:sz="4" w:space="0" w:color="000000"/>
            </w:tcBorders>
            <w:vAlign w:val="center"/>
          </w:tcPr>
          <w:p w14:paraId="01F81223" w14:textId="77777777" w:rsidR="00C75D90" w:rsidRPr="009D5B83" w:rsidRDefault="00C75D90" w:rsidP="00C75D90">
            <w:pPr>
              <w:suppressAutoHyphens/>
              <w:ind w:firstLine="709"/>
              <w:jc w:val="both"/>
            </w:pPr>
          </w:p>
        </w:tc>
        <w:tc>
          <w:tcPr>
            <w:tcW w:w="1187" w:type="dxa"/>
            <w:tcBorders>
              <w:top w:val="single" w:sz="4" w:space="0" w:color="000000"/>
              <w:left w:val="single" w:sz="4" w:space="0" w:color="000000"/>
              <w:bottom w:val="single" w:sz="4" w:space="0" w:color="000000"/>
              <w:right w:val="single" w:sz="4" w:space="0" w:color="000000"/>
            </w:tcBorders>
            <w:vAlign w:val="center"/>
          </w:tcPr>
          <w:p w14:paraId="24DC8928" w14:textId="77777777" w:rsidR="00C75D90" w:rsidRPr="009D5B83" w:rsidRDefault="00C75D90" w:rsidP="00C75D90">
            <w:pPr>
              <w:widowControl w:val="0"/>
              <w:suppressAutoHyphens/>
              <w:jc w:val="center"/>
              <w:rPr>
                <w:b/>
                <w:sz w:val="20"/>
                <w:szCs w:val="20"/>
              </w:rPr>
            </w:pPr>
            <w:r w:rsidRPr="009D5B83">
              <w:rPr>
                <w:b/>
                <w:sz w:val="20"/>
                <w:szCs w:val="20"/>
              </w:rPr>
              <w:t>2021 г.</w:t>
            </w:r>
          </w:p>
        </w:tc>
        <w:tc>
          <w:tcPr>
            <w:tcW w:w="1188" w:type="dxa"/>
            <w:tcBorders>
              <w:top w:val="single" w:sz="4" w:space="0" w:color="000000"/>
              <w:left w:val="single" w:sz="4" w:space="0" w:color="000000"/>
              <w:bottom w:val="single" w:sz="4" w:space="0" w:color="000000"/>
              <w:right w:val="single" w:sz="4" w:space="0" w:color="000000"/>
            </w:tcBorders>
            <w:vAlign w:val="center"/>
          </w:tcPr>
          <w:p w14:paraId="3B867F1A" w14:textId="77777777" w:rsidR="00C75D90" w:rsidRPr="009D5B83" w:rsidRDefault="00C75D90" w:rsidP="00C75D90">
            <w:pPr>
              <w:widowControl w:val="0"/>
              <w:suppressAutoHyphens/>
              <w:jc w:val="center"/>
              <w:rPr>
                <w:b/>
                <w:sz w:val="20"/>
                <w:szCs w:val="20"/>
              </w:rPr>
            </w:pPr>
            <w:r w:rsidRPr="009D5B83">
              <w:rPr>
                <w:b/>
                <w:sz w:val="20"/>
                <w:szCs w:val="20"/>
              </w:rPr>
              <w:t>2022 г.</w:t>
            </w:r>
          </w:p>
        </w:tc>
        <w:tc>
          <w:tcPr>
            <w:tcW w:w="1023" w:type="dxa"/>
            <w:tcBorders>
              <w:top w:val="single" w:sz="4" w:space="0" w:color="000000"/>
              <w:left w:val="single" w:sz="4" w:space="0" w:color="000000"/>
              <w:bottom w:val="single" w:sz="4" w:space="0" w:color="000000"/>
              <w:right w:val="single" w:sz="4" w:space="0" w:color="000000"/>
            </w:tcBorders>
            <w:vAlign w:val="center"/>
          </w:tcPr>
          <w:p w14:paraId="31C6E26F" w14:textId="77777777" w:rsidR="00C75D90" w:rsidRPr="009D5B83" w:rsidRDefault="00C75D90" w:rsidP="00C75D90">
            <w:pPr>
              <w:widowControl w:val="0"/>
              <w:suppressAutoHyphens/>
              <w:jc w:val="center"/>
              <w:rPr>
                <w:b/>
                <w:sz w:val="20"/>
                <w:szCs w:val="20"/>
              </w:rPr>
            </w:pPr>
            <w:r w:rsidRPr="009D5B83">
              <w:rPr>
                <w:b/>
                <w:sz w:val="20"/>
                <w:szCs w:val="20"/>
              </w:rPr>
              <w:t>2023 г.</w:t>
            </w:r>
          </w:p>
        </w:tc>
        <w:tc>
          <w:tcPr>
            <w:tcW w:w="1023" w:type="dxa"/>
            <w:tcBorders>
              <w:top w:val="single" w:sz="4" w:space="0" w:color="000000"/>
              <w:left w:val="single" w:sz="4" w:space="0" w:color="000000"/>
              <w:bottom w:val="single" w:sz="4" w:space="0" w:color="000000"/>
              <w:right w:val="single" w:sz="4" w:space="0" w:color="000000"/>
            </w:tcBorders>
            <w:vAlign w:val="center"/>
          </w:tcPr>
          <w:p w14:paraId="35E99BEF" w14:textId="77777777" w:rsidR="00C75D90" w:rsidRPr="009D5B83" w:rsidRDefault="00C75D90" w:rsidP="00C75D90">
            <w:pPr>
              <w:widowControl w:val="0"/>
              <w:suppressAutoHyphens/>
              <w:jc w:val="center"/>
              <w:rPr>
                <w:b/>
                <w:sz w:val="20"/>
                <w:szCs w:val="20"/>
              </w:rPr>
            </w:pPr>
            <w:r w:rsidRPr="009D5B83">
              <w:rPr>
                <w:b/>
                <w:sz w:val="20"/>
                <w:szCs w:val="20"/>
              </w:rPr>
              <w:t>2024 г.</w:t>
            </w:r>
          </w:p>
        </w:tc>
        <w:tc>
          <w:tcPr>
            <w:tcW w:w="1074" w:type="dxa"/>
            <w:tcBorders>
              <w:top w:val="single" w:sz="4" w:space="0" w:color="000000"/>
              <w:left w:val="single" w:sz="4" w:space="0" w:color="000000"/>
              <w:bottom w:val="single" w:sz="4" w:space="0" w:color="000000"/>
              <w:right w:val="single" w:sz="4" w:space="0" w:color="000000"/>
            </w:tcBorders>
            <w:vAlign w:val="center"/>
          </w:tcPr>
          <w:p w14:paraId="5E0FF0F8" w14:textId="77777777" w:rsidR="00C75D90" w:rsidRPr="009D5B83" w:rsidRDefault="00C75D90" w:rsidP="00C75D90">
            <w:pPr>
              <w:widowControl w:val="0"/>
              <w:suppressAutoHyphens/>
              <w:jc w:val="center"/>
              <w:rPr>
                <w:b/>
                <w:sz w:val="20"/>
                <w:szCs w:val="20"/>
              </w:rPr>
            </w:pPr>
            <w:r w:rsidRPr="009D5B83">
              <w:rPr>
                <w:b/>
                <w:sz w:val="20"/>
                <w:szCs w:val="20"/>
              </w:rPr>
              <w:t>2025 г.</w:t>
            </w:r>
          </w:p>
        </w:tc>
        <w:tc>
          <w:tcPr>
            <w:tcW w:w="794" w:type="dxa"/>
            <w:tcBorders>
              <w:top w:val="single" w:sz="4" w:space="0" w:color="000000"/>
              <w:left w:val="single" w:sz="4" w:space="0" w:color="000000"/>
              <w:bottom w:val="single" w:sz="4" w:space="0" w:color="000000"/>
              <w:right w:val="single" w:sz="4" w:space="0" w:color="000000"/>
            </w:tcBorders>
            <w:vAlign w:val="center"/>
          </w:tcPr>
          <w:p w14:paraId="249C4F6F" w14:textId="77777777" w:rsidR="00C75D90" w:rsidRPr="009D5B83" w:rsidRDefault="00C75D90" w:rsidP="00C75D90">
            <w:pPr>
              <w:widowControl w:val="0"/>
              <w:suppressAutoHyphens/>
              <w:jc w:val="center"/>
              <w:rPr>
                <w:b/>
                <w:sz w:val="20"/>
                <w:szCs w:val="20"/>
              </w:rPr>
            </w:pPr>
            <w:proofErr w:type="gramStart"/>
            <w:r w:rsidRPr="009D5B83">
              <w:rPr>
                <w:b/>
                <w:sz w:val="20"/>
                <w:szCs w:val="20"/>
              </w:rPr>
              <w:t>млрд</w:t>
            </w:r>
            <w:proofErr w:type="gramEnd"/>
            <w:r w:rsidRPr="009D5B83">
              <w:rPr>
                <w:b/>
                <w:sz w:val="20"/>
                <w:szCs w:val="20"/>
              </w:rPr>
              <w:t xml:space="preserve"> руб.</w:t>
            </w:r>
          </w:p>
        </w:tc>
        <w:tc>
          <w:tcPr>
            <w:tcW w:w="961" w:type="dxa"/>
            <w:tcBorders>
              <w:top w:val="single" w:sz="4" w:space="0" w:color="000000"/>
              <w:left w:val="single" w:sz="4" w:space="0" w:color="000000"/>
              <w:bottom w:val="single" w:sz="4" w:space="0" w:color="000000"/>
              <w:right w:val="single" w:sz="4" w:space="0" w:color="000000"/>
            </w:tcBorders>
            <w:vAlign w:val="center"/>
          </w:tcPr>
          <w:p w14:paraId="1BA01A09" w14:textId="77777777" w:rsidR="00C75D90" w:rsidRPr="009D5B83" w:rsidRDefault="00C75D90" w:rsidP="00C75D90">
            <w:pPr>
              <w:widowControl w:val="0"/>
              <w:suppressAutoHyphens/>
              <w:jc w:val="center"/>
              <w:rPr>
                <w:b/>
                <w:i/>
                <w:iCs/>
                <w:sz w:val="20"/>
                <w:szCs w:val="20"/>
              </w:rPr>
            </w:pPr>
            <w:r w:rsidRPr="009D5B83">
              <w:rPr>
                <w:b/>
                <w:i/>
                <w:iCs/>
                <w:sz w:val="20"/>
                <w:szCs w:val="20"/>
              </w:rPr>
              <w:t>прирост, %</w:t>
            </w:r>
          </w:p>
        </w:tc>
      </w:tr>
      <w:tr w:rsidR="00C75D90" w:rsidRPr="009D5B83" w14:paraId="167B7556"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5230F1AF" w14:textId="77777777" w:rsidR="00C75D90" w:rsidRPr="009D5B83" w:rsidRDefault="00C75D90" w:rsidP="00C75D90">
            <w:pPr>
              <w:widowControl w:val="0"/>
              <w:suppressAutoHyphens/>
              <w:jc w:val="both"/>
              <w:rPr>
                <w:b/>
                <w:sz w:val="20"/>
                <w:szCs w:val="20"/>
              </w:rPr>
            </w:pPr>
            <w:r w:rsidRPr="009D5B83">
              <w:rPr>
                <w:b/>
                <w:sz w:val="20"/>
                <w:szCs w:val="20"/>
              </w:rPr>
              <w:t xml:space="preserve">Расходы, в </w:t>
            </w:r>
            <w:proofErr w:type="spellStart"/>
            <w:r w:rsidRPr="009D5B83">
              <w:rPr>
                <w:b/>
                <w:sz w:val="20"/>
                <w:szCs w:val="20"/>
              </w:rPr>
              <w:t>т.ч</w:t>
            </w:r>
            <w:proofErr w:type="spellEnd"/>
            <w:r w:rsidRPr="009D5B83">
              <w:rPr>
                <w:b/>
                <w:sz w:val="20"/>
                <w:szCs w:val="20"/>
              </w:rPr>
              <w:t>.:</w:t>
            </w:r>
          </w:p>
        </w:tc>
        <w:tc>
          <w:tcPr>
            <w:tcW w:w="1187" w:type="dxa"/>
            <w:tcBorders>
              <w:top w:val="single" w:sz="4" w:space="0" w:color="000000"/>
              <w:left w:val="single" w:sz="4" w:space="0" w:color="000000"/>
              <w:bottom w:val="single" w:sz="4" w:space="0" w:color="000000"/>
            </w:tcBorders>
            <w:tcMar>
              <w:left w:w="0" w:type="dxa"/>
              <w:right w:w="0" w:type="dxa"/>
            </w:tcMar>
            <w:vAlign w:val="center"/>
          </w:tcPr>
          <w:p w14:paraId="3AB49E3E" w14:textId="77777777" w:rsidR="00C75D90" w:rsidRPr="009D5B83" w:rsidRDefault="00C75D90" w:rsidP="00C75D90">
            <w:pPr>
              <w:widowControl w:val="0"/>
              <w:suppressAutoHyphens/>
              <w:jc w:val="center"/>
              <w:rPr>
                <w:b/>
                <w:bCs/>
                <w:sz w:val="20"/>
                <w:szCs w:val="20"/>
              </w:rPr>
            </w:pPr>
            <w:r w:rsidRPr="009D5B83">
              <w:rPr>
                <w:b/>
                <w:bCs/>
                <w:sz w:val="20"/>
                <w:szCs w:val="20"/>
              </w:rPr>
              <w:t>24 762,0</w:t>
            </w:r>
          </w:p>
        </w:tc>
        <w:tc>
          <w:tcPr>
            <w:tcW w:w="1188" w:type="dxa"/>
            <w:tcBorders>
              <w:top w:val="single" w:sz="4" w:space="0" w:color="000000"/>
              <w:left w:val="single" w:sz="4" w:space="0" w:color="000000"/>
              <w:bottom w:val="single" w:sz="4" w:space="0" w:color="000000"/>
            </w:tcBorders>
            <w:tcMar>
              <w:left w:w="0" w:type="dxa"/>
              <w:right w:w="0" w:type="dxa"/>
            </w:tcMar>
            <w:vAlign w:val="center"/>
          </w:tcPr>
          <w:p w14:paraId="3E2777EE" w14:textId="77777777" w:rsidR="00C75D90" w:rsidRPr="009D5B83" w:rsidRDefault="00C75D90" w:rsidP="00C75D90">
            <w:pPr>
              <w:widowControl w:val="0"/>
              <w:suppressAutoHyphens/>
              <w:jc w:val="center"/>
              <w:rPr>
                <w:b/>
                <w:sz w:val="20"/>
                <w:szCs w:val="20"/>
                <w:lang w:eastAsia="en-US"/>
              </w:rPr>
            </w:pPr>
            <w:r w:rsidRPr="009D5B83">
              <w:rPr>
                <w:b/>
                <w:sz w:val="20"/>
                <w:szCs w:val="20"/>
                <w:lang w:eastAsia="en-US"/>
              </w:rPr>
              <w:t>27 614,0</w:t>
            </w:r>
          </w:p>
        </w:tc>
        <w:tc>
          <w:tcPr>
            <w:tcW w:w="1023" w:type="dxa"/>
            <w:tcBorders>
              <w:top w:val="single" w:sz="4" w:space="0" w:color="000000"/>
              <w:left w:val="single" w:sz="4" w:space="0" w:color="000000"/>
              <w:bottom w:val="single" w:sz="4" w:space="0" w:color="000000"/>
            </w:tcBorders>
            <w:tcMar>
              <w:left w:w="0" w:type="dxa"/>
              <w:right w:w="0" w:type="dxa"/>
            </w:tcMar>
            <w:vAlign w:val="center"/>
          </w:tcPr>
          <w:p w14:paraId="0B30C346" w14:textId="77777777" w:rsidR="00C75D90" w:rsidRPr="009D5B83" w:rsidRDefault="00C75D90" w:rsidP="00C75D90">
            <w:pPr>
              <w:widowControl w:val="0"/>
              <w:suppressAutoHyphens/>
              <w:jc w:val="center"/>
              <w:rPr>
                <w:b/>
                <w:sz w:val="20"/>
                <w:szCs w:val="20"/>
                <w:lang w:eastAsia="en-US"/>
              </w:rPr>
            </w:pPr>
            <w:r w:rsidRPr="009D5B83">
              <w:rPr>
                <w:b/>
                <w:sz w:val="20"/>
                <w:szCs w:val="20"/>
                <w:lang w:eastAsia="en-US"/>
              </w:rPr>
              <w:t>29 055,6</w:t>
            </w:r>
          </w:p>
        </w:tc>
        <w:tc>
          <w:tcPr>
            <w:tcW w:w="1023" w:type="dxa"/>
            <w:tcBorders>
              <w:top w:val="single" w:sz="4" w:space="0" w:color="000000"/>
              <w:left w:val="single" w:sz="4" w:space="0" w:color="000000"/>
              <w:bottom w:val="single" w:sz="4" w:space="0" w:color="000000"/>
            </w:tcBorders>
            <w:tcMar>
              <w:left w:w="0" w:type="dxa"/>
              <w:right w:w="0" w:type="dxa"/>
            </w:tcMar>
            <w:vAlign w:val="center"/>
          </w:tcPr>
          <w:p w14:paraId="68C017CA" w14:textId="77777777" w:rsidR="00C75D90" w:rsidRPr="009D5B83" w:rsidRDefault="00C75D90" w:rsidP="00C75D90">
            <w:pPr>
              <w:widowControl w:val="0"/>
              <w:suppressAutoHyphens/>
              <w:jc w:val="center"/>
              <w:rPr>
                <w:b/>
                <w:sz w:val="20"/>
                <w:szCs w:val="20"/>
                <w:lang w:eastAsia="en-US"/>
              </w:rPr>
            </w:pPr>
            <w:r w:rsidRPr="009D5B83">
              <w:rPr>
                <w:b/>
                <w:sz w:val="20"/>
                <w:szCs w:val="20"/>
                <w:lang w:eastAsia="en-US"/>
              </w:rPr>
              <w:t>29 432,5</w:t>
            </w:r>
          </w:p>
        </w:tc>
        <w:tc>
          <w:tcPr>
            <w:tcW w:w="1074" w:type="dxa"/>
            <w:tcBorders>
              <w:top w:val="single" w:sz="4" w:space="0" w:color="000000"/>
              <w:left w:val="single" w:sz="4" w:space="0" w:color="000000"/>
              <w:bottom w:val="single" w:sz="4" w:space="0" w:color="000000"/>
            </w:tcBorders>
            <w:tcMar>
              <w:left w:w="0" w:type="dxa"/>
              <w:right w:w="0" w:type="dxa"/>
            </w:tcMar>
            <w:vAlign w:val="center"/>
          </w:tcPr>
          <w:p w14:paraId="2C5D858A" w14:textId="77777777" w:rsidR="00C75D90" w:rsidRPr="009D5B83" w:rsidRDefault="00C75D90" w:rsidP="00C75D90">
            <w:pPr>
              <w:widowControl w:val="0"/>
              <w:suppressAutoHyphens/>
              <w:jc w:val="center"/>
              <w:rPr>
                <w:b/>
                <w:sz w:val="20"/>
                <w:szCs w:val="20"/>
                <w:lang w:eastAsia="en-US"/>
              </w:rPr>
            </w:pPr>
            <w:r w:rsidRPr="009D5B83">
              <w:rPr>
                <w:b/>
                <w:sz w:val="20"/>
                <w:szCs w:val="20"/>
                <w:lang w:eastAsia="en-US"/>
              </w:rPr>
              <w:t>29 243,7</w:t>
            </w:r>
          </w:p>
        </w:tc>
        <w:tc>
          <w:tcPr>
            <w:tcW w:w="794" w:type="dxa"/>
            <w:tcBorders>
              <w:top w:val="single" w:sz="4" w:space="0" w:color="000000"/>
              <w:left w:val="single" w:sz="4" w:space="0" w:color="000000"/>
              <w:bottom w:val="single" w:sz="4" w:space="0" w:color="000000"/>
            </w:tcBorders>
            <w:tcMar>
              <w:left w:w="0" w:type="dxa"/>
              <w:right w:w="0" w:type="dxa"/>
            </w:tcMar>
            <w:vAlign w:val="center"/>
          </w:tcPr>
          <w:p w14:paraId="1AD8BADA" w14:textId="77777777" w:rsidR="00C75D90" w:rsidRPr="009D5B83" w:rsidRDefault="00C75D90" w:rsidP="00C75D90">
            <w:pPr>
              <w:widowControl w:val="0"/>
              <w:suppressAutoHyphens/>
              <w:ind w:left="57"/>
              <w:jc w:val="center"/>
              <w:rPr>
                <w:sz w:val="20"/>
                <w:szCs w:val="20"/>
              </w:rPr>
            </w:pPr>
            <w:r w:rsidRPr="009D5B83">
              <w:rPr>
                <w:sz w:val="20"/>
                <w:szCs w:val="20"/>
              </w:rPr>
              <w:t>4 481,7</w:t>
            </w:r>
          </w:p>
        </w:tc>
        <w:tc>
          <w:tcPr>
            <w:tcW w:w="96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850E1F"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18,1</w:t>
            </w:r>
          </w:p>
        </w:tc>
      </w:tr>
      <w:tr w:rsidR="00C75D90" w:rsidRPr="009D5B83" w14:paraId="0DBE93F3"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19510EF4" w14:textId="77777777" w:rsidR="00C75D90" w:rsidRPr="009D5B83" w:rsidRDefault="00C75D90" w:rsidP="00C75D90">
            <w:pPr>
              <w:widowControl w:val="0"/>
              <w:suppressAutoHyphens/>
              <w:jc w:val="both"/>
              <w:rPr>
                <w:sz w:val="20"/>
                <w:szCs w:val="20"/>
              </w:rPr>
            </w:pPr>
            <w:r w:rsidRPr="009D5B83">
              <w:rPr>
                <w:sz w:val="20"/>
                <w:szCs w:val="20"/>
              </w:rPr>
              <w:t>Общегосударственные вопросы</w:t>
            </w:r>
          </w:p>
        </w:tc>
        <w:tc>
          <w:tcPr>
            <w:tcW w:w="1187" w:type="dxa"/>
            <w:tcBorders>
              <w:left w:val="single" w:sz="4" w:space="0" w:color="000000"/>
              <w:bottom w:val="single" w:sz="4" w:space="0" w:color="000000"/>
            </w:tcBorders>
            <w:tcMar>
              <w:left w:w="0" w:type="dxa"/>
              <w:right w:w="0" w:type="dxa"/>
            </w:tcMar>
            <w:vAlign w:val="center"/>
          </w:tcPr>
          <w:p w14:paraId="55B76EA5" w14:textId="77777777" w:rsidR="00C75D90" w:rsidRPr="009D5B83" w:rsidRDefault="00C75D90" w:rsidP="00C75D90">
            <w:pPr>
              <w:widowControl w:val="0"/>
              <w:suppressAutoHyphens/>
              <w:jc w:val="center"/>
              <w:rPr>
                <w:sz w:val="20"/>
                <w:szCs w:val="20"/>
              </w:rPr>
            </w:pPr>
            <w:r w:rsidRPr="009D5B83">
              <w:rPr>
                <w:sz w:val="20"/>
                <w:szCs w:val="20"/>
              </w:rPr>
              <w:t>1 759,4</w:t>
            </w:r>
          </w:p>
        </w:tc>
        <w:tc>
          <w:tcPr>
            <w:tcW w:w="1188" w:type="dxa"/>
            <w:tcBorders>
              <w:left w:val="single" w:sz="4" w:space="0" w:color="000000"/>
              <w:bottom w:val="single" w:sz="4" w:space="0" w:color="000000"/>
            </w:tcBorders>
            <w:tcMar>
              <w:left w:w="0" w:type="dxa"/>
              <w:right w:w="0" w:type="dxa"/>
            </w:tcMar>
            <w:vAlign w:val="center"/>
          </w:tcPr>
          <w:p w14:paraId="791C9F22" w14:textId="77777777" w:rsidR="00C75D90" w:rsidRPr="009D5B83" w:rsidRDefault="00C75D90" w:rsidP="00C75D90">
            <w:pPr>
              <w:widowControl w:val="0"/>
              <w:suppressAutoHyphens/>
              <w:jc w:val="center"/>
              <w:rPr>
                <w:sz w:val="20"/>
                <w:szCs w:val="20"/>
              </w:rPr>
            </w:pPr>
            <w:r w:rsidRPr="009D5B83">
              <w:rPr>
                <w:sz w:val="20"/>
                <w:szCs w:val="20"/>
              </w:rPr>
              <w:t>2 628,6</w:t>
            </w:r>
          </w:p>
        </w:tc>
        <w:tc>
          <w:tcPr>
            <w:tcW w:w="1023" w:type="dxa"/>
            <w:tcBorders>
              <w:left w:val="single" w:sz="4" w:space="0" w:color="000000"/>
              <w:bottom w:val="single" w:sz="4" w:space="0" w:color="000000"/>
            </w:tcBorders>
            <w:tcMar>
              <w:left w:w="0" w:type="dxa"/>
              <w:right w:w="0" w:type="dxa"/>
            </w:tcMar>
            <w:vAlign w:val="center"/>
          </w:tcPr>
          <w:p w14:paraId="5A11CA78" w14:textId="77777777" w:rsidR="00C75D90" w:rsidRPr="009D5B83" w:rsidRDefault="00C75D90" w:rsidP="00C75D90">
            <w:pPr>
              <w:widowControl w:val="0"/>
              <w:suppressAutoHyphens/>
              <w:jc w:val="center"/>
              <w:rPr>
                <w:sz w:val="20"/>
                <w:szCs w:val="20"/>
              </w:rPr>
            </w:pPr>
            <w:r w:rsidRPr="009D5B83">
              <w:rPr>
                <w:sz w:val="20"/>
                <w:szCs w:val="20"/>
              </w:rPr>
              <w:t>1 994,4</w:t>
            </w:r>
          </w:p>
        </w:tc>
        <w:tc>
          <w:tcPr>
            <w:tcW w:w="1023" w:type="dxa"/>
            <w:tcBorders>
              <w:left w:val="single" w:sz="4" w:space="0" w:color="000000"/>
              <w:bottom w:val="single" w:sz="4" w:space="0" w:color="000000"/>
            </w:tcBorders>
            <w:tcMar>
              <w:left w:w="0" w:type="dxa"/>
              <w:right w:w="0" w:type="dxa"/>
            </w:tcMar>
            <w:vAlign w:val="center"/>
          </w:tcPr>
          <w:p w14:paraId="779145D1" w14:textId="77777777" w:rsidR="00C75D90" w:rsidRPr="009D5B83" w:rsidRDefault="00C75D90" w:rsidP="00C75D90">
            <w:pPr>
              <w:widowControl w:val="0"/>
              <w:suppressAutoHyphens/>
              <w:jc w:val="center"/>
              <w:rPr>
                <w:sz w:val="20"/>
                <w:szCs w:val="20"/>
              </w:rPr>
            </w:pPr>
            <w:r w:rsidRPr="009D5B83">
              <w:rPr>
                <w:sz w:val="20"/>
                <w:szCs w:val="20"/>
              </w:rPr>
              <w:t>1 993,1</w:t>
            </w:r>
          </w:p>
        </w:tc>
        <w:tc>
          <w:tcPr>
            <w:tcW w:w="1074" w:type="dxa"/>
            <w:tcBorders>
              <w:left w:val="single" w:sz="4" w:space="0" w:color="000000"/>
              <w:bottom w:val="single" w:sz="4" w:space="0" w:color="000000"/>
            </w:tcBorders>
            <w:tcMar>
              <w:left w:w="0" w:type="dxa"/>
              <w:right w:w="0" w:type="dxa"/>
            </w:tcMar>
            <w:vAlign w:val="center"/>
          </w:tcPr>
          <w:p w14:paraId="1B30562B" w14:textId="77777777" w:rsidR="00C75D90" w:rsidRPr="009D5B83" w:rsidRDefault="00C75D90" w:rsidP="00C75D90">
            <w:pPr>
              <w:widowControl w:val="0"/>
              <w:suppressAutoHyphens/>
              <w:jc w:val="center"/>
              <w:rPr>
                <w:sz w:val="20"/>
                <w:szCs w:val="20"/>
              </w:rPr>
            </w:pPr>
            <w:r w:rsidRPr="009D5B83">
              <w:rPr>
                <w:sz w:val="20"/>
                <w:szCs w:val="20"/>
              </w:rPr>
              <w:t>1 834,5</w:t>
            </w:r>
          </w:p>
        </w:tc>
        <w:tc>
          <w:tcPr>
            <w:tcW w:w="794" w:type="dxa"/>
            <w:tcBorders>
              <w:left w:val="single" w:sz="4" w:space="0" w:color="000000"/>
              <w:bottom w:val="single" w:sz="4" w:space="0" w:color="000000"/>
            </w:tcBorders>
            <w:tcMar>
              <w:left w:w="0" w:type="dxa"/>
              <w:right w:w="0" w:type="dxa"/>
            </w:tcMar>
            <w:vAlign w:val="center"/>
          </w:tcPr>
          <w:p w14:paraId="2866712F" w14:textId="77777777" w:rsidR="00C75D90" w:rsidRPr="009D5B83" w:rsidRDefault="00C75D90" w:rsidP="00C75D90">
            <w:pPr>
              <w:widowControl w:val="0"/>
              <w:suppressAutoHyphens/>
              <w:ind w:left="57"/>
              <w:jc w:val="center"/>
              <w:rPr>
                <w:sz w:val="20"/>
                <w:szCs w:val="20"/>
              </w:rPr>
            </w:pPr>
            <w:r w:rsidRPr="009D5B83">
              <w:rPr>
                <w:sz w:val="20"/>
                <w:szCs w:val="20"/>
              </w:rPr>
              <w:t>75,1</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7D10EF70"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4,3</w:t>
            </w:r>
          </w:p>
        </w:tc>
      </w:tr>
      <w:tr w:rsidR="00C75D90" w:rsidRPr="009D5B83" w14:paraId="6892BB34"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633E9948" w14:textId="77777777" w:rsidR="00C75D90" w:rsidRPr="009D5B83" w:rsidRDefault="00C75D90" w:rsidP="00C75D90">
            <w:pPr>
              <w:widowControl w:val="0"/>
              <w:suppressAutoHyphens/>
              <w:jc w:val="both"/>
              <w:rPr>
                <w:sz w:val="20"/>
                <w:szCs w:val="20"/>
              </w:rPr>
            </w:pPr>
            <w:r w:rsidRPr="009D5B83">
              <w:rPr>
                <w:sz w:val="20"/>
                <w:szCs w:val="20"/>
              </w:rPr>
              <w:t>Национальная оборона</w:t>
            </w:r>
          </w:p>
        </w:tc>
        <w:tc>
          <w:tcPr>
            <w:tcW w:w="1187" w:type="dxa"/>
            <w:tcBorders>
              <w:left w:val="single" w:sz="4" w:space="0" w:color="000000"/>
              <w:bottom w:val="single" w:sz="4" w:space="0" w:color="000000"/>
            </w:tcBorders>
            <w:tcMar>
              <w:left w:w="0" w:type="dxa"/>
              <w:right w:w="0" w:type="dxa"/>
            </w:tcMar>
            <w:vAlign w:val="center"/>
          </w:tcPr>
          <w:p w14:paraId="738B4E59" w14:textId="77777777" w:rsidR="00C75D90" w:rsidRPr="009D5B83" w:rsidRDefault="00C75D90" w:rsidP="00C75D90">
            <w:pPr>
              <w:widowControl w:val="0"/>
              <w:suppressAutoHyphens/>
              <w:jc w:val="center"/>
              <w:rPr>
                <w:sz w:val="20"/>
                <w:szCs w:val="20"/>
                <w:lang w:val="en-US"/>
              </w:rPr>
            </w:pPr>
            <w:r w:rsidRPr="009D5B83">
              <w:rPr>
                <w:sz w:val="20"/>
                <w:szCs w:val="20"/>
                <w:lang w:val="en-US"/>
              </w:rPr>
              <w:t>3 573,5</w:t>
            </w:r>
          </w:p>
        </w:tc>
        <w:tc>
          <w:tcPr>
            <w:tcW w:w="1188" w:type="dxa"/>
            <w:tcBorders>
              <w:left w:val="single" w:sz="4" w:space="0" w:color="000000"/>
              <w:bottom w:val="single" w:sz="4" w:space="0" w:color="000000"/>
            </w:tcBorders>
            <w:tcMar>
              <w:left w:w="0" w:type="dxa"/>
              <w:right w:w="0" w:type="dxa"/>
            </w:tcMar>
            <w:vAlign w:val="center"/>
          </w:tcPr>
          <w:p w14:paraId="42499B73" w14:textId="77777777" w:rsidR="00C75D90" w:rsidRPr="009D5B83" w:rsidRDefault="00C75D90" w:rsidP="00C75D90">
            <w:pPr>
              <w:widowControl w:val="0"/>
              <w:suppressAutoHyphens/>
              <w:jc w:val="center"/>
              <w:rPr>
                <w:sz w:val="20"/>
                <w:szCs w:val="20"/>
              </w:rPr>
            </w:pPr>
            <w:r w:rsidRPr="009D5B83">
              <w:rPr>
                <w:sz w:val="20"/>
                <w:szCs w:val="20"/>
              </w:rPr>
              <w:t>4 678,5</w:t>
            </w:r>
          </w:p>
        </w:tc>
        <w:tc>
          <w:tcPr>
            <w:tcW w:w="1023" w:type="dxa"/>
            <w:tcBorders>
              <w:left w:val="single" w:sz="4" w:space="0" w:color="000000"/>
              <w:bottom w:val="single" w:sz="4" w:space="0" w:color="000000"/>
            </w:tcBorders>
            <w:tcMar>
              <w:left w:w="0" w:type="dxa"/>
              <w:right w:w="0" w:type="dxa"/>
            </w:tcMar>
            <w:vAlign w:val="center"/>
          </w:tcPr>
          <w:p w14:paraId="1CDD7301" w14:textId="77777777" w:rsidR="00C75D90" w:rsidRPr="009D5B83" w:rsidRDefault="00C75D90" w:rsidP="00C75D90">
            <w:pPr>
              <w:widowControl w:val="0"/>
              <w:suppressAutoHyphens/>
              <w:jc w:val="center"/>
              <w:rPr>
                <w:sz w:val="20"/>
                <w:szCs w:val="20"/>
              </w:rPr>
            </w:pPr>
            <w:r w:rsidRPr="009D5B83">
              <w:rPr>
                <w:sz w:val="20"/>
                <w:szCs w:val="20"/>
              </w:rPr>
              <w:t>4 981,6</w:t>
            </w:r>
          </w:p>
        </w:tc>
        <w:tc>
          <w:tcPr>
            <w:tcW w:w="1023" w:type="dxa"/>
            <w:tcBorders>
              <w:left w:val="single" w:sz="4" w:space="0" w:color="000000"/>
              <w:bottom w:val="single" w:sz="4" w:space="0" w:color="000000"/>
            </w:tcBorders>
            <w:tcMar>
              <w:left w:w="0" w:type="dxa"/>
              <w:right w:w="0" w:type="dxa"/>
            </w:tcMar>
            <w:vAlign w:val="center"/>
          </w:tcPr>
          <w:p w14:paraId="7691BA3D" w14:textId="77777777" w:rsidR="00C75D90" w:rsidRPr="009D5B83" w:rsidRDefault="00C75D90" w:rsidP="00C75D90">
            <w:pPr>
              <w:widowControl w:val="0"/>
              <w:suppressAutoHyphens/>
              <w:jc w:val="center"/>
              <w:rPr>
                <w:sz w:val="20"/>
                <w:szCs w:val="20"/>
              </w:rPr>
            </w:pPr>
            <w:r w:rsidRPr="009D5B83">
              <w:rPr>
                <w:sz w:val="20"/>
                <w:szCs w:val="20"/>
              </w:rPr>
              <w:t>4 648,8</w:t>
            </w:r>
          </w:p>
        </w:tc>
        <w:tc>
          <w:tcPr>
            <w:tcW w:w="1074" w:type="dxa"/>
            <w:tcBorders>
              <w:left w:val="single" w:sz="4" w:space="0" w:color="000000"/>
              <w:bottom w:val="single" w:sz="4" w:space="0" w:color="000000"/>
            </w:tcBorders>
            <w:tcMar>
              <w:left w:w="0" w:type="dxa"/>
              <w:right w:w="0" w:type="dxa"/>
            </w:tcMar>
            <w:vAlign w:val="center"/>
          </w:tcPr>
          <w:p w14:paraId="4FA29DEF" w14:textId="77777777" w:rsidR="00C75D90" w:rsidRPr="009D5B83" w:rsidRDefault="00C75D90" w:rsidP="00C75D90">
            <w:pPr>
              <w:widowControl w:val="0"/>
              <w:suppressAutoHyphens/>
              <w:jc w:val="center"/>
              <w:rPr>
                <w:sz w:val="20"/>
                <w:szCs w:val="20"/>
              </w:rPr>
            </w:pPr>
            <w:r w:rsidRPr="009D5B83">
              <w:rPr>
                <w:sz w:val="20"/>
                <w:szCs w:val="20"/>
              </w:rPr>
              <w:t>4 208,4</w:t>
            </w:r>
          </w:p>
        </w:tc>
        <w:tc>
          <w:tcPr>
            <w:tcW w:w="794" w:type="dxa"/>
            <w:tcBorders>
              <w:left w:val="single" w:sz="4" w:space="0" w:color="000000"/>
              <w:bottom w:val="single" w:sz="4" w:space="0" w:color="000000"/>
            </w:tcBorders>
            <w:tcMar>
              <w:left w:w="0" w:type="dxa"/>
              <w:right w:w="0" w:type="dxa"/>
            </w:tcMar>
            <w:vAlign w:val="center"/>
          </w:tcPr>
          <w:p w14:paraId="2C91C9B2" w14:textId="77777777" w:rsidR="00C75D90" w:rsidRPr="009D5B83" w:rsidRDefault="00C75D90" w:rsidP="00C75D90">
            <w:pPr>
              <w:widowControl w:val="0"/>
              <w:suppressAutoHyphens/>
              <w:ind w:left="57"/>
              <w:jc w:val="center"/>
              <w:rPr>
                <w:sz w:val="20"/>
                <w:szCs w:val="20"/>
              </w:rPr>
            </w:pPr>
            <w:r w:rsidRPr="009D5B83">
              <w:rPr>
                <w:sz w:val="20"/>
                <w:szCs w:val="20"/>
              </w:rPr>
              <w:t>634,9</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6FF36C68"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17,8</w:t>
            </w:r>
          </w:p>
        </w:tc>
      </w:tr>
      <w:tr w:rsidR="00C75D90" w:rsidRPr="009D5B83" w14:paraId="5BB1AC45"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6024A99B" w14:textId="77777777" w:rsidR="00C75D90" w:rsidRPr="009D5B83" w:rsidRDefault="00C75D90" w:rsidP="00C75D90">
            <w:pPr>
              <w:widowControl w:val="0"/>
              <w:suppressAutoHyphens/>
              <w:jc w:val="both"/>
              <w:rPr>
                <w:sz w:val="20"/>
                <w:szCs w:val="20"/>
              </w:rPr>
            </w:pPr>
            <w:r w:rsidRPr="009D5B83">
              <w:rPr>
                <w:sz w:val="20"/>
                <w:szCs w:val="20"/>
              </w:rPr>
              <w:t>Национальная безопасность и правоохранительная деятельность</w:t>
            </w:r>
          </w:p>
        </w:tc>
        <w:tc>
          <w:tcPr>
            <w:tcW w:w="1187" w:type="dxa"/>
            <w:tcBorders>
              <w:left w:val="single" w:sz="4" w:space="0" w:color="000000"/>
              <w:bottom w:val="single" w:sz="4" w:space="0" w:color="000000"/>
            </w:tcBorders>
            <w:tcMar>
              <w:left w:w="0" w:type="dxa"/>
              <w:right w:w="0" w:type="dxa"/>
            </w:tcMar>
            <w:vAlign w:val="center"/>
          </w:tcPr>
          <w:p w14:paraId="798B98D7" w14:textId="77777777" w:rsidR="00C75D90" w:rsidRPr="009D5B83" w:rsidRDefault="00C75D90" w:rsidP="00C75D90">
            <w:pPr>
              <w:widowControl w:val="0"/>
              <w:suppressAutoHyphens/>
              <w:jc w:val="center"/>
              <w:rPr>
                <w:sz w:val="20"/>
                <w:szCs w:val="20"/>
                <w:lang w:val="en-US"/>
              </w:rPr>
            </w:pPr>
            <w:r w:rsidRPr="009D5B83">
              <w:rPr>
                <w:sz w:val="20"/>
                <w:szCs w:val="20"/>
                <w:lang w:val="en-US"/>
              </w:rPr>
              <w:t>2 335,9</w:t>
            </w:r>
          </w:p>
        </w:tc>
        <w:tc>
          <w:tcPr>
            <w:tcW w:w="1188" w:type="dxa"/>
            <w:tcBorders>
              <w:left w:val="single" w:sz="4" w:space="0" w:color="000000"/>
              <w:bottom w:val="single" w:sz="4" w:space="0" w:color="000000"/>
            </w:tcBorders>
            <w:tcMar>
              <w:left w:w="0" w:type="dxa"/>
              <w:right w:w="0" w:type="dxa"/>
            </w:tcMar>
            <w:vAlign w:val="center"/>
          </w:tcPr>
          <w:p w14:paraId="7B7361C5" w14:textId="77777777" w:rsidR="00C75D90" w:rsidRPr="009D5B83" w:rsidRDefault="00C75D90" w:rsidP="00C75D90">
            <w:pPr>
              <w:widowControl w:val="0"/>
              <w:suppressAutoHyphens/>
              <w:jc w:val="center"/>
              <w:rPr>
                <w:sz w:val="20"/>
                <w:szCs w:val="20"/>
              </w:rPr>
            </w:pPr>
            <w:r w:rsidRPr="009D5B83">
              <w:rPr>
                <w:sz w:val="20"/>
                <w:szCs w:val="20"/>
              </w:rPr>
              <w:t>2 788,4</w:t>
            </w:r>
          </w:p>
        </w:tc>
        <w:tc>
          <w:tcPr>
            <w:tcW w:w="1023" w:type="dxa"/>
            <w:tcBorders>
              <w:left w:val="single" w:sz="4" w:space="0" w:color="000000"/>
              <w:bottom w:val="single" w:sz="4" w:space="0" w:color="000000"/>
            </w:tcBorders>
            <w:tcMar>
              <w:left w:w="0" w:type="dxa"/>
              <w:right w:w="0" w:type="dxa"/>
            </w:tcMar>
            <w:vAlign w:val="center"/>
          </w:tcPr>
          <w:p w14:paraId="147AB18A" w14:textId="77777777" w:rsidR="00C75D90" w:rsidRPr="009D5B83" w:rsidRDefault="00C75D90" w:rsidP="00C75D90">
            <w:pPr>
              <w:widowControl w:val="0"/>
              <w:suppressAutoHyphens/>
              <w:jc w:val="center"/>
              <w:rPr>
                <w:sz w:val="20"/>
                <w:szCs w:val="20"/>
              </w:rPr>
            </w:pPr>
            <w:r w:rsidRPr="009D5B83">
              <w:rPr>
                <w:sz w:val="20"/>
                <w:szCs w:val="20"/>
              </w:rPr>
              <w:t>4 417,1</w:t>
            </w:r>
          </w:p>
        </w:tc>
        <w:tc>
          <w:tcPr>
            <w:tcW w:w="1023" w:type="dxa"/>
            <w:tcBorders>
              <w:left w:val="single" w:sz="4" w:space="0" w:color="000000"/>
              <w:bottom w:val="single" w:sz="4" w:space="0" w:color="000000"/>
            </w:tcBorders>
            <w:tcMar>
              <w:left w:w="0" w:type="dxa"/>
              <w:right w:w="0" w:type="dxa"/>
            </w:tcMar>
            <w:vAlign w:val="center"/>
          </w:tcPr>
          <w:p w14:paraId="41F9AF0F" w14:textId="77777777" w:rsidR="00C75D90" w:rsidRPr="009D5B83" w:rsidRDefault="00C75D90" w:rsidP="00C75D90">
            <w:pPr>
              <w:widowControl w:val="0"/>
              <w:suppressAutoHyphens/>
              <w:jc w:val="center"/>
              <w:rPr>
                <w:sz w:val="20"/>
                <w:szCs w:val="20"/>
              </w:rPr>
            </w:pPr>
            <w:r w:rsidRPr="009D5B83">
              <w:rPr>
                <w:sz w:val="20"/>
                <w:szCs w:val="20"/>
              </w:rPr>
              <w:t>4 332,1</w:t>
            </w:r>
          </w:p>
        </w:tc>
        <w:tc>
          <w:tcPr>
            <w:tcW w:w="1074" w:type="dxa"/>
            <w:tcBorders>
              <w:left w:val="single" w:sz="4" w:space="0" w:color="000000"/>
              <w:bottom w:val="single" w:sz="4" w:space="0" w:color="000000"/>
            </w:tcBorders>
            <w:tcMar>
              <w:left w:w="0" w:type="dxa"/>
              <w:right w:w="0" w:type="dxa"/>
            </w:tcMar>
            <w:vAlign w:val="center"/>
          </w:tcPr>
          <w:p w14:paraId="22BDA792" w14:textId="77777777" w:rsidR="00C75D90" w:rsidRPr="009D5B83" w:rsidRDefault="00C75D90" w:rsidP="00C75D90">
            <w:pPr>
              <w:widowControl w:val="0"/>
              <w:suppressAutoHyphens/>
              <w:jc w:val="center"/>
              <w:rPr>
                <w:sz w:val="20"/>
                <w:szCs w:val="20"/>
              </w:rPr>
            </w:pPr>
            <w:r w:rsidRPr="009D5B83">
              <w:rPr>
                <w:sz w:val="20"/>
                <w:szCs w:val="20"/>
              </w:rPr>
              <w:t>4 344,2</w:t>
            </w:r>
          </w:p>
        </w:tc>
        <w:tc>
          <w:tcPr>
            <w:tcW w:w="794" w:type="dxa"/>
            <w:tcBorders>
              <w:left w:val="single" w:sz="4" w:space="0" w:color="000000"/>
              <w:bottom w:val="single" w:sz="4" w:space="0" w:color="000000"/>
            </w:tcBorders>
            <w:tcMar>
              <w:left w:w="0" w:type="dxa"/>
              <w:right w:w="0" w:type="dxa"/>
            </w:tcMar>
            <w:vAlign w:val="center"/>
          </w:tcPr>
          <w:p w14:paraId="60D24CB3" w14:textId="77777777" w:rsidR="00C75D90" w:rsidRPr="009D5B83" w:rsidRDefault="00C75D90" w:rsidP="00C75D90">
            <w:pPr>
              <w:widowControl w:val="0"/>
              <w:suppressAutoHyphens/>
              <w:ind w:left="57"/>
              <w:jc w:val="center"/>
              <w:rPr>
                <w:sz w:val="20"/>
                <w:szCs w:val="20"/>
              </w:rPr>
            </w:pPr>
            <w:r w:rsidRPr="009D5B83">
              <w:rPr>
                <w:sz w:val="20"/>
                <w:szCs w:val="20"/>
              </w:rPr>
              <w:t>2 008,3</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7ED565DC"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86,0</w:t>
            </w:r>
          </w:p>
        </w:tc>
      </w:tr>
      <w:tr w:rsidR="00C75D90" w:rsidRPr="009D5B83" w14:paraId="27155B11"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4A2ABCF1" w14:textId="77777777" w:rsidR="00C75D90" w:rsidRPr="009D5B83" w:rsidRDefault="00C75D90" w:rsidP="00C75D90">
            <w:pPr>
              <w:widowControl w:val="0"/>
              <w:suppressAutoHyphens/>
              <w:jc w:val="both"/>
              <w:rPr>
                <w:sz w:val="20"/>
                <w:szCs w:val="20"/>
              </w:rPr>
            </w:pPr>
            <w:r w:rsidRPr="009D5B83">
              <w:rPr>
                <w:sz w:val="20"/>
                <w:szCs w:val="20"/>
              </w:rPr>
              <w:t>Национальная экономика</w:t>
            </w:r>
          </w:p>
        </w:tc>
        <w:tc>
          <w:tcPr>
            <w:tcW w:w="1187" w:type="dxa"/>
            <w:tcBorders>
              <w:left w:val="single" w:sz="4" w:space="0" w:color="000000"/>
              <w:bottom w:val="single" w:sz="4" w:space="0" w:color="000000"/>
            </w:tcBorders>
            <w:tcMar>
              <w:left w:w="0" w:type="dxa"/>
              <w:right w:w="0" w:type="dxa"/>
            </w:tcMar>
            <w:vAlign w:val="center"/>
          </w:tcPr>
          <w:p w14:paraId="649F3647" w14:textId="77777777" w:rsidR="00C75D90" w:rsidRPr="009D5B83" w:rsidRDefault="00C75D90" w:rsidP="00C75D90">
            <w:pPr>
              <w:widowControl w:val="0"/>
              <w:suppressAutoHyphens/>
              <w:jc w:val="center"/>
              <w:rPr>
                <w:sz w:val="20"/>
                <w:szCs w:val="20"/>
              </w:rPr>
            </w:pPr>
            <w:r w:rsidRPr="009D5B83">
              <w:rPr>
                <w:sz w:val="20"/>
                <w:szCs w:val="20"/>
              </w:rPr>
              <w:t>4 356,6</w:t>
            </w:r>
          </w:p>
        </w:tc>
        <w:tc>
          <w:tcPr>
            <w:tcW w:w="1188" w:type="dxa"/>
            <w:tcBorders>
              <w:left w:val="single" w:sz="4" w:space="0" w:color="000000"/>
              <w:bottom w:val="single" w:sz="4" w:space="0" w:color="000000"/>
            </w:tcBorders>
            <w:tcMar>
              <w:left w:w="0" w:type="dxa"/>
              <w:right w:w="0" w:type="dxa"/>
            </w:tcMar>
            <w:vAlign w:val="center"/>
          </w:tcPr>
          <w:p w14:paraId="4AF21BA2" w14:textId="77777777" w:rsidR="00C75D90" w:rsidRPr="009D5B83" w:rsidRDefault="00C75D90" w:rsidP="00C75D90">
            <w:pPr>
              <w:widowControl w:val="0"/>
              <w:suppressAutoHyphens/>
              <w:jc w:val="center"/>
              <w:rPr>
                <w:sz w:val="20"/>
                <w:szCs w:val="20"/>
              </w:rPr>
            </w:pPr>
            <w:r w:rsidRPr="009D5B83">
              <w:rPr>
                <w:sz w:val="20"/>
                <w:szCs w:val="20"/>
              </w:rPr>
              <w:t>4 317,5</w:t>
            </w:r>
          </w:p>
        </w:tc>
        <w:tc>
          <w:tcPr>
            <w:tcW w:w="1023" w:type="dxa"/>
            <w:tcBorders>
              <w:left w:val="single" w:sz="4" w:space="0" w:color="000000"/>
              <w:bottom w:val="single" w:sz="4" w:space="0" w:color="000000"/>
            </w:tcBorders>
            <w:tcMar>
              <w:left w:w="0" w:type="dxa"/>
              <w:right w:w="0" w:type="dxa"/>
            </w:tcMar>
            <w:vAlign w:val="center"/>
          </w:tcPr>
          <w:p w14:paraId="451AE786" w14:textId="77777777" w:rsidR="00C75D90" w:rsidRPr="009D5B83" w:rsidRDefault="00C75D90" w:rsidP="00C75D90">
            <w:pPr>
              <w:widowControl w:val="0"/>
              <w:suppressAutoHyphens/>
              <w:jc w:val="center"/>
              <w:rPr>
                <w:sz w:val="20"/>
                <w:szCs w:val="20"/>
              </w:rPr>
            </w:pPr>
            <w:r w:rsidRPr="009D5B83">
              <w:rPr>
                <w:sz w:val="20"/>
                <w:szCs w:val="20"/>
              </w:rPr>
              <w:t>3 514,1</w:t>
            </w:r>
          </w:p>
        </w:tc>
        <w:tc>
          <w:tcPr>
            <w:tcW w:w="1023" w:type="dxa"/>
            <w:tcBorders>
              <w:left w:val="single" w:sz="4" w:space="0" w:color="000000"/>
              <w:bottom w:val="single" w:sz="4" w:space="0" w:color="000000"/>
            </w:tcBorders>
            <w:tcMar>
              <w:left w:w="0" w:type="dxa"/>
              <w:right w:w="0" w:type="dxa"/>
            </w:tcMar>
            <w:vAlign w:val="center"/>
          </w:tcPr>
          <w:p w14:paraId="3430D912" w14:textId="77777777" w:rsidR="00C75D90" w:rsidRPr="009D5B83" w:rsidRDefault="00C75D90" w:rsidP="00C75D90">
            <w:pPr>
              <w:widowControl w:val="0"/>
              <w:suppressAutoHyphens/>
              <w:jc w:val="center"/>
              <w:rPr>
                <w:sz w:val="20"/>
                <w:szCs w:val="20"/>
              </w:rPr>
            </w:pPr>
            <w:r w:rsidRPr="009D5B83">
              <w:rPr>
                <w:sz w:val="20"/>
                <w:szCs w:val="20"/>
              </w:rPr>
              <w:t>3 555,0</w:t>
            </w:r>
          </w:p>
        </w:tc>
        <w:tc>
          <w:tcPr>
            <w:tcW w:w="1074" w:type="dxa"/>
            <w:tcBorders>
              <w:left w:val="single" w:sz="4" w:space="0" w:color="000000"/>
              <w:bottom w:val="single" w:sz="4" w:space="0" w:color="000000"/>
            </w:tcBorders>
            <w:tcMar>
              <w:left w:w="0" w:type="dxa"/>
              <w:right w:w="0" w:type="dxa"/>
            </w:tcMar>
            <w:vAlign w:val="center"/>
          </w:tcPr>
          <w:p w14:paraId="510455C3" w14:textId="77777777" w:rsidR="00C75D90" w:rsidRPr="009D5B83" w:rsidRDefault="00C75D90" w:rsidP="00C75D90">
            <w:pPr>
              <w:widowControl w:val="0"/>
              <w:suppressAutoHyphens/>
              <w:jc w:val="center"/>
              <w:rPr>
                <w:sz w:val="20"/>
                <w:szCs w:val="20"/>
              </w:rPr>
            </w:pPr>
            <w:r w:rsidRPr="009D5B83">
              <w:rPr>
                <w:sz w:val="20"/>
                <w:szCs w:val="20"/>
              </w:rPr>
              <w:t>3 591,3</w:t>
            </w:r>
          </w:p>
        </w:tc>
        <w:tc>
          <w:tcPr>
            <w:tcW w:w="794" w:type="dxa"/>
            <w:tcBorders>
              <w:left w:val="single" w:sz="4" w:space="0" w:color="000000"/>
              <w:bottom w:val="single" w:sz="4" w:space="0" w:color="000000"/>
            </w:tcBorders>
            <w:tcMar>
              <w:left w:w="0" w:type="dxa"/>
              <w:right w:w="0" w:type="dxa"/>
            </w:tcMar>
            <w:vAlign w:val="center"/>
          </w:tcPr>
          <w:p w14:paraId="2E5B0BF5" w14:textId="77777777" w:rsidR="00C75D90" w:rsidRPr="009D5B83" w:rsidRDefault="00C75D90" w:rsidP="00C75D90">
            <w:pPr>
              <w:widowControl w:val="0"/>
              <w:suppressAutoHyphens/>
              <w:ind w:left="57"/>
              <w:jc w:val="center"/>
              <w:rPr>
                <w:sz w:val="20"/>
                <w:szCs w:val="20"/>
              </w:rPr>
            </w:pPr>
            <w:r w:rsidRPr="009D5B83">
              <w:rPr>
                <w:sz w:val="20"/>
                <w:szCs w:val="20"/>
              </w:rPr>
              <w:t>-765,3</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75E681FA"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-17,6</w:t>
            </w:r>
          </w:p>
        </w:tc>
      </w:tr>
      <w:tr w:rsidR="00C75D90" w:rsidRPr="009D5B83" w14:paraId="110E689D"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79536FC4" w14:textId="77777777" w:rsidR="00C75D90" w:rsidRPr="009D5B83" w:rsidRDefault="00C75D90" w:rsidP="00C75D90">
            <w:pPr>
              <w:widowControl w:val="0"/>
              <w:suppressAutoHyphens/>
              <w:jc w:val="both"/>
              <w:rPr>
                <w:sz w:val="20"/>
                <w:szCs w:val="20"/>
              </w:rPr>
            </w:pPr>
            <w:r w:rsidRPr="009D5B83">
              <w:rPr>
                <w:sz w:val="20"/>
                <w:szCs w:val="20"/>
              </w:rPr>
              <w:t>Жилищно-коммунальное хозяйство</w:t>
            </w:r>
          </w:p>
        </w:tc>
        <w:tc>
          <w:tcPr>
            <w:tcW w:w="1187" w:type="dxa"/>
            <w:tcBorders>
              <w:left w:val="single" w:sz="4" w:space="0" w:color="000000"/>
              <w:bottom w:val="single" w:sz="4" w:space="0" w:color="000000"/>
            </w:tcBorders>
            <w:tcMar>
              <w:left w:w="0" w:type="dxa"/>
              <w:right w:w="0" w:type="dxa"/>
            </w:tcMar>
            <w:vAlign w:val="center"/>
          </w:tcPr>
          <w:p w14:paraId="10F3B52E" w14:textId="77777777" w:rsidR="00C75D90" w:rsidRPr="009D5B83" w:rsidRDefault="00C75D90" w:rsidP="00C75D90">
            <w:pPr>
              <w:widowControl w:val="0"/>
              <w:suppressAutoHyphens/>
              <w:jc w:val="center"/>
              <w:rPr>
                <w:sz w:val="20"/>
                <w:szCs w:val="20"/>
              </w:rPr>
            </w:pPr>
            <w:r w:rsidRPr="009D5B83">
              <w:rPr>
                <w:sz w:val="20"/>
                <w:szCs w:val="20"/>
              </w:rPr>
              <w:t>593,7</w:t>
            </w:r>
          </w:p>
        </w:tc>
        <w:tc>
          <w:tcPr>
            <w:tcW w:w="1188" w:type="dxa"/>
            <w:tcBorders>
              <w:left w:val="single" w:sz="4" w:space="0" w:color="000000"/>
              <w:bottom w:val="single" w:sz="4" w:space="0" w:color="000000"/>
            </w:tcBorders>
            <w:tcMar>
              <w:left w:w="0" w:type="dxa"/>
              <w:right w:w="0" w:type="dxa"/>
            </w:tcMar>
            <w:vAlign w:val="center"/>
          </w:tcPr>
          <w:p w14:paraId="707A6CAA" w14:textId="77777777" w:rsidR="00C75D90" w:rsidRPr="009D5B83" w:rsidRDefault="00C75D90" w:rsidP="00C75D90">
            <w:pPr>
              <w:widowControl w:val="0"/>
              <w:suppressAutoHyphens/>
              <w:jc w:val="center"/>
              <w:rPr>
                <w:sz w:val="20"/>
                <w:szCs w:val="20"/>
              </w:rPr>
            </w:pPr>
            <w:r w:rsidRPr="009D5B83">
              <w:rPr>
                <w:sz w:val="20"/>
                <w:szCs w:val="20"/>
              </w:rPr>
              <w:t>645,4</w:t>
            </w:r>
          </w:p>
        </w:tc>
        <w:tc>
          <w:tcPr>
            <w:tcW w:w="1023" w:type="dxa"/>
            <w:tcBorders>
              <w:left w:val="single" w:sz="4" w:space="0" w:color="000000"/>
              <w:bottom w:val="single" w:sz="4" w:space="0" w:color="000000"/>
            </w:tcBorders>
            <w:tcMar>
              <w:left w:w="0" w:type="dxa"/>
              <w:right w:w="0" w:type="dxa"/>
            </w:tcMar>
            <w:vAlign w:val="center"/>
          </w:tcPr>
          <w:p w14:paraId="23A7B67D" w14:textId="77777777" w:rsidR="00C75D90" w:rsidRPr="009D5B83" w:rsidRDefault="00C75D90" w:rsidP="00C75D90">
            <w:pPr>
              <w:widowControl w:val="0"/>
              <w:suppressAutoHyphens/>
              <w:jc w:val="center"/>
              <w:rPr>
                <w:sz w:val="20"/>
                <w:szCs w:val="20"/>
              </w:rPr>
            </w:pPr>
            <w:r w:rsidRPr="009D5B83">
              <w:rPr>
                <w:sz w:val="20"/>
                <w:szCs w:val="20"/>
              </w:rPr>
              <w:t>604,9</w:t>
            </w:r>
          </w:p>
        </w:tc>
        <w:tc>
          <w:tcPr>
            <w:tcW w:w="1023" w:type="dxa"/>
            <w:tcBorders>
              <w:left w:val="single" w:sz="4" w:space="0" w:color="000000"/>
              <w:bottom w:val="single" w:sz="4" w:space="0" w:color="000000"/>
            </w:tcBorders>
            <w:tcMar>
              <w:left w:w="0" w:type="dxa"/>
              <w:right w:w="0" w:type="dxa"/>
            </w:tcMar>
            <w:vAlign w:val="center"/>
          </w:tcPr>
          <w:p w14:paraId="74108F48" w14:textId="77777777" w:rsidR="00C75D90" w:rsidRPr="009D5B83" w:rsidRDefault="00C75D90" w:rsidP="00C75D90">
            <w:pPr>
              <w:widowControl w:val="0"/>
              <w:suppressAutoHyphens/>
              <w:jc w:val="center"/>
              <w:rPr>
                <w:sz w:val="20"/>
                <w:szCs w:val="20"/>
              </w:rPr>
            </w:pPr>
            <w:r w:rsidRPr="009D5B83">
              <w:rPr>
                <w:sz w:val="20"/>
                <w:szCs w:val="20"/>
              </w:rPr>
              <w:t>513,9</w:t>
            </w:r>
          </w:p>
        </w:tc>
        <w:tc>
          <w:tcPr>
            <w:tcW w:w="1074" w:type="dxa"/>
            <w:tcBorders>
              <w:left w:val="single" w:sz="4" w:space="0" w:color="000000"/>
              <w:bottom w:val="single" w:sz="4" w:space="0" w:color="000000"/>
            </w:tcBorders>
            <w:tcMar>
              <w:left w:w="0" w:type="dxa"/>
              <w:right w:w="0" w:type="dxa"/>
            </w:tcMar>
            <w:vAlign w:val="center"/>
          </w:tcPr>
          <w:p w14:paraId="3A55AE00" w14:textId="77777777" w:rsidR="00C75D90" w:rsidRPr="009D5B83" w:rsidRDefault="00C75D90" w:rsidP="00C75D90">
            <w:pPr>
              <w:widowControl w:val="0"/>
              <w:suppressAutoHyphens/>
              <w:jc w:val="center"/>
              <w:rPr>
                <w:sz w:val="20"/>
                <w:szCs w:val="20"/>
              </w:rPr>
            </w:pPr>
            <w:r w:rsidRPr="009D5B83">
              <w:rPr>
                <w:sz w:val="20"/>
                <w:szCs w:val="20"/>
              </w:rPr>
              <w:t>320,0</w:t>
            </w:r>
          </w:p>
        </w:tc>
        <w:tc>
          <w:tcPr>
            <w:tcW w:w="794" w:type="dxa"/>
            <w:tcBorders>
              <w:left w:val="single" w:sz="4" w:space="0" w:color="000000"/>
              <w:bottom w:val="single" w:sz="4" w:space="0" w:color="000000"/>
            </w:tcBorders>
            <w:tcMar>
              <w:left w:w="0" w:type="dxa"/>
              <w:right w:w="0" w:type="dxa"/>
            </w:tcMar>
            <w:vAlign w:val="center"/>
          </w:tcPr>
          <w:p w14:paraId="0400FEC2" w14:textId="77777777" w:rsidR="00C75D90" w:rsidRPr="009D5B83" w:rsidRDefault="00C75D90" w:rsidP="00C75D90">
            <w:pPr>
              <w:widowControl w:val="0"/>
              <w:suppressAutoHyphens/>
              <w:ind w:left="57"/>
              <w:jc w:val="center"/>
              <w:rPr>
                <w:sz w:val="20"/>
                <w:szCs w:val="20"/>
              </w:rPr>
            </w:pPr>
            <w:r w:rsidRPr="009D5B83">
              <w:rPr>
                <w:sz w:val="20"/>
                <w:szCs w:val="20"/>
              </w:rPr>
              <w:t>-273,7</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353A1A44"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-46,1</w:t>
            </w:r>
          </w:p>
        </w:tc>
      </w:tr>
      <w:tr w:rsidR="00C75D90" w:rsidRPr="009D5B83" w14:paraId="40BBA30A"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70D01491" w14:textId="77777777" w:rsidR="00C75D90" w:rsidRPr="009D5B83" w:rsidRDefault="00C75D90" w:rsidP="00C75D90">
            <w:pPr>
              <w:widowControl w:val="0"/>
              <w:suppressAutoHyphens/>
              <w:jc w:val="both"/>
              <w:rPr>
                <w:sz w:val="20"/>
                <w:szCs w:val="20"/>
              </w:rPr>
            </w:pPr>
            <w:r w:rsidRPr="009D5B83">
              <w:rPr>
                <w:sz w:val="20"/>
                <w:szCs w:val="20"/>
              </w:rPr>
              <w:t>Охрана окружающей среды</w:t>
            </w:r>
          </w:p>
        </w:tc>
        <w:tc>
          <w:tcPr>
            <w:tcW w:w="1187" w:type="dxa"/>
            <w:tcBorders>
              <w:left w:val="single" w:sz="4" w:space="0" w:color="000000"/>
              <w:bottom w:val="single" w:sz="4" w:space="0" w:color="000000"/>
            </w:tcBorders>
            <w:tcMar>
              <w:left w:w="0" w:type="dxa"/>
              <w:right w:w="0" w:type="dxa"/>
            </w:tcMar>
            <w:vAlign w:val="center"/>
          </w:tcPr>
          <w:p w14:paraId="79B1EE17" w14:textId="77777777" w:rsidR="00C75D90" w:rsidRPr="009D5B83" w:rsidRDefault="00C75D90" w:rsidP="00C75D90">
            <w:pPr>
              <w:widowControl w:val="0"/>
              <w:suppressAutoHyphens/>
              <w:jc w:val="center"/>
              <w:rPr>
                <w:sz w:val="20"/>
                <w:szCs w:val="20"/>
              </w:rPr>
            </w:pPr>
            <w:r w:rsidRPr="009D5B83">
              <w:rPr>
                <w:sz w:val="20"/>
                <w:szCs w:val="20"/>
              </w:rPr>
              <w:t>405,1</w:t>
            </w:r>
          </w:p>
        </w:tc>
        <w:tc>
          <w:tcPr>
            <w:tcW w:w="1188" w:type="dxa"/>
            <w:tcBorders>
              <w:left w:val="single" w:sz="4" w:space="0" w:color="000000"/>
              <w:bottom w:val="single" w:sz="4" w:space="0" w:color="000000"/>
            </w:tcBorders>
            <w:tcMar>
              <w:left w:w="0" w:type="dxa"/>
              <w:right w:w="0" w:type="dxa"/>
            </w:tcMar>
            <w:vAlign w:val="center"/>
          </w:tcPr>
          <w:p w14:paraId="3A07EC74" w14:textId="77777777" w:rsidR="00C75D90" w:rsidRPr="009D5B83" w:rsidRDefault="00C75D90" w:rsidP="00C75D90">
            <w:pPr>
              <w:widowControl w:val="0"/>
              <w:suppressAutoHyphens/>
              <w:jc w:val="center"/>
              <w:rPr>
                <w:sz w:val="20"/>
                <w:szCs w:val="20"/>
              </w:rPr>
            </w:pPr>
            <w:r w:rsidRPr="009D5B83">
              <w:rPr>
                <w:sz w:val="20"/>
                <w:szCs w:val="20"/>
              </w:rPr>
              <w:t>355,0</w:t>
            </w:r>
          </w:p>
        </w:tc>
        <w:tc>
          <w:tcPr>
            <w:tcW w:w="1023" w:type="dxa"/>
            <w:tcBorders>
              <w:left w:val="single" w:sz="4" w:space="0" w:color="000000"/>
              <w:bottom w:val="single" w:sz="4" w:space="0" w:color="000000"/>
            </w:tcBorders>
            <w:tcMar>
              <w:left w:w="0" w:type="dxa"/>
              <w:right w:w="0" w:type="dxa"/>
            </w:tcMar>
            <w:vAlign w:val="center"/>
          </w:tcPr>
          <w:p w14:paraId="5D0700F8" w14:textId="77777777" w:rsidR="00C75D90" w:rsidRPr="009D5B83" w:rsidRDefault="00C75D90" w:rsidP="00C75D90">
            <w:pPr>
              <w:widowControl w:val="0"/>
              <w:suppressAutoHyphens/>
              <w:jc w:val="center"/>
              <w:rPr>
                <w:sz w:val="20"/>
                <w:szCs w:val="20"/>
              </w:rPr>
            </w:pPr>
            <w:r w:rsidRPr="009D5B83">
              <w:rPr>
                <w:sz w:val="20"/>
                <w:szCs w:val="20"/>
              </w:rPr>
              <w:t>342,1</w:t>
            </w:r>
          </w:p>
        </w:tc>
        <w:tc>
          <w:tcPr>
            <w:tcW w:w="1023" w:type="dxa"/>
            <w:tcBorders>
              <w:left w:val="single" w:sz="4" w:space="0" w:color="000000"/>
              <w:bottom w:val="single" w:sz="4" w:space="0" w:color="000000"/>
            </w:tcBorders>
            <w:tcMar>
              <w:left w:w="0" w:type="dxa"/>
              <w:right w:w="0" w:type="dxa"/>
            </w:tcMar>
            <w:vAlign w:val="center"/>
          </w:tcPr>
          <w:p w14:paraId="70BD1A55" w14:textId="77777777" w:rsidR="00C75D90" w:rsidRPr="009D5B83" w:rsidRDefault="00C75D90" w:rsidP="00C75D90">
            <w:pPr>
              <w:widowControl w:val="0"/>
              <w:suppressAutoHyphens/>
              <w:jc w:val="center"/>
              <w:rPr>
                <w:sz w:val="20"/>
                <w:szCs w:val="20"/>
              </w:rPr>
            </w:pPr>
            <w:r w:rsidRPr="009D5B83">
              <w:rPr>
                <w:sz w:val="20"/>
                <w:szCs w:val="20"/>
              </w:rPr>
              <w:t>318,1</w:t>
            </w:r>
          </w:p>
        </w:tc>
        <w:tc>
          <w:tcPr>
            <w:tcW w:w="1074" w:type="dxa"/>
            <w:tcBorders>
              <w:left w:val="single" w:sz="4" w:space="0" w:color="000000"/>
              <w:bottom w:val="single" w:sz="4" w:space="0" w:color="000000"/>
            </w:tcBorders>
            <w:tcMar>
              <w:left w:w="0" w:type="dxa"/>
              <w:right w:w="0" w:type="dxa"/>
            </w:tcMar>
            <w:vAlign w:val="center"/>
          </w:tcPr>
          <w:p w14:paraId="21A832D4" w14:textId="77777777" w:rsidR="00C75D90" w:rsidRPr="009D5B83" w:rsidRDefault="00C75D90" w:rsidP="00C75D90">
            <w:pPr>
              <w:widowControl w:val="0"/>
              <w:suppressAutoHyphens/>
              <w:jc w:val="center"/>
              <w:rPr>
                <w:sz w:val="20"/>
                <w:szCs w:val="20"/>
              </w:rPr>
            </w:pPr>
            <w:r w:rsidRPr="009D5B83">
              <w:rPr>
                <w:sz w:val="20"/>
                <w:szCs w:val="20"/>
              </w:rPr>
              <w:t>262,0</w:t>
            </w:r>
          </w:p>
        </w:tc>
        <w:tc>
          <w:tcPr>
            <w:tcW w:w="794" w:type="dxa"/>
            <w:tcBorders>
              <w:left w:val="single" w:sz="4" w:space="0" w:color="000000"/>
              <w:bottom w:val="single" w:sz="4" w:space="0" w:color="000000"/>
            </w:tcBorders>
            <w:tcMar>
              <w:left w:w="0" w:type="dxa"/>
              <w:right w:w="0" w:type="dxa"/>
            </w:tcMar>
            <w:vAlign w:val="center"/>
          </w:tcPr>
          <w:p w14:paraId="4CB2C3E9" w14:textId="77777777" w:rsidR="00C75D90" w:rsidRPr="009D5B83" w:rsidRDefault="00C75D90" w:rsidP="00C75D90">
            <w:pPr>
              <w:widowControl w:val="0"/>
              <w:suppressAutoHyphens/>
              <w:ind w:left="57"/>
              <w:jc w:val="center"/>
              <w:rPr>
                <w:sz w:val="20"/>
                <w:szCs w:val="20"/>
              </w:rPr>
            </w:pPr>
            <w:r w:rsidRPr="009D5B83">
              <w:rPr>
                <w:sz w:val="20"/>
                <w:szCs w:val="20"/>
              </w:rPr>
              <w:t>-143,1</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011293C5"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-35,3</w:t>
            </w:r>
          </w:p>
        </w:tc>
      </w:tr>
      <w:tr w:rsidR="00C75D90" w:rsidRPr="009D5B83" w14:paraId="7CA71ECE"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796A927E" w14:textId="77777777" w:rsidR="00C75D90" w:rsidRPr="009D5B83" w:rsidRDefault="00C75D90" w:rsidP="00C75D90">
            <w:pPr>
              <w:widowControl w:val="0"/>
              <w:suppressAutoHyphens/>
              <w:jc w:val="both"/>
              <w:rPr>
                <w:sz w:val="20"/>
                <w:szCs w:val="20"/>
              </w:rPr>
            </w:pPr>
            <w:r w:rsidRPr="009D5B83">
              <w:rPr>
                <w:sz w:val="20"/>
                <w:szCs w:val="20"/>
              </w:rPr>
              <w:t>Образование</w:t>
            </w:r>
          </w:p>
        </w:tc>
        <w:tc>
          <w:tcPr>
            <w:tcW w:w="1187" w:type="dxa"/>
            <w:tcBorders>
              <w:left w:val="single" w:sz="4" w:space="0" w:color="000000"/>
              <w:bottom w:val="single" w:sz="4" w:space="0" w:color="000000"/>
            </w:tcBorders>
            <w:tcMar>
              <w:left w:w="0" w:type="dxa"/>
              <w:right w:w="0" w:type="dxa"/>
            </w:tcMar>
            <w:vAlign w:val="center"/>
          </w:tcPr>
          <w:p w14:paraId="0882EB9B" w14:textId="77777777" w:rsidR="00C75D90" w:rsidRPr="009D5B83" w:rsidRDefault="00C75D90" w:rsidP="00C75D90">
            <w:pPr>
              <w:widowControl w:val="0"/>
              <w:suppressAutoHyphens/>
              <w:jc w:val="center"/>
              <w:rPr>
                <w:sz w:val="20"/>
                <w:szCs w:val="20"/>
              </w:rPr>
            </w:pPr>
            <w:r w:rsidRPr="009D5B83">
              <w:rPr>
                <w:sz w:val="20"/>
                <w:szCs w:val="20"/>
              </w:rPr>
              <w:t>1 064,4</w:t>
            </w:r>
          </w:p>
        </w:tc>
        <w:tc>
          <w:tcPr>
            <w:tcW w:w="1188" w:type="dxa"/>
            <w:tcBorders>
              <w:left w:val="single" w:sz="4" w:space="0" w:color="000000"/>
              <w:bottom w:val="single" w:sz="4" w:space="0" w:color="000000"/>
            </w:tcBorders>
            <w:tcMar>
              <w:left w:w="0" w:type="dxa"/>
              <w:right w:w="0" w:type="dxa"/>
            </w:tcMar>
            <w:vAlign w:val="center"/>
          </w:tcPr>
          <w:p w14:paraId="2195484A" w14:textId="77777777" w:rsidR="00C75D90" w:rsidRPr="009D5B83" w:rsidRDefault="00C75D90" w:rsidP="00C75D90">
            <w:pPr>
              <w:widowControl w:val="0"/>
              <w:suppressAutoHyphens/>
              <w:jc w:val="center"/>
              <w:rPr>
                <w:sz w:val="20"/>
                <w:szCs w:val="20"/>
              </w:rPr>
            </w:pPr>
            <w:r w:rsidRPr="009D5B83">
              <w:rPr>
                <w:sz w:val="20"/>
                <w:szCs w:val="20"/>
              </w:rPr>
              <w:t>1 319,2</w:t>
            </w:r>
          </w:p>
        </w:tc>
        <w:tc>
          <w:tcPr>
            <w:tcW w:w="1023" w:type="dxa"/>
            <w:tcBorders>
              <w:left w:val="single" w:sz="4" w:space="0" w:color="000000"/>
              <w:bottom w:val="single" w:sz="4" w:space="0" w:color="000000"/>
            </w:tcBorders>
            <w:tcMar>
              <w:left w:w="0" w:type="dxa"/>
              <w:right w:w="0" w:type="dxa"/>
            </w:tcMar>
            <w:vAlign w:val="center"/>
          </w:tcPr>
          <w:p w14:paraId="77031473" w14:textId="77777777" w:rsidR="00C75D90" w:rsidRPr="009D5B83" w:rsidRDefault="00C75D90" w:rsidP="00C75D90">
            <w:pPr>
              <w:widowControl w:val="0"/>
              <w:suppressAutoHyphens/>
              <w:jc w:val="center"/>
              <w:rPr>
                <w:sz w:val="20"/>
                <w:szCs w:val="20"/>
              </w:rPr>
            </w:pPr>
            <w:r w:rsidRPr="009D5B83">
              <w:rPr>
                <w:sz w:val="20"/>
                <w:szCs w:val="20"/>
              </w:rPr>
              <w:t>1 362,8</w:t>
            </w:r>
          </w:p>
        </w:tc>
        <w:tc>
          <w:tcPr>
            <w:tcW w:w="1023" w:type="dxa"/>
            <w:tcBorders>
              <w:left w:val="single" w:sz="4" w:space="0" w:color="000000"/>
              <w:bottom w:val="single" w:sz="4" w:space="0" w:color="000000"/>
            </w:tcBorders>
            <w:tcMar>
              <w:left w:w="0" w:type="dxa"/>
              <w:right w:w="0" w:type="dxa"/>
            </w:tcMar>
            <w:vAlign w:val="center"/>
          </w:tcPr>
          <w:p w14:paraId="4C346A40" w14:textId="77777777" w:rsidR="00C75D90" w:rsidRPr="009D5B83" w:rsidRDefault="00C75D90" w:rsidP="00C75D90">
            <w:pPr>
              <w:widowControl w:val="0"/>
              <w:suppressAutoHyphens/>
              <w:jc w:val="center"/>
              <w:rPr>
                <w:sz w:val="20"/>
                <w:szCs w:val="20"/>
              </w:rPr>
            </w:pPr>
            <w:r w:rsidRPr="009D5B83">
              <w:rPr>
                <w:sz w:val="20"/>
                <w:szCs w:val="20"/>
              </w:rPr>
              <w:t>1 428,5</w:t>
            </w:r>
          </w:p>
        </w:tc>
        <w:tc>
          <w:tcPr>
            <w:tcW w:w="1074" w:type="dxa"/>
            <w:tcBorders>
              <w:left w:val="single" w:sz="4" w:space="0" w:color="000000"/>
              <w:bottom w:val="single" w:sz="4" w:space="0" w:color="000000"/>
            </w:tcBorders>
            <w:tcMar>
              <w:left w:w="0" w:type="dxa"/>
              <w:right w:w="0" w:type="dxa"/>
            </w:tcMar>
            <w:vAlign w:val="center"/>
          </w:tcPr>
          <w:p w14:paraId="11DCF770" w14:textId="77777777" w:rsidR="00C75D90" w:rsidRPr="009D5B83" w:rsidRDefault="00C75D90" w:rsidP="00C75D90">
            <w:pPr>
              <w:widowControl w:val="0"/>
              <w:suppressAutoHyphens/>
              <w:jc w:val="center"/>
              <w:rPr>
                <w:sz w:val="20"/>
                <w:szCs w:val="20"/>
              </w:rPr>
            </w:pPr>
            <w:r w:rsidRPr="009D5B83">
              <w:rPr>
                <w:sz w:val="20"/>
                <w:szCs w:val="20"/>
              </w:rPr>
              <w:t>1 234,2</w:t>
            </w:r>
          </w:p>
        </w:tc>
        <w:tc>
          <w:tcPr>
            <w:tcW w:w="794" w:type="dxa"/>
            <w:tcBorders>
              <w:left w:val="single" w:sz="4" w:space="0" w:color="000000"/>
              <w:bottom w:val="single" w:sz="4" w:space="0" w:color="000000"/>
            </w:tcBorders>
            <w:tcMar>
              <w:left w:w="0" w:type="dxa"/>
              <w:right w:w="0" w:type="dxa"/>
            </w:tcMar>
            <w:vAlign w:val="center"/>
          </w:tcPr>
          <w:p w14:paraId="650D4386" w14:textId="77777777" w:rsidR="00C75D90" w:rsidRPr="009D5B83" w:rsidRDefault="00C75D90" w:rsidP="00C75D90">
            <w:pPr>
              <w:widowControl w:val="0"/>
              <w:suppressAutoHyphens/>
              <w:ind w:left="57"/>
              <w:jc w:val="center"/>
              <w:rPr>
                <w:sz w:val="20"/>
                <w:szCs w:val="20"/>
              </w:rPr>
            </w:pPr>
            <w:r w:rsidRPr="009D5B83">
              <w:rPr>
                <w:sz w:val="20"/>
                <w:szCs w:val="20"/>
              </w:rPr>
              <w:t>169,8</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48E46297"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16,0</w:t>
            </w:r>
          </w:p>
        </w:tc>
      </w:tr>
      <w:tr w:rsidR="00C75D90" w:rsidRPr="009D5B83" w14:paraId="62494BD8"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3255D0E1" w14:textId="77777777" w:rsidR="00C75D90" w:rsidRPr="009D5B83" w:rsidRDefault="00C75D90" w:rsidP="00C75D90">
            <w:pPr>
              <w:widowControl w:val="0"/>
              <w:suppressAutoHyphens/>
              <w:jc w:val="both"/>
              <w:rPr>
                <w:sz w:val="20"/>
                <w:szCs w:val="20"/>
              </w:rPr>
            </w:pPr>
            <w:r w:rsidRPr="009D5B83">
              <w:rPr>
                <w:sz w:val="20"/>
                <w:szCs w:val="20"/>
              </w:rPr>
              <w:t>Культура, кинематография</w:t>
            </w:r>
          </w:p>
        </w:tc>
        <w:tc>
          <w:tcPr>
            <w:tcW w:w="1187" w:type="dxa"/>
            <w:tcBorders>
              <w:left w:val="single" w:sz="4" w:space="0" w:color="000000"/>
              <w:bottom w:val="single" w:sz="4" w:space="0" w:color="000000"/>
            </w:tcBorders>
            <w:tcMar>
              <w:left w:w="0" w:type="dxa"/>
              <w:right w:w="0" w:type="dxa"/>
            </w:tcMar>
            <w:vAlign w:val="center"/>
          </w:tcPr>
          <w:p w14:paraId="213B0DF3" w14:textId="77777777" w:rsidR="00C75D90" w:rsidRPr="009D5B83" w:rsidRDefault="00C75D90" w:rsidP="00C75D90">
            <w:pPr>
              <w:widowControl w:val="0"/>
              <w:suppressAutoHyphens/>
              <w:jc w:val="center"/>
              <w:rPr>
                <w:sz w:val="20"/>
                <w:szCs w:val="20"/>
              </w:rPr>
            </w:pPr>
            <w:r w:rsidRPr="009D5B83">
              <w:rPr>
                <w:sz w:val="20"/>
                <w:szCs w:val="20"/>
              </w:rPr>
              <w:t>146,7</w:t>
            </w:r>
          </w:p>
        </w:tc>
        <w:tc>
          <w:tcPr>
            <w:tcW w:w="1188" w:type="dxa"/>
            <w:tcBorders>
              <w:left w:val="single" w:sz="4" w:space="0" w:color="000000"/>
              <w:bottom w:val="single" w:sz="4" w:space="0" w:color="000000"/>
            </w:tcBorders>
            <w:tcMar>
              <w:left w:w="0" w:type="dxa"/>
              <w:right w:w="0" w:type="dxa"/>
            </w:tcMar>
            <w:vAlign w:val="center"/>
          </w:tcPr>
          <w:p w14:paraId="7192DE51" w14:textId="77777777" w:rsidR="00C75D90" w:rsidRPr="009D5B83" w:rsidRDefault="00C75D90" w:rsidP="00C75D90">
            <w:pPr>
              <w:widowControl w:val="0"/>
              <w:suppressAutoHyphens/>
              <w:jc w:val="center"/>
              <w:rPr>
                <w:sz w:val="20"/>
                <w:szCs w:val="20"/>
              </w:rPr>
            </w:pPr>
            <w:r w:rsidRPr="009D5B83">
              <w:rPr>
                <w:sz w:val="20"/>
                <w:szCs w:val="20"/>
              </w:rPr>
              <w:t>204,6</w:t>
            </w:r>
          </w:p>
        </w:tc>
        <w:tc>
          <w:tcPr>
            <w:tcW w:w="1023" w:type="dxa"/>
            <w:tcBorders>
              <w:left w:val="single" w:sz="4" w:space="0" w:color="000000"/>
              <w:bottom w:val="single" w:sz="4" w:space="0" w:color="000000"/>
            </w:tcBorders>
            <w:tcMar>
              <w:left w:w="0" w:type="dxa"/>
              <w:right w:w="0" w:type="dxa"/>
            </w:tcMar>
            <w:vAlign w:val="center"/>
          </w:tcPr>
          <w:p w14:paraId="2A67CEBA" w14:textId="77777777" w:rsidR="00C75D90" w:rsidRPr="009D5B83" w:rsidRDefault="00C75D90" w:rsidP="00C75D90">
            <w:pPr>
              <w:widowControl w:val="0"/>
              <w:suppressAutoHyphens/>
              <w:jc w:val="center"/>
              <w:rPr>
                <w:sz w:val="20"/>
                <w:szCs w:val="20"/>
              </w:rPr>
            </w:pPr>
            <w:r w:rsidRPr="009D5B83">
              <w:rPr>
                <w:sz w:val="20"/>
                <w:szCs w:val="20"/>
              </w:rPr>
              <w:t>196,1</w:t>
            </w:r>
          </w:p>
        </w:tc>
        <w:tc>
          <w:tcPr>
            <w:tcW w:w="1023" w:type="dxa"/>
            <w:tcBorders>
              <w:left w:val="single" w:sz="4" w:space="0" w:color="000000"/>
              <w:bottom w:val="single" w:sz="4" w:space="0" w:color="000000"/>
            </w:tcBorders>
            <w:tcMar>
              <w:left w:w="0" w:type="dxa"/>
              <w:right w:w="0" w:type="dxa"/>
            </w:tcMar>
            <w:vAlign w:val="center"/>
          </w:tcPr>
          <w:p w14:paraId="6B726E70" w14:textId="77777777" w:rsidR="00C75D90" w:rsidRPr="009D5B83" w:rsidRDefault="00C75D90" w:rsidP="00C75D90">
            <w:pPr>
              <w:widowControl w:val="0"/>
              <w:suppressAutoHyphens/>
              <w:jc w:val="center"/>
              <w:rPr>
                <w:sz w:val="20"/>
                <w:szCs w:val="20"/>
              </w:rPr>
            </w:pPr>
            <w:r w:rsidRPr="009D5B83">
              <w:rPr>
                <w:sz w:val="20"/>
                <w:szCs w:val="20"/>
              </w:rPr>
              <w:t>203,6</w:t>
            </w:r>
          </w:p>
        </w:tc>
        <w:tc>
          <w:tcPr>
            <w:tcW w:w="1074" w:type="dxa"/>
            <w:tcBorders>
              <w:left w:val="single" w:sz="4" w:space="0" w:color="000000"/>
              <w:bottom w:val="single" w:sz="4" w:space="0" w:color="000000"/>
            </w:tcBorders>
            <w:tcMar>
              <w:left w:w="0" w:type="dxa"/>
              <w:right w:w="0" w:type="dxa"/>
            </w:tcMar>
            <w:vAlign w:val="center"/>
          </w:tcPr>
          <w:p w14:paraId="2003B9B9" w14:textId="77777777" w:rsidR="00C75D90" w:rsidRPr="009D5B83" w:rsidRDefault="00C75D90" w:rsidP="00C75D90">
            <w:pPr>
              <w:widowControl w:val="0"/>
              <w:suppressAutoHyphens/>
              <w:jc w:val="center"/>
              <w:rPr>
                <w:sz w:val="20"/>
                <w:szCs w:val="20"/>
              </w:rPr>
            </w:pPr>
            <w:r w:rsidRPr="009D5B83">
              <w:rPr>
                <w:sz w:val="20"/>
                <w:szCs w:val="20"/>
              </w:rPr>
              <w:t>171,1</w:t>
            </w:r>
          </w:p>
        </w:tc>
        <w:tc>
          <w:tcPr>
            <w:tcW w:w="794" w:type="dxa"/>
            <w:tcBorders>
              <w:left w:val="single" w:sz="4" w:space="0" w:color="000000"/>
              <w:bottom w:val="single" w:sz="4" w:space="0" w:color="000000"/>
            </w:tcBorders>
            <w:tcMar>
              <w:left w:w="0" w:type="dxa"/>
              <w:right w:w="0" w:type="dxa"/>
            </w:tcMar>
            <w:vAlign w:val="center"/>
          </w:tcPr>
          <w:p w14:paraId="49F8AB93" w14:textId="77777777" w:rsidR="00C75D90" w:rsidRPr="009D5B83" w:rsidRDefault="00C75D90" w:rsidP="00C75D90">
            <w:pPr>
              <w:widowControl w:val="0"/>
              <w:suppressAutoHyphens/>
              <w:ind w:left="57"/>
              <w:jc w:val="center"/>
              <w:rPr>
                <w:sz w:val="20"/>
                <w:szCs w:val="20"/>
              </w:rPr>
            </w:pPr>
            <w:r w:rsidRPr="009D5B83">
              <w:rPr>
                <w:sz w:val="20"/>
                <w:szCs w:val="20"/>
              </w:rPr>
              <w:t>24,4</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63DAF72C"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16,6</w:t>
            </w:r>
          </w:p>
        </w:tc>
      </w:tr>
      <w:tr w:rsidR="00C75D90" w:rsidRPr="009D5B83" w14:paraId="3308B256"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30EF76C9" w14:textId="77777777" w:rsidR="00C75D90" w:rsidRPr="009D5B83" w:rsidRDefault="00C75D90" w:rsidP="00C75D90">
            <w:pPr>
              <w:widowControl w:val="0"/>
              <w:suppressAutoHyphens/>
              <w:jc w:val="both"/>
              <w:rPr>
                <w:sz w:val="20"/>
                <w:szCs w:val="20"/>
              </w:rPr>
            </w:pPr>
            <w:r w:rsidRPr="009D5B83">
              <w:rPr>
                <w:sz w:val="20"/>
                <w:szCs w:val="20"/>
              </w:rPr>
              <w:t>Здравоохранение</w:t>
            </w:r>
          </w:p>
        </w:tc>
        <w:tc>
          <w:tcPr>
            <w:tcW w:w="1187" w:type="dxa"/>
            <w:tcBorders>
              <w:left w:val="single" w:sz="4" w:space="0" w:color="000000"/>
              <w:bottom w:val="single" w:sz="4" w:space="0" w:color="000000"/>
            </w:tcBorders>
            <w:tcMar>
              <w:left w:w="0" w:type="dxa"/>
              <w:right w:w="0" w:type="dxa"/>
            </w:tcMar>
            <w:vAlign w:val="center"/>
          </w:tcPr>
          <w:p w14:paraId="6DACC446" w14:textId="77777777" w:rsidR="00C75D90" w:rsidRPr="009D5B83" w:rsidRDefault="00C75D90" w:rsidP="00C75D90">
            <w:pPr>
              <w:widowControl w:val="0"/>
              <w:suppressAutoHyphens/>
              <w:jc w:val="center"/>
              <w:rPr>
                <w:sz w:val="20"/>
                <w:szCs w:val="20"/>
              </w:rPr>
            </w:pPr>
            <w:r w:rsidRPr="009D5B83">
              <w:rPr>
                <w:sz w:val="20"/>
                <w:szCs w:val="20"/>
              </w:rPr>
              <w:t>1 473,9</w:t>
            </w:r>
          </w:p>
        </w:tc>
        <w:tc>
          <w:tcPr>
            <w:tcW w:w="1188" w:type="dxa"/>
            <w:tcBorders>
              <w:left w:val="single" w:sz="4" w:space="0" w:color="000000"/>
              <w:bottom w:val="single" w:sz="4" w:space="0" w:color="000000"/>
            </w:tcBorders>
            <w:tcMar>
              <w:left w:w="0" w:type="dxa"/>
              <w:right w:w="0" w:type="dxa"/>
            </w:tcMar>
            <w:vAlign w:val="center"/>
          </w:tcPr>
          <w:p w14:paraId="17F2A7AB" w14:textId="77777777" w:rsidR="00C75D90" w:rsidRPr="009D5B83" w:rsidRDefault="00C75D90" w:rsidP="00C75D90">
            <w:pPr>
              <w:widowControl w:val="0"/>
              <w:suppressAutoHyphens/>
              <w:jc w:val="center"/>
              <w:rPr>
                <w:sz w:val="20"/>
                <w:szCs w:val="20"/>
              </w:rPr>
            </w:pPr>
            <w:r w:rsidRPr="009D5B83">
              <w:rPr>
                <w:sz w:val="20"/>
                <w:szCs w:val="20"/>
              </w:rPr>
              <w:t>1 533,0</w:t>
            </w:r>
          </w:p>
        </w:tc>
        <w:tc>
          <w:tcPr>
            <w:tcW w:w="1023" w:type="dxa"/>
            <w:tcBorders>
              <w:left w:val="single" w:sz="4" w:space="0" w:color="000000"/>
              <w:bottom w:val="single" w:sz="4" w:space="0" w:color="000000"/>
            </w:tcBorders>
            <w:tcMar>
              <w:left w:w="0" w:type="dxa"/>
              <w:right w:w="0" w:type="dxa"/>
            </w:tcMar>
            <w:vAlign w:val="center"/>
          </w:tcPr>
          <w:p w14:paraId="531716DF" w14:textId="77777777" w:rsidR="00C75D90" w:rsidRPr="009D5B83" w:rsidRDefault="00C75D90" w:rsidP="00C75D90">
            <w:pPr>
              <w:widowControl w:val="0"/>
              <w:suppressAutoHyphens/>
              <w:jc w:val="center"/>
              <w:rPr>
                <w:sz w:val="20"/>
                <w:szCs w:val="20"/>
              </w:rPr>
            </w:pPr>
            <w:r w:rsidRPr="009D5B83">
              <w:rPr>
                <w:sz w:val="20"/>
                <w:szCs w:val="20"/>
              </w:rPr>
              <w:t>1 469,4</w:t>
            </w:r>
          </w:p>
        </w:tc>
        <w:tc>
          <w:tcPr>
            <w:tcW w:w="1023" w:type="dxa"/>
            <w:tcBorders>
              <w:left w:val="single" w:sz="4" w:space="0" w:color="000000"/>
              <w:bottom w:val="single" w:sz="4" w:space="0" w:color="000000"/>
            </w:tcBorders>
            <w:tcMar>
              <w:left w:w="0" w:type="dxa"/>
              <w:right w:w="0" w:type="dxa"/>
            </w:tcMar>
            <w:vAlign w:val="center"/>
          </w:tcPr>
          <w:p w14:paraId="37D55B5A" w14:textId="77777777" w:rsidR="00C75D90" w:rsidRPr="009D5B83" w:rsidRDefault="00C75D90" w:rsidP="00C75D90">
            <w:pPr>
              <w:widowControl w:val="0"/>
              <w:suppressAutoHyphens/>
              <w:jc w:val="center"/>
              <w:rPr>
                <w:sz w:val="20"/>
                <w:szCs w:val="20"/>
              </w:rPr>
            </w:pPr>
            <w:r w:rsidRPr="009D5B83">
              <w:rPr>
                <w:sz w:val="20"/>
                <w:szCs w:val="20"/>
              </w:rPr>
              <w:t>1 493,2</w:t>
            </w:r>
          </w:p>
        </w:tc>
        <w:tc>
          <w:tcPr>
            <w:tcW w:w="1074" w:type="dxa"/>
            <w:tcBorders>
              <w:left w:val="single" w:sz="4" w:space="0" w:color="000000"/>
              <w:bottom w:val="single" w:sz="4" w:space="0" w:color="000000"/>
            </w:tcBorders>
            <w:tcMar>
              <w:left w:w="0" w:type="dxa"/>
              <w:right w:w="0" w:type="dxa"/>
            </w:tcMar>
            <w:vAlign w:val="center"/>
          </w:tcPr>
          <w:p w14:paraId="0F1E6C95" w14:textId="77777777" w:rsidR="00C75D90" w:rsidRPr="009D5B83" w:rsidRDefault="00C75D90" w:rsidP="00C75D90">
            <w:pPr>
              <w:widowControl w:val="0"/>
              <w:suppressAutoHyphens/>
              <w:jc w:val="center"/>
              <w:rPr>
                <w:sz w:val="20"/>
                <w:szCs w:val="20"/>
              </w:rPr>
            </w:pPr>
            <w:r w:rsidRPr="009D5B83">
              <w:rPr>
                <w:sz w:val="20"/>
                <w:szCs w:val="20"/>
              </w:rPr>
              <w:t>1 510,3</w:t>
            </w:r>
          </w:p>
        </w:tc>
        <w:tc>
          <w:tcPr>
            <w:tcW w:w="794" w:type="dxa"/>
            <w:tcBorders>
              <w:left w:val="single" w:sz="4" w:space="0" w:color="000000"/>
              <w:bottom w:val="single" w:sz="4" w:space="0" w:color="000000"/>
            </w:tcBorders>
            <w:tcMar>
              <w:left w:w="0" w:type="dxa"/>
              <w:right w:w="0" w:type="dxa"/>
            </w:tcMar>
            <w:vAlign w:val="center"/>
          </w:tcPr>
          <w:p w14:paraId="1D383E4A" w14:textId="77777777" w:rsidR="00C75D90" w:rsidRPr="009D5B83" w:rsidRDefault="00C75D90" w:rsidP="00C75D90">
            <w:pPr>
              <w:widowControl w:val="0"/>
              <w:suppressAutoHyphens/>
              <w:ind w:left="57"/>
              <w:jc w:val="center"/>
              <w:rPr>
                <w:sz w:val="20"/>
                <w:szCs w:val="20"/>
              </w:rPr>
            </w:pPr>
            <w:r w:rsidRPr="009D5B83">
              <w:rPr>
                <w:sz w:val="20"/>
                <w:szCs w:val="20"/>
              </w:rPr>
              <w:t>36,4</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11BA4C2A"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2,5</w:t>
            </w:r>
          </w:p>
        </w:tc>
      </w:tr>
      <w:tr w:rsidR="00C75D90" w:rsidRPr="009D5B83" w14:paraId="4D889EBF"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6FAE673A" w14:textId="77777777" w:rsidR="00C75D90" w:rsidRPr="009D5B83" w:rsidRDefault="00C75D90" w:rsidP="00C75D90">
            <w:pPr>
              <w:widowControl w:val="0"/>
              <w:suppressAutoHyphens/>
              <w:jc w:val="both"/>
              <w:rPr>
                <w:sz w:val="20"/>
                <w:szCs w:val="20"/>
              </w:rPr>
            </w:pPr>
            <w:r w:rsidRPr="009D5B83">
              <w:rPr>
                <w:sz w:val="20"/>
                <w:szCs w:val="20"/>
              </w:rPr>
              <w:t>Социальная политика</w:t>
            </w:r>
          </w:p>
        </w:tc>
        <w:tc>
          <w:tcPr>
            <w:tcW w:w="1187" w:type="dxa"/>
            <w:tcBorders>
              <w:left w:val="single" w:sz="4" w:space="0" w:color="000000"/>
              <w:bottom w:val="single" w:sz="4" w:space="0" w:color="000000"/>
            </w:tcBorders>
            <w:tcMar>
              <w:left w:w="0" w:type="dxa"/>
              <w:right w:w="0" w:type="dxa"/>
            </w:tcMar>
            <w:vAlign w:val="center"/>
          </w:tcPr>
          <w:p w14:paraId="10BB220C" w14:textId="77777777" w:rsidR="00C75D90" w:rsidRPr="009D5B83" w:rsidRDefault="00C75D90" w:rsidP="00C75D90">
            <w:pPr>
              <w:widowControl w:val="0"/>
              <w:suppressAutoHyphens/>
              <w:jc w:val="center"/>
              <w:rPr>
                <w:sz w:val="20"/>
                <w:szCs w:val="20"/>
              </w:rPr>
            </w:pPr>
            <w:r w:rsidRPr="009D5B83">
              <w:rPr>
                <w:sz w:val="20"/>
                <w:szCs w:val="20"/>
              </w:rPr>
              <w:t>6 675,8</w:t>
            </w:r>
          </w:p>
        </w:tc>
        <w:tc>
          <w:tcPr>
            <w:tcW w:w="1188" w:type="dxa"/>
            <w:tcBorders>
              <w:left w:val="single" w:sz="4" w:space="0" w:color="000000"/>
              <w:bottom w:val="single" w:sz="4" w:space="0" w:color="000000"/>
            </w:tcBorders>
            <w:tcMar>
              <w:left w:w="0" w:type="dxa"/>
              <w:right w:w="0" w:type="dxa"/>
            </w:tcMar>
            <w:vAlign w:val="center"/>
          </w:tcPr>
          <w:p w14:paraId="7615D124" w14:textId="77777777" w:rsidR="00C75D90" w:rsidRPr="009D5B83" w:rsidRDefault="00C75D90" w:rsidP="00C75D90">
            <w:pPr>
              <w:widowControl w:val="0"/>
              <w:suppressAutoHyphens/>
              <w:jc w:val="center"/>
              <w:rPr>
                <w:sz w:val="20"/>
                <w:szCs w:val="20"/>
              </w:rPr>
            </w:pPr>
            <w:r w:rsidRPr="009D5B83">
              <w:rPr>
                <w:sz w:val="20"/>
                <w:szCs w:val="20"/>
              </w:rPr>
              <w:t>6 453,3</w:t>
            </w:r>
          </w:p>
        </w:tc>
        <w:tc>
          <w:tcPr>
            <w:tcW w:w="1023" w:type="dxa"/>
            <w:tcBorders>
              <w:left w:val="single" w:sz="4" w:space="0" w:color="000000"/>
              <w:bottom w:val="single" w:sz="4" w:space="0" w:color="000000"/>
            </w:tcBorders>
            <w:tcMar>
              <w:left w:w="0" w:type="dxa"/>
              <w:right w:w="0" w:type="dxa"/>
            </w:tcMar>
            <w:vAlign w:val="center"/>
          </w:tcPr>
          <w:p w14:paraId="3E05476B" w14:textId="77777777" w:rsidR="00C75D90" w:rsidRPr="009D5B83" w:rsidRDefault="00C75D90" w:rsidP="00C75D90">
            <w:pPr>
              <w:widowControl w:val="0"/>
              <w:suppressAutoHyphens/>
              <w:jc w:val="center"/>
              <w:rPr>
                <w:sz w:val="20"/>
                <w:szCs w:val="20"/>
              </w:rPr>
            </w:pPr>
            <w:r w:rsidRPr="009D5B83">
              <w:rPr>
                <w:sz w:val="20"/>
                <w:szCs w:val="20"/>
              </w:rPr>
              <w:t>7 343,1</w:t>
            </w:r>
          </w:p>
        </w:tc>
        <w:tc>
          <w:tcPr>
            <w:tcW w:w="1023" w:type="dxa"/>
            <w:tcBorders>
              <w:left w:val="single" w:sz="4" w:space="0" w:color="000000"/>
              <w:bottom w:val="single" w:sz="4" w:space="0" w:color="000000"/>
            </w:tcBorders>
            <w:tcMar>
              <w:left w:w="0" w:type="dxa"/>
              <w:right w:w="0" w:type="dxa"/>
            </w:tcMar>
            <w:vAlign w:val="center"/>
          </w:tcPr>
          <w:p w14:paraId="6B9198BA" w14:textId="77777777" w:rsidR="00C75D90" w:rsidRPr="009D5B83" w:rsidRDefault="00C75D90" w:rsidP="00C75D90">
            <w:pPr>
              <w:widowControl w:val="0"/>
              <w:suppressAutoHyphens/>
              <w:jc w:val="center"/>
              <w:rPr>
                <w:sz w:val="20"/>
                <w:szCs w:val="20"/>
              </w:rPr>
            </w:pPr>
            <w:r w:rsidRPr="009D5B83">
              <w:rPr>
                <w:sz w:val="20"/>
                <w:szCs w:val="20"/>
              </w:rPr>
              <w:t>7 299,4</w:t>
            </w:r>
          </w:p>
        </w:tc>
        <w:tc>
          <w:tcPr>
            <w:tcW w:w="1074" w:type="dxa"/>
            <w:tcBorders>
              <w:left w:val="single" w:sz="4" w:space="0" w:color="000000"/>
              <w:bottom w:val="single" w:sz="4" w:space="0" w:color="000000"/>
            </w:tcBorders>
            <w:tcMar>
              <w:left w:w="0" w:type="dxa"/>
              <w:right w:w="0" w:type="dxa"/>
            </w:tcMar>
            <w:vAlign w:val="center"/>
          </w:tcPr>
          <w:p w14:paraId="4B9D1500" w14:textId="77777777" w:rsidR="00C75D90" w:rsidRPr="009D5B83" w:rsidRDefault="00C75D90" w:rsidP="00C75D90">
            <w:pPr>
              <w:widowControl w:val="0"/>
              <w:suppressAutoHyphens/>
              <w:jc w:val="center"/>
              <w:rPr>
                <w:sz w:val="20"/>
                <w:szCs w:val="20"/>
              </w:rPr>
            </w:pPr>
            <w:r w:rsidRPr="009D5B83">
              <w:rPr>
                <w:sz w:val="20"/>
                <w:szCs w:val="20"/>
              </w:rPr>
              <w:t>7 152,8</w:t>
            </w:r>
          </w:p>
        </w:tc>
        <w:tc>
          <w:tcPr>
            <w:tcW w:w="794" w:type="dxa"/>
            <w:tcBorders>
              <w:left w:val="single" w:sz="4" w:space="0" w:color="000000"/>
              <w:bottom w:val="single" w:sz="4" w:space="0" w:color="000000"/>
            </w:tcBorders>
            <w:tcMar>
              <w:left w:w="0" w:type="dxa"/>
              <w:right w:w="0" w:type="dxa"/>
            </w:tcMar>
            <w:vAlign w:val="center"/>
          </w:tcPr>
          <w:p w14:paraId="643B7D89" w14:textId="77777777" w:rsidR="00C75D90" w:rsidRPr="009D5B83" w:rsidRDefault="00C75D90" w:rsidP="00C75D90">
            <w:pPr>
              <w:widowControl w:val="0"/>
              <w:suppressAutoHyphens/>
              <w:ind w:left="57"/>
              <w:jc w:val="center"/>
              <w:rPr>
                <w:sz w:val="20"/>
                <w:szCs w:val="20"/>
              </w:rPr>
            </w:pPr>
            <w:r w:rsidRPr="009D5B83">
              <w:rPr>
                <w:sz w:val="20"/>
                <w:szCs w:val="20"/>
              </w:rPr>
              <w:t>477,0</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594BD71F"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7,1</w:t>
            </w:r>
          </w:p>
        </w:tc>
      </w:tr>
      <w:tr w:rsidR="00C75D90" w:rsidRPr="009D5B83" w14:paraId="512A88D9"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0D3EE11A" w14:textId="77777777" w:rsidR="00C75D90" w:rsidRPr="009D5B83" w:rsidRDefault="00C75D90" w:rsidP="00C75D90">
            <w:pPr>
              <w:widowControl w:val="0"/>
              <w:suppressAutoHyphens/>
              <w:jc w:val="both"/>
              <w:rPr>
                <w:sz w:val="20"/>
                <w:szCs w:val="20"/>
              </w:rPr>
            </w:pPr>
            <w:r w:rsidRPr="009D5B83">
              <w:rPr>
                <w:sz w:val="20"/>
                <w:szCs w:val="20"/>
              </w:rPr>
              <w:t>Физическая культура и спорт</w:t>
            </w:r>
          </w:p>
        </w:tc>
        <w:tc>
          <w:tcPr>
            <w:tcW w:w="1187" w:type="dxa"/>
            <w:tcBorders>
              <w:left w:val="single" w:sz="4" w:space="0" w:color="000000"/>
              <w:bottom w:val="single" w:sz="4" w:space="0" w:color="000000"/>
            </w:tcBorders>
            <w:tcMar>
              <w:left w:w="0" w:type="dxa"/>
              <w:right w:w="0" w:type="dxa"/>
            </w:tcMar>
            <w:vAlign w:val="center"/>
          </w:tcPr>
          <w:p w14:paraId="404E6282" w14:textId="77777777" w:rsidR="00C75D90" w:rsidRPr="009D5B83" w:rsidRDefault="00C75D90" w:rsidP="00C75D90">
            <w:pPr>
              <w:widowControl w:val="0"/>
              <w:suppressAutoHyphens/>
              <w:jc w:val="center"/>
              <w:rPr>
                <w:sz w:val="20"/>
                <w:szCs w:val="20"/>
              </w:rPr>
            </w:pPr>
            <w:r w:rsidRPr="009D5B83">
              <w:rPr>
                <w:sz w:val="20"/>
                <w:szCs w:val="20"/>
              </w:rPr>
              <w:t>70,9</w:t>
            </w:r>
          </w:p>
        </w:tc>
        <w:tc>
          <w:tcPr>
            <w:tcW w:w="1188" w:type="dxa"/>
            <w:tcBorders>
              <w:left w:val="single" w:sz="4" w:space="0" w:color="000000"/>
              <w:bottom w:val="single" w:sz="4" w:space="0" w:color="000000"/>
            </w:tcBorders>
            <w:tcMar>
              <w:left w:w="0" w:type="dxa"/>
              <w:right w:w="0" w:type="dxa"/>
            </w:tcMar>
            <w:vAlign w:val="center"/>
          </w:tcPr>
          <w:p w14:paraId="1A25FAAF" w14:textId="77777777" w:rsidR="00C75D90" w:rsidRPr="009D5B83" w:rsidRDefault="00C75D90" w:rsidP="00C75D90">
            <w:pPr>
              <w:widowControl w:val="0"/>
              <w:suppressAutoHyphens/>
              <w:jc w:val="center"/>
              <w:rPr>
                <w:sz w:val="20"/>
                <w:szCs w:val="20"/>
              </w:rPr>
            </w:pPr>
            <w:r w:rsidRPr="009D5B83">
              <w:rPr>
                <w:sz w:val="20"/>
                <w:szCs w:val="20"/>
              </w:rPr>
              <w:t>89,5</w:t>
            </w:r>
          </w:p>
        </w:tc>
        <w:tc>
          <w:tcPr>
            <w:tcW w:w="1023" w:type="dxa"/>
            <w:tcBorders>
              <w:left w:val="single" w:sz="4" w:space="0" w:color="000000"/>
              <w:bottom w:val="single" w:sz="4" w:space="0" w:color="000000"/>
            </w:tcBorders>
            <w:tcMar>
              <w:left w:w="0" w:type="dxa"/>
              <w:right w:w="0" w:type="dxa"/>
            </w:tcMar>
            <w:vAlign w:val="center"/>
          </w:tcPr>
          <w:p w14:paraId="3E0EBCCD" w14:textId="77777777" w:rsidR="00C75D90" w:rsidRPr="009D5B83" w:rsidRDefault="00C75D90" w:rsidP="00C75D90">
            <w:pPr>
              <w:widowControl w:val="0"/>
              <w:suppressAutoHyphens/>
              <w:jc w:val="center"/>
              <w:rPr>
                <w:sz w:val="20"/>
                <w:szCs w:val="20"/>
              </w:rPr>
            </w:pPr>
            <w:r w:rsidRPr="009D5B83">
              <w:rPr>
                <w:sz w:val="20"/>
                <w:szCs w:val="20"/>
              </w:rPr>
              <w:t>68,0</w:t>
            </w:r>
          </w:p>
        </w:tc>
        <w:tc>
          <w:tcPr>
            <w:tcW w:w="1023" w:type="dxa"/>
            <w:tcBorders>
              <w:left w:val="single" w:sz="4" w:space="0" w:color="000000"/>
              <w:bottom w:val="single" w:sz="4" w:space="0" w:color="000000"/>
            </w:tcBorders>
            <w:tcMar>
              <w:left w:w="0" w:type="dxa"/>
              <w:right w:w="0" w:type="dxa"/>
            </w:tcMar>
            <w:vAlign w:val="center"/>
          </w:tcPr>
          <w:p w14:paraId="566DEB46" w14:textId="77777777" w:rsidR="00C75D90" w:rsidRPr="009D5B83" w:rsidRDefault="00C75D90" w:rsidP="00C75D90">
            <w:pPr>
              <w:widowControl w:val="0"/>
              <w:suppressAutoHyphens/>
              <w:jc w:val="center"/>
              <w:rPr>
                <w:sz w:val="20"/>
                <w:szCs w:val="20"/>
              </w:rPr>
            </w:pPr>
            <w:r w:rsidRPr="009D5B83">
              <w:rPr>
                <w:sz w:val="20"/>
                <w:szCs w:val="20"/>
              </w:rPr>
              <w:t>62,2</w:t>
            </w:r>
          </w:p>
        </w:tc>
        <w:tc>
          <w:tcPr>
            <w:tcW w:w="1074" w:type="dxa"/>
            <w:tcBorders>
              <w:left w:val="single" w:sz="4" w:space="0" w:color="000000"/>
              <w:bottom w:val="single" w:sz="4" w:space="0" w:color="000000"/>
            </w:tcBorders>
            <w:tcMar>
              <w:left w:w="0" w:type="dxa"/>
              <w:right w:w="0" w:type="dxa"/>
            </w:tcMar>
            <w:vAlign w:val="center"/>
          </w:tcPr>
          <w:p w14:paraId="51E7BE5C" w14:textId="77777777" w:rsidR="00C75D90" w:rsidRPr="009D5B83" w:rsidRDefault="00C75D90" w:rsidP="00C75D90">
            <w:pPr>
              <w:widowControl w:val="0"/>
              <w:suppressAutoHyphens/>
              <w:jc w:val="center"/>
              <w:rPr>
                <w:sz w:val="20"/>
                <w:szCs w:val="20"/>
              </w:rPr>
            </w:pPr>
            <w:r w:rsidRPr="009D5B83">
              <w:rPr>
                <w:sz w:val="20"/>
                <w:szCs w:val="20"/>
              </w:rPr>
              <w:t>53,8</w:t>
            </w:r>
          </w:p>
        </w:tc>
        <w:tc>
          <w:tcPr>
            <w:tcW w:w="794" w:type="dxa"/>
            <w:tcBorders>
              <w:left w:val="single" w:sz="4" w:space="0" w:color="000000"/>
              <w:bottom w:val="single" w:sz="4" w:space="0" w:color="000000"/>
            </w:tcBorders>
            <w:tcMar>
              <w:left w:w="0" w:type="dxa"/>
              <w:right w:w="0" w:type="dxa"/>
            </w:tcMar>
            <w:vAlign w:val="center"/>
          </w:tcPr>
          <w:p w14:paraId="427EB8C5" w14:textId="77777777" w:rsidR="00C75D90" w:rsidRPr="009D5B83" w:rsidRDefault="00C75D90" w:rsidP="00C75D90">
            <w:pPr>
              <w:widowControl w:val="0"/>
              <w:suppressAutoHyphens/>
              <w:ind w:left="57"/>
              <w:jc w:val="center"/>
              <w:rPr>
                <w:sz w:val="20"/>
                <w:szCs w:val="20"/>
              </w:rPr>
            </w:pPr>
            <w:r w:rsidRPr="009D5B83">
              <w:rPr>
                <w:sz w:val="20"/>
                <w:szCs w:val="20"/>
              </w:rPr>
              <w:t>-17,1</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1283463F"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-24,1</w:t>
            </w:r>
          </w:p>
        </w:tc>
      </w:tr>
      <w:tr w:rsidR="00C75D90" w:rsidRPr="009D5B83" w14:paraId="03164DF5"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67D0BBE1" w14:textId="77777777" w:rsidR="00C75D90" w:rsidRPr="009D5B83" w:rsidRDefault="00C75D90" w:rsidP="00C75D90">
            <w:pPr>
              <w:widowControl w:val="0"/>
              <w:suppressAutoHyphens/>
              <w:jc w:val="both"/>
              <w:rPr>
                <w:sz w:val="20"/>
                <w:szCs w:val="20"/>
              </w:rPr>
            </w:pPr>
            <w:r w:rsidRPr="009D5B83">
              <w:rPr>
                <w:sz w:val="20"/>
                <w:szCs w:val="20"/>
              </w:rPr>
              <w:t>СМИ</w:t>
            </w:r>
          </w:p>
        </w:tc>
        <w:tc>
          <w:tcPr>
            <w:tcW w:w="1187" w:type="dxa"/>
            <w:tcBorders>
              <w:left w:val="single" w:sz="4" w:space="0" w:color="000000"/>
              <w:bottom w:val="single" w:sz="4" w:space="0" w:color="000000"/>
            </w:tcBorders>
            <w:tcMar>
              <w:left w:w="0" w:type="dxa"/>
              <w:right w:w="0" w:type="dxa"/>
            </w:tcMar>
            <w:vAlign w:val="center"/>
          </w:tcPr>
          <w:p w14:paraId="4DC498C7" w14:textId="77777777" w:rsidR="00C75D90" w:rsidRPr="009D5B83" w:rsidRDefault="00C75D90" w:rsidP="00C75D90">
            <w:pPr>
              <w:widowControl w:val="0"/>
              <w:suppressAutoHyphens/>
              <w:jc w:val="center"/>
              <w:rPr>
                <w:sz w:val="20"/>
                <w:szCs w:val="20"/>
              </w:rPr>
            </w:pPr>
            <w:r w:rsidRPr="009D5B83">
              <w:rPr>
                <w:sz w:val="20"/>
                <w:szCs w:val="20"/>
              </w:rPr>
              <w:t>114,0</w:t>
            </w:r>
          </w:p>
        </w:tc>
        <w:tc>
          <w:tcPr>
            <w:tcW w:w="1188" w:type="dxa"/>
            <w:tcBorders>
              <w:left w:val="single" w:sz="4" w:space="0" w:color="000000"/>
              <w:bottom w:val="single" w:sz="4" w:space="0" w:color="000000"/>
            </w:tcBorders>
            <w:tcMar>
              <w:left w:w="0" w:type="dxa"/>
              <w:right w:w="0" w:type="dxa"/>
            </w:tcMar>
            <w:vAlign w:val="center"/>
          </w:tcPr>
          <w:p w14:paraId="0A25F5AB" w14:textId="77777777" w:rsidR="00C75D90" w:rsidRPr="009D5B83" w:rsidRDefault="00C75D90" w:rsidP="00C75D90">
            <w:pPr>
              <w:widowControl w:val="0"/>
              <w:suppressAutoHyphens/>
              <w:jc w:val="center"/>
              <w:rPr>
                <w:sz w:val="20"/>
                <w:szCs w:val="20"/>
              </w:rPr>
            </w:pPr>
            <w:r w:rsidRPr="009D5B83">
              <w:rPr>
                <w:sz w:val="20"/>
                <w:szCs w:val="20"/>
              </w:rPr>
              <w:t>128,2</w:t>
            </w:r>
          </w:p>
        </w:tc>
        <w:tc>
          <w:tcPr>
            <w:tcW w:w="1023" w:type="dxa"/>
            <w:tcBorders>
              <w:left w:val="single" w:sz="4" w:space="0" w:color="000000"/>
              <w:bottom w:val="single" w:sz="4" w:space="0" w:color="000000"/>
            </w:tcBorders>
            <w:tcMar>
              <w:left w:w="0" w:type="dxa"/>
              <w:right w:w="0" w:type="dxa"/>
            </w:tcMar>
            <w:vAlign w:val="center"/>
          </w:tcPr>
          <w:p w14:paraId="6D4E5FC2" w14:textId="77777777" w:rsidR="00C75D90" w:rsidRPr="009D5B83" w:rsidRDefault="00C75D90" w:rsidP="00C75D90">
            <w:pPr>
              <w:widowControl w:val="0"/>
              <w:suppressAutoHyphens/>
              <w:jc w:val="center"/>
              <w:rPr>
                <w:sz w:val="20"/>
                <w:szCs w:val="20"/>
              </w:rPr>
            </w:pPr>
            <w:r w:rsidRPr="009D5B83">
              <w:rPr>
                <w:sz w:val="20"/>
                <w:szCs w:val="20"/>
              </w:rPr>
              <w:t>118,0</w:t>
            </w:r>
          </w:p>
        </w:tc>
        <w:tc>
          <w:tcPr>
            <w:tcW w:w="1023" w:type="dxa"/>
            <w:tcBorders>
              <w:left w:val="single" w:sz="4" w:space="0" w:color="000000"/>
              <w:bottom w:val="single" w:sz="4" w:space="0" w:color="000000"/>
            </w:tcBorders>
            <w:tcMar>
              <w:left w:w="0" w:type="dxa"/>
              <w:right w:w="0" w:type="dxa"/>
            </w:tcMar>
            <w:vAlign w:val="center"/>
          </w:tcPr>
          <w:p w14:paraId="72BC8FFB" w14:textId="77777777" w:rsidR="00C75D90" w:rsidRPr="009D5B83" w:rsidRDefault="00C75D90" w:rsidP="00C75D90">
            <w:pPr>
              <w:widowControl w:val="0"/>
              <w:suppressAutoHyphens/>
              <w:jc w:val="center"/>
              <w:rPr>
                <w:sz w:val="20"/>
                <w:szCs w:val="20"/>
              </w:rPr>
            </w:pPr>
            <w:r w:rsidRPr="009D5B83">
              <w:rPr>
                <w:sz w:val="20"/>
                <w:szCs w:val="20"/>
              </w:rPr>
              <w:t>108,7</w:t>
            </w:r>
          </w:p>
        </w:tc>
        <w:tc>
          <w:tcPr>
            <w:tcW w:w="1074" w:type="dxa"/>
            <w:tcBorders>
              <w:left w:val="single" w:sz="4" w:space="0" w:color="000000"/>
              <w:bottom w:val="single" w:sz="4" w:space="0" w:color="000000"/>
            </w:tcBorders>
            <w:tcMar>
              <w:left w:w="0" w:type="dxa"/>
              <w:right w:w="0" w:type="dxa"/>
            </w:tcMar>
            <w:vAlign w:val="center"/>
          </w:tcPr>
          <w:p w14:paraId="46EC8FC9" w14:textId="77777777" w:rsidR="00C75D90" w:rsidRPr="009D5B83" w:rsidRDefault="00C75D90" w:rsidP="00C75D90">
            <w:pPr>
              <w:widowControl w:val="0"/>
              <w:suppressAutoHyphens/>
              <w:jc w:val="center"/>
              <w:rPr>
                <w:sz w:val="20"/>
                <w:szCs w:val="20"/>
              </w:rPr>
            </w:pPr>
            <w:r w:rsidRPr="009D5B83">
              <w:rPr>
                <w:sz w:val="20"/>
                <w:szCs w:val="20"/>
              </w:rPr>
              <w:t>109,1</w:t>
            </w:r>
          </w:p>
        </w:tc>
        <w:tc>
          <w:tcPr>
            <w:tcW w:w="794" w:type="dxa"/>
            <w:tcBorders>
              <w:left w:val="single" w:sz="4" w:space="0" w:color="000000"/>
              <w:bottom w:val="single" w:sz="4" w:space="0" w:color="000000"/>
            </w:tcBorders>
            <w:tcMar>
              <w:left w:w="0" w:type="dxa"/>
              <w:right w:w="0" w:type="dxa"/>
            </w:tcMar>
            <w:vAlign w:val="center"/>
          </w:tcPr>
          <w:p w14:paraId="7C54F8BE" w14:textId="77777777" w:rsidR="00C75D90" w:rsidRPr="009D5B83" w:rsidRDefault="00C75D90" w:rsidP="00C75D90">
            <w:pPr>
              <w:widowControl w:val="0"/>
              <w:suppressAutoHyphens/>
              <w:ind w:left="57"/>
              <w:jc w:val="center"/>
              <w:rPr>
                <w:sz w:val="20"/>
                <w:szCs w:val="20"/>
              </w:rPr>
            </w:pPr>
            <w:r w:rsidRPr="009D5B83">
              <w:rPr>
                <w:sz w:val="20"/>
                <w:szCs w:val="20"/>
              </w:rPr>
              <w:t>-4,9</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62D79259"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-4,3</w:t>
            </w:r>
          </w:p>
        </w:tc>
      </w:tr>
      <w:tr w:rsidR="00C75D90" w:rsidRPr="009D5B83" w14:paraId="7F448187"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09B95985" w14:textId="77777777" w:rsidR="00C75D90" w:rsidRPr="009D5B83" w:rsidRDefault="00C75D90" w:rsidP="00C75D90">
            <w:pPr>
              <w:widowControl w:val="0"/>
              <w:suppressAutoHyphens/>
              <w:jc w:val="both"/>
              <w:rPr>
                <w:sz w:val="20"/>
                <w:szCs w:val="20"/>
              </w:rPr>
            </w:pPr>
            <w:r w:rsidRPr="009D5B83">
              <w:rPr>
                <w:sz w:val="20"/>
                <w:szCs w:val="20"/>
              </w:rPr>
              <w:t>Обслуживание государственного и муниципального долга</w:t>
            </w:r>
          </w:p>
        </w:tc>
        <w:tc>
          <w:tcPr>
            <w:tcW w:w="1187" w:type="dxa"/>
            <w:tcBorders>
              <w:left w:val="single" w:sz="4" w:space="0" w:color="000000"/>
              <w:bottom w:val="single" w:sz="4" w:space="0" w:color="000000"/>
            </w:tcBorders>
            <w:tcMar>
              <w:left w:w="0" w:type="dxa"/>
              <w:right w:w="0" w:type="dxa"/>
            </w:tcMar>
            <w:vAlign w:val="center"/>
          </w:tcPr>
          <w:p w14:paraId="26ABE88F" w14:textId="77777777" w:rsidR="00C75D90" w:rsidRPr="009D5B83" w:rsidRDefault="00C75D90" w:rsidP="00C75D90">
            <w:pPr>
              <w:widowControl w:val="0"/>
              <w:suppressAutoHyphens/>
              <w:jc w:val="center"/>
              <w:rPr>
                <w:sz w:val="20"/>
                <w:szCs w:val="20"/>
              </w:rPr>
            </w:pPr>
            <w:r w:rsidRPr="009D5B83">
              <w:rPr>
                <w:sz w:val="20"/>
                <w:szCs w:val="20"/>
              </w:rPr>
              <w:t>1 084,2</w:t>
            </w:r>
          </w:p>
        </w:tc>
        <w:tc>
          <w:tcPr>
            <w:tcW w:w="1188" w:type="dxa"/>
            <w:tcBorders>
              <w:left w:val="single" w:sz="4" w:space="0" w:color="000000"/>
              <w:bottom w:val="single" w:sz="4" w:space="0" w:color="000000"/>
            </w:tcBorders>
            <w:tcMar>
              <w:left w:w="0" w:type="dxa"/>
              <w:right w:w="0" w:type="dxa"/>
            </w:tcMar>
            <w:vAlign w:val="center"/>
          </w:tcPr>
          <w:p w14:paraId="2C058AFC" w14:textId="77777777" w:rsidR="00C75D90" w:rsidRPr="009D5B83" w:rsidRDefault="00C75D90" w:rsidP="00C75D90">
            <w:pPr>
              <w:widowControl w:val="0"/>
              <w:suppressAutoHyphens/>
              <w:jc w:val="center"/>
              <w:rPr>
                <w:sz w:val="20"/>
                <w:szCs w:val="20"/>
              </w:rPr>
            </w:pPr>
            <w:r w:rsidRPr="009D5B83">
              <w:rPr>
                <w:sz w:val="20"/>
                <w:szCs w:val="20"/>
              </w:rPr>
              <w:t>1 403,3</w:t>
            </w:r>
          </w:p>
        </w:tc>
        <w:tc>
          <w:tcPr>
            <w:tcW w:w="1023" w:type="dxa"/>
            <w:tcBorders>
              <w:left w:val="single" w:sz="4" w:space="0" w:color="000000"/>
              <w:bottom w:val="single" w:sz="4" w:space="0" w:color="000000"/>
            </w:tcBorders>
            <w:tcMar>
              <w:left w:w="0" w:type="dxa"/>
              <w:right w:w="0" w:type="dxa"/>
            </w:tcMar>
            <w:vAlign w:val="center"/>
          </w:tcPr>
          <w:p w14:paraId="6BB1B65B" w14:textId="77777777" w:rsidR="00C75D90" w:rsidRPr="009D5B83" w:rsidRDefault="00C75D90" w:rsidP="00C75D90">
            <w:pPr>
              <w:widowControl w:val="0"/>
              <w:suppressAutoHyphens/>
              <w:jc w:val="center"/>
              <w:rPr>
                <w:sz w:val="20"/>
                <w:szCs w:val="20"/>
              </w:rPr>
            </w:pPr>
            <w:r w:rsidRPr="009D5B83">
              <w:rPr>
                <w:sz w:val="20"/>
                <w:szCs w:val="20"/>
              </w:rPr>
              <w:t>1 519,3</w:t>
            </w:r>
          </w:p>
        </w:tc>
        <w:tc>
          <w:tcPr>
            <w:tcW w:w="1023" w:type="dxa"/>
            <w:tcBorders>
              <w:left w:val="single" w:sz="4" w:space="0" w:color="000000"/>
              <w:bottom w:val="single" w:sz="4" w:space="0" w:color="000000"/>
            </w:tcBorders>
            <w:tcMar>
              <w:left w:w="0" w:type="dxa"/>
              <w:right w:w="0" w:type="dxa"/>
            </w:tcMar>
            <w:vAlign w:val="center"/>
          </w:tcPr>
          <w:p w14:paraId="1BADAA39" w14:textId="77777777" w:rsidR="00C75D90" w:rsidRPr="009D5B83" w:rsidRDefault="00C75D90" w:rsidP="00C75D90">
            <w:pPr>
              <w:widowControl w:val="0"/>
              <w:suppressAutoHyphens/>
              <w:jc w:val="center"/>
              <w:rPr>
                <w:sz w:val="20"/>
                <w:szCs w:val="20"/>
              </w:rPr>
            </w:pPr>
            <w:r w:rsidRPr="009D5B83">
              <w:rPr>
                <w:sz w:val="20"/>
                <w:szCs w:val="20"/>
              </w:rPr>
              <w:t>1 625,1</w:t>
            </w:r>
          </w:p>
        </w:tc>
        <w:tc>
          <w:tcPr>
            <w:tcW w:w="1074" w:type="dxa"/>
            <w:tcBorders>
              <w:left w:val="single" w:sz="4" w:space="0" w:color="000000"/>
              <w:bottom w:val="single" w:sz="4" w:space="0" w:color="000000"/>
            </w:tcBorders>
            <w:tcMar>
              <w:left w:w="0" w:type="dxa"/>
              <w:right w:w="0" w:type="dxa"/>
            </w:tcMar>
            <w:vAlign w:val="center"/>
          </w:tcPr>
          <w:p w14:paraId="706810D0" w14:textId="77777777" w:rsidR="00C75D90" w:rsidRPr="009D5B83" w:rsidRDefault="00C75D90" w:rsidP="00C75D90">
            <w:pPr>
              <w:widowControl w:val="0"/>
              <w:suppressAutoHyphens/>
              <w:jc w:val="center"/>
              <w:rPr>
                <w:sz w:val="20"/>
                <w:szCs w:val="20"/>
              </w:rPr>
            </w:pPr>
            <w:r w:rsidRPr="009D5B83">
              <w:rPr>
                <w:sz w:val="20"/>
                <w:szCs w:val="20"/>
              </w:rPr>
              <w:t>1 878,3</w:t>
            </w:r>
          </w:p>
        </w:tc>
        <w:tc>
          <w:tcPr>
            <w:tcW w:w="794" w:type="dxa"/>
            <w:tcBorders>
              <w:left w:val="single" w:sz="4" w:space="0" w:color="000000"/>
              <w:bottom w:val="single" w:sz="4" w:space="0" w:color="000000"/>
            </w:tcBorders>
            <w:tcMar>
              <w:left w:w="0" w:type="dxa"/>
              <w:right w:w="0" w:type="dxa"/>
            </w:tcMar>
            <w:vAlign w:val="center"/>
          </w:tcPr>
          <w:p w14:paraId="635A0009" w14:textId="77777777" w:rsidR="00C75D90" w:rsidRPr="009D5B83" w:rsidRDefault="00C75D90" w:rsidP="00C75D90">
            <w:pPr>
              <w:widowControl w:val="0"/>
              <w:suppressAutoHyphens/>
              <w:ind w:left="57"/>
              <w:jc w:val="center"/>
              <w:rPr>
                <w:sz w:val="20"/>
                <w:szCs w:val="20"/>
              </w:rPr>
            </w:pPr>
            <w:r w:rsidRPr="009D5B83">
              <w:rPr>
                <w:sz w:val="20"/>
                <w:szCs w:val="20"/>
              </w:rPr>
              <w:t>794,1</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0EC03882" w14:textId="77777777" w:rsidR="00C75D90" w:rsidRPr="00E853B4" w:rsidRDefault="00C75D90" w:rsidP="00C75D90">
            <w:pPr>
              <w:widowControl w:val="0"/>
              <w:suppressAutoHyphens/>
              <w:ind w:left="113" w:right="113" w:hanging="57"/>
              <w:jc w:val="center"/>
              <w:rPr>
                <w:i/>
                <w:iCs/>
                <w:sz w:val="20"/>
                <w:szCs w:val="20"/>
              </w:rPr>
            </w:pPr>
            <w:r w:rsidRPr="00E853B4">
              <w:rPr>
                <w:i/>
                <w:iCs/>
                <w:sz w:val="20"/>
                <w:szCs w:val="20"/>
              </w:rPr>
              <w:t>73,2</w:t>
            </w:r>
          </w:p>
        </w:tc>
      </w:tr>
      <w:tr w:rsidR="00C75D90" w:rsidRPr="009D5B83" w14:paraId="680075B3"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022A21FD" w14:textId="77777777" w:rsidR="00C75D90" w:rsidRPr="009D5B83" w:rsidRDefault="00C75D90" w:rsidP="00C75D90">
            <w:pPr>
              <w:widowControl w:val="0"/>
              <w:suppressAutoHyphens/>
              <w:jc w:val="both"/>
              <w:rPr>
                <w:sz w:val="20"/>
                <w:szCs w:val="20"/>
              </w:rPr>
            </w:pPr>
            <w:r w:rsidRPr="009D5B83">
              <w:rPr>
                <w:sz w:val="20"/>
                <w:szCs w:val="20"/>
              </w:rPr>
              <w:t>Межбюджетные трансферты общего характера</w:t>
            </w:r>
          </w:p>
        </w:tc>
        <w:tc>
          <w:tcPr>
            <w:tcW w:w="1187" w:type="dxa"/>
            <w:tcBorders>
              <w:left w:val="single" w:sz="4" w:space="0" w:color="000000"/>
              <w:bottom w:val="single" w:sz="4" w:space="0" w:color="000000"/>
            </w:tcBorders>
            <w:tcMar>
              <w:left w:w="0" w:type="dxa"/>
              <w:right w:w="0" w:type="dxa"/>
            </w:tcMar>
            <w:vAlign w:val="center"/>
          </w:tcPr>
          <w:p w14:paraId="2566A9D3" w14:textId="77777777" w:rsidR="00C75D90" w:rsidRPr="009D5B83" w:rsidRDefault="00C75D90" w:rsidP="00C75D90">
            <w:pPr>
              <w:widowControl w:val="0"/>
              <w:suppressAutoHyphens/>
              <w:jc w:val="center"/>
              <w:rPr>
                <w:sz w:val="20"/>
                <w:szCs w:val="20"/>
              </w:rPr>
            </w:pPr>
            <w:r w:rsidRPr="009D5B83">
              <w:rPr>
                <w:sz w:val="20"/>
                <w:szCs w:val="20"/>
              </w:rPr>
              <w:t>1 107,7</w:t>
            </w:r>
          </w:p>
        </w:tc>
        <w:tc>
          <w:tcPr>
            <w:tcW w:w="1188" w:type="dxa"/>
            <w:tcBorders>
              <w:left w:val="single" w:sz="4" w:space="0" w:color="000000"/>
              <w:bottom w:val="single" w:sz="4" w:space="0" w:color="000000"/>
            </w:tcBorders>
            <w:tcMar>
              <w:left w:w="0" w:type="dxa"/>
              <w:right w:w="0" w:type="dxa"/>
            </w:tcMar>
            <w:vAlign w:val="center"/>
          </w:tcPr>
          <w:p w14:paraId="6E8DBEFF" w14:textId="77777777" w:rsidR="00C75D90" w:rsidRPr="009D5B83" w:rsidRDefault="00C75D90" w:rsidP="00C75D90">
            <w:pPr>
              <w:widowControl w:val="0"/>
              <w:suppressAutoHyphens/>
              <w:jc w:val="center"/>
              <w:rPr>
                <w:sz w:val="20"/>
                <w:szCs w:val="20"/>
              </w:rPr>
            </w:pPr>
            <w:r w:rsidRPr="009D5B83">
              <w:rPr>
                <w:sz w:val="20"/>
                <w:szCs w:val="20"/>
              </w:rPr>
              <w:t>1 069,1</w:t>
            </w:r>
          </w:p>
        </w:tc>
        <w:tc>
          <w:tcPr>
            <w:tcW w:w="1023" w:type="dxa"/>
            <w:tcBorders>
              <w:left w:val="single" w:sz="4" w:space="0" w:color="000000"/>
              <w:bottom w:val="single" w:sz="4" w:space="0" w:color="000000"/>
            </w:tcBorders>
            <w:tcMar>
              <w:left w:w="0" w:type="dxa"/>
              <w:right w:w="0" w:type="dxa"/>
            </w:tcMar>
            <w:vAlign w:val="center"/>
          </w:tcPr>
          <w:p w14:paraId="4EE52815" w14:textId="77777777" w:rsidR="00C75D90" w:rsidRPr="009D5B83" w:rsidRDefault="00C75D90" w:rsidP="00C75D90">
            <w:pPr>
              <w:widowControl w:val="0"/>
              <w:suppressAutoHyphens/>
              <w:jc w:val="center"/>
              <w:rPr>
                <w:sz w:val="20"/>
                <w:szCs w:val="20"/>
              </w:rPr>
            </w:pPr>
            <w:r w:rsidRPr="009D5B83">
              <w:rPr>
                <w:sz w:val="20"/>
                <w:szCs w:val="20"/>
              </w:rPr>
              <w:t>1 094,5</w:t>
            </w:r>
          </w:p>
        </w:tc>
        <w:tc>
          <w:tcPr>
            <w:tcW w:w="1023" w:type="dxa"/>
            <w:tcBorders>
              <w:left w:val="single" w:sz="4" w:space="0" w:color="000000"/>
              <w:bottom w:val="single" w:sz="4" w:space="0" w:color="000000"/>
            </w:tcBorders>
            <w:tcMar>
              <w:left w:w="0" w:type="dxa"/>
              <w:right w:w="0" w:type="dxa"/>
            </w:tcMar>
            <w:vAlign w:val="center"/>
          </w:tcPr>
          <w:p w14:paraId="483F99C0" w14:textId="77777777" w:rsidR="00C75D90" w:rsidRPr="009D5B83" w:rsidRDefault="00C75D90" w:rsidP="00C75D90">
            <w:pPr>
              <w:widowControl w:val="0"/>
              <w:suppressAutoHyphens/>
              <w:jc w:val="center"/>
              <w:rPr>
                <w:sz w:val="20"/>
                <w:szCs w:val="20"/>
              </w:rPr>
            </w:pPr>
            <w:r w:rsidRPr="009D5B83">
              <w:rPr>
                <w:sz w:val="20"/>
                <w:szCs w:val="20"/>
              </w:rPr>
              <w:t>1 114,8</w:t>
            </w:r>
          </w:p>
        </w:tc>
        <w:tc>
          <w:tcPr>
            <w:tcW w:w="1074" w:type="dxa"/>
            <w:tcBorders>
              <w:left w:val="single" w:sz="4" w:space="0" w:color="000000"/>
              <w:bottom w:val="single" w:sz="4" w:space="0" w:color="000000"/>
            </w:tcBorders>
            <w:tcMar>
              <w:left w:w="0" w:type="dxa"/>
              <w:right w:w="0" w:type="dxa"/>
            </w:tcMar>
            <w:vAlign w:val="center"/>
          </w:tcPr>
          <w:p w14:paraId="4AFA38B6" w14:textId="77777777" w:rsidR="00C75D90" w:rsidRPr="009D5B83" w:rsidRDefault="00C75D90" w:rsidP="00C75D90">
            <w:pPr>
              <w:widowControl w:val="0"/>
              <w:suppressAutoHyphens/>
              <w:jc w:val="center"/>
              <w:rPr>
                <w:sz w:val="20"/>
                <w:szCs w:val="20"/>
              </w:rPr>
            </w:pPr>
            <w:r w:rsidRPr="009D5B83">
              <w:rPr>
                <w:sz w:val="20"/>
                <w:szCs w:val="20"/>
              </w:rPr>
              <w:t>1 111,4</w:t>
            </w:r>
          </w:p>
        </w:tc>
        <w:tc>
          <w:tcPr>
            <w:tcW w:w="794" w:type="dxa"/>
            <w:tcBorders>
              <w:left w:val="single" w:sz="4" w:space="0" w:color="000000"/>
              <w:bottom w:val="single" w:sz="4" w:space="0" w:color="000000"/>
            </w:tcBorders>
            <w:tcMar>
              <w:left w:w="0" w:type="dxa"/>
              <w:right w:w="0" w:type="dxa"/>
            </w:tcMar>
            <w:vAlign w:val="center"/>
          </w:tcPr>
          <w:p w14:paraId="7C5E6F69" w14:textId="77777777" w:rsidR="00C75D90" w:rsidRPr="009D5B83" w:rsidRDefault="00C75D90" w:rsidP="00C75D90">
            <w:pPr>
              <w:widowControl w:val="0"/>
              <w:suppressAutoHyphens/>
              <w:ind w:left="57"/>
              <w:jc w:val="center"/>
              <w:rPr>
                <w:sz w:val="20"/>
                <w:szCs w:val="20"/>
              </w:rPr>
            </w:pPr>
            <w:r w:rsidRPr="009D5B83">
              <w:rPr>
                <w:sz w:val="20"/>
                <w:szCs w:val="20"/>
              </w:rPr>
              <w:t>3,7</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4DE5126B" w14:textId="77777777" w:rsidR="00C75D90" w:rsidRPr="009D5B83" w:rsidRDefault="00C75D90" w:rsidP="00C75D90">
            <w:pPr>
              <w:widowControl w:val="0"/>
              <w:suppressAutoHyphens/>
              <w:ind w:left="113" w:right="113" w:hanging="57"/>
              <w:jc w:val="center"/>
              <w:rPr>
                <w:sz w:val="20"/>
                <w:szCs w:val="20"/>
              </w:rPr>
            </w:pPr>
            <w:r w:rsidRPr="009D5B83">
              <w:rPr>
                <w:sz w:val="20"/>
                <w:szCs w:val="20"/>
              </w:rPr>
              <w:t>0,3</w:t>
            </w:r>
          </w:p>
        </w:tc>
      </w:tr>
      <w:tr w:rsidR="00C75D90" w:rsidRPr="009D5B83" w14:paraId="17DAE688" w14:textId="77777777" w:rsidTr="001B68A1">
        <w:tc>
          <w:tcPr>
            <w:tcW w:w="1819" w:type="dxa"/>
            <w:tcBorders>
              <w:top w:val="single" w:sz="4" w:space="0" w:color="000000"/>
              <w:left w:val="single" w:sz="4" w:space="0" w:color="000000"/>
              <w:bottom w:val="single" w:sz="4" w:space="0" w:color="000000"/>
              <w:right w:val="single" w:sz="4" w:space="0" w:color="000000"/>
            </w:tcBorders>
            <w:vAlign w:val="center"/>
          </w:tcPr>
          <w:p w14:paraId="74B04444" w14:textId="0134033C" w:rsidR="00C75D90" w:rsidRPr="009D5B83" w:rsidRDefault="00C75D90" w:rsidP="00C75D90">
            <w:pPr>
              <w:widowControl w:val="0"/>
              <w:suppressAutoHyphens/>
              <w:jc w:val="both"/>
              <w:rPr>
                <w:sz w:val="20"/>
                <w:szCs w:val="20"/>
              </w:rPr>
            </w:pPr>
            <w:r w:rsidRPr="009D5B83">
              <w:rPr>
                <w:sz w:val="20"/>
                <w:szCs w:val="20"/>
              </w:rPr>
              <w:t>Условно-утверждаемые расходы</w:t>
            </w:r>
          </w:p>
        </w:tc>
        <w:tc>
          <w:tcPr>
            <w:tcW w:w="1187" w:type="dxa"/>
            <w:tcBorders>
              <w:left w:val="single" w:sz="4" w:space="0" w:color="000000"/>
              <w:bottom w:val="single" w:sz="4" w:space="0" w:color="000000"/>
            </w:tcBorders>
            <w:tcMar>
              <w:left w:w="0" w:type="dxa"/>
              <w:right w:w="0" w:type="dxa"/>
            </w:tcMar>
            <w:vAlign w:val="center"/>
          </w:tcPr>
          <w:p w14:paraId="2937E8A7" w14:textId="77777777" w:rsidR="00C75D90" w:rsidRPr="009D5B83" w:rsidRDefault="00C75D90" w:rsidP="00C75D90">
            <w:pPr>
              <w:widowControl w:val="0"/>
              <w:suppressAutoHyphens/>
              <w:jc w:val="center"/>
              <w:rPr>
                <w:sz w:val="20"/>
                <w:szCs w:val="20"/>
              </w:rPr>
            </w:pPr>
            <w:r w:rsidRPr="009D5B83">
              <w:rPr>
                <w:sz w:val="20"/>
                <w:szCs w:val="20"/>
              </w:rPr>
              <w:t>-</w:t>
            </w:r>
          </w:p>
        </w:tc>
        <w:tc>
          <w:tcPr>
            <w:tcW w:w="1188" w:type="dxa"/>
            <w:tcBorders>
              <w:left w:val="single" w:sz="4" w:space="0" w:color="000000"/>
              <w:bottom w:val="single" w:sz="4" w:space="0" w:color="000000"/>
            </w:tcBorders>
            <w:tcMar>
              <w:left w:w="0" w:type="dxa"/>
              <w:right w:w="0" w:type="dxa"/>
            </w:tcMar>
            <w:vAlign w:val="center"/>
          </w:tcPr>
          <w:p w14:paraId="60E5238F" w14:textId="77777777" w:rsidR="00C75D90" w:rsidRPr="009D5B83" w:rsidRDefault="00C75D90" w:rsidP="00C75D90">
            <w:pPr>
              <w:widowControl w:val="0"/>
              <w:suppressAutoHyphens/>
              <w:jc w:val="center"/>
              <w:rPr>
                <w:sz w:val="20"/>
                <w:szCs w:val="20"/>
              </w:rPr>
            </w:pPr>
            <w:r w:rsidRPr="009D5B83">
              <w:rPr>
                <w:sz w:val="20"/>
                <w:szCs w:val="20"/>
              </w:rPr>
              <w:t>-</w:t>
            </w:r>
          </w:p>
        </w:tc>
        <w:tc>
          <w:tcPr>
            <w:tcW w:w="1023" w:type="dxa"/>
            <w:tcBorders>
              <w:left w:val="single" w:sz="4" w:space="0" w:color="000000"/>
              <w:bottom w:val="single" w:sz="4" w:space="0" w:color="000000"/>
            </w:tcBorders>
            <w:tcMar>
              <w:left w:w="0" w:type="dxa"/>
              <w:right w:w="0" w:type="dxa"/>
            </w:tcMar>
            <w:vAlign w:val="center"/>
          </w:tcPr>
          <w:p w14:paraId="51921D6F" w14:textId="77777777" w:rsidR="00C75D90" w:rsidRPr="009D5B83" w:rsidRDefault="00C75D90" w:rsidP="00C75D90">
            <w:pPr>
              <w:widowControl w:val="0"/>
              <w:suppressAutoHyphens/>
              <w:jc w:val="center"/>
              <w:rPr>
                <w:sz w:val="20"/>
                <w:szCs w:val="20"/>
              </w:rPr>
            </w:pPr>
            <w:r w:rsidRPr="009D5B83">
              <w:rPr>
                <w:sz w:val="20"/>
                <w:szCs w:val="20"/>
              </w:rPr>
              <w:t>-</w:t>
            </w:r>
          </w:p>
        </w:tc>
        <w:tc>
          <w:tcPr>
            <w:tcW w:w="1023" w:type="dxa"/>
            <w:tcBorders>
              <w:left w:val="single" w:sz="4" w:space="0" w:color="000000"/>
              <w:bottom w:val="single" w:sz="4" w:space="0" w:color="000000"/>
            </w:tcBorders>
            <w:tcMar>
              <w:left w:w="0" w:type="dxa"/>
              <w:right w:w="0" w:type="dxa"/>
            </w:tcMar>
            <w:vAlign w:val="center"/>
          </w:tcPr>
          <w:p w14:paraId="6D800828" w14:textId="77777777" w:rsidR="00C75D90" w:rsidRPr="009D5B83" w:rsidRDefault="00C75D90" w:rsidP="00C75D90">
            <w:pPr>
              <w:widowControl w:val="0"/>
              <w:suppressAutoHyphens/>
              <w:jc w:val="center"/>
              <w:rPr>
                <w:color w:val="000000"/>
                <w:sz w:val="20"/>
                <w:szCs w:val="20"/>
              </w:rPr>
            </w:pPr>
            <w:r w:rsidRPr="009D5B83">
              <w:rPr>
                <w:color w:val="000000"/>
                <w:sz w:val="20"/>
                <w:szCs w:val="20"/>
              </w:rPr>
              <w:t>735,8</w:t>
            </w:r>
          </w:p>
        </w:tc>
        <w:tc>
          <w:tcPr>
            <w:tcW w:w="1074" w:type="dxa"/>
            <w:tcBorders>
              <w:left w:val="single" w:sz="4" w:space="0" w:color="000000"/>
              <w:bottom w:val="single" w:sz="4" w:space="0" w:color="000000"/>
            </w:tcBorders>
            <w:tcMar>
              <w:left w:w="0" w:type="dxa"/>
              <w:right w:w="0" w:type="dxa"/>
            </w:tcMar>
            <w:vAlign w:val="center"/>
          </w:tcPr>
          <w:p w14:paraId="63C5E8C1" w14:textId="77777777" w:rsidR="00C75D90" w:rsidRPr="009D5B83" w:rsidRDefault="00C75D90" w:rsidP="00C75D90">
            <w:pPr>
              <w:widowControl w:val="0"/>
              <w:suppressAutoHyphens/>
              <w:jc w:val="center"/>
              <w:rPr>
                <w:sz w:val="20"/>
                <w:szCs w:val="20"/>
              </w:rPr>
            </w:pPr>
            <w:r w:rsidRPr="009D5B83">
              <w:rPr>
                <w:sz w:val="20"/>
                <w:szCs w:val="20"/>
              </w:rPr>
              <w:t>1 462,2</w:t>
            </w:r>
          </w:p>
        </w:tc>
        <w:tc>
          <w:tcPr>
            <w:tcW w:w="794" w:type="dxa"/>
            <w:tcBorders>
              <w:left w:val="single" w:sz="4" w:space="0" w:color="000000"/>
              <w:bottom w:val="single" w:sz="4" w:space="0" w:color="000000"/>
            </w:tcBorders>
            <w:tcMar>
              <w:left w:w="0" w:type="dxa"/>
              <w:right w:w="0" w:type="dxa"/>
            </w:tcMar>
            <w:vAlign w:val="center"/>
          </w:tcPr>
          <w:p w14:paraId="3A7F28A1" w14:textId="77777777" w:rsidR="00C75D90" w:rsidRPr="009D5B83" w:rsidRDefault="00C75D90" w:rsidP="00C75D90">
            <w:pPr>
              <w:widowControl w:val="0"/>
              <w:suppressAutoHyphens/>
              <w:ind w:left="57"/>
              <w:jc w:val="center"/>
              <w:rPr>
                <w:sz w:val="20"/>
                <w:szCs w:val="20"/>
              </w:rPr>
            </w:pPr>
            <w:r w:rsidRPr="009D5B83">
              <w:rPr>
                <w:sz w:val="20"/>
                <w:szCs w:val="20"/>
              </w:rPr>
              <w:t>1 462,2</w:t>
            </w:r>
          </w:p>
        </w:tc>
        <w:tc>
          <w:tcPr>
            <w:tcW w:w="961" w:type="dxa"/>
            <w:tcBorders>
              <w:left w:val="single" w:sz="4" w:space="0" w:color="000000"/>
              <w:bottom w:val="single" w:sz="4" w:space="0" w:color="000000"/>
              <w:right w:val="single" w:sz="4" w:space="0" w:color="000000"/>
            </w:tcBorders>
            <w:tcMar>
              <w:left w:w="0" w:type="dxa"/>
              <w:right w:w="0" w:type="dxa"/>
            </w:tcMar>
            <w:vAlign w:val="center"/>
          </w:tcPr>
          <w:p w14:paraId="3B466D46" w14:textId="77777777" w:rsidR="00C75D90" w:rsidRPr="009D5B83" w:rsidRDefault="00C75D90" w:rsidP="00C75D90">
            <w:pPr>
              <w:widowControl w:val="0"/>
              <w:suppressAutoHyphens/>
              <w:ind w:left="113" w:right="113" w:hanging="57"/>
              <w:jc w:val="center"/>
              <w:rPr>
                <w:sz w:val="20"/>
                <w:szCs w:val="20"/>
              </w:rPr>
            </w:pPr>
            <w:r w:rsidRPr="009D5B83">
              <w:rPr>
                <w:sz w:val="20"/>
                <w:szCs w:val="20"/>
              </w:rPr>
              <w:t>0,0</w:t>
            </w:r>
          </w:p>
        </w:tc>
      </w:tr>
    </w:tbl>
    <w:p w14:paraId="43CAA98D" w14:textId="77777777" w:rsidR="00C75D90" w:rsidRPr="009D5B83" w:rsidRDefault="00C75D90" w:rsidP="00C75D90">
      <w:pPr>
        <w:keepLines/>
        <w:suppressAutoHyphens/>
        <w:spacing w:after="120"/>
        <w:ind w:firstLine="708"/>
        <w:jc w:val="both"/>
      </w:pPr>
      <w:r w:rsidRPr="009D5B83">
        <w:rPr>
          <w:i/>
          <w:sz w:val="20"/>
        </w:rPr>
        <w:t>Источник:</w:t>
      </w:r>
      <w:r w:rsidRPr="009D5B83">
        <w:rPr>
          <w:sz w:val="20"/>
        </w:rPr>
        <w:t xml:space="preserve"> Пояснительная записка, Федеральное казначейство, расчеты авторов.</w:t>
      </w:r>
    </w:p>
    <w:p w14:paraId="50D75E43" w14:textId="77777777" w:rsidR="00C75D90" w:rsidRPr="00E103B9" w:rsidRDefault="00C75D90" w:rsidP="00C75D90">
      <w:pPr>
        <w:suppressAutoHyphens/>
        <w:spacing w:after="60"/>
        <w:ind w:firstLine="709"/>
        <w:jc w:val="both"/>
        <w:rPr>
          <w:sz w:val="28"/>
        </w:rPr>
      </w:pPr>
      <w:r w:rsidRPr="00E103B9">
        <w:rPr>
          <w:sz w:val="28"/>
        </w:rPr>
        <w:t>Среди наиболее заметных изменений в структуре федерального бюджета по функциональным разделам (по доле в общем объеме расходной части) в рассматриваемом периоде можно выделить:</w:t>
      </w:r>
    </w:p>
    <w:p w14:paraId="71481A96" w14:textId="77777777" w:rsidR="00C75D90" w:rsidRPr="00E103B9" w:rsidRDefault="00C75D90" w:rsidP="00C75D90">
      <w:pPr>
        <w:suppressAutoHyphens/>
        <w:spacing w:after="60"/>
        <w:ind w:firstLine="709"/>
        <w:jc w:val="both"/>
        <w:rPr>
          <w:sz w:val="28"/>
        </w:rPr>
      </w:pPr>
      <w:r w:rsidRPr="00E103B9">
        <w:rPr>
          <w:sz w:val="28"/>
        </w:rPr>
        <w:t xml:space="preserve">- сокращение доли расходов на жилищно-коммунальное хозяйство с 2,3% в 2022 г. до 1,2% в 2025 г. </w:t>
      </w:r>
    </w:p>
    <w:p w14:paraId="7630DC0F" w14:textId="77777777" w:rsidR="00C75D90" w:rsidRPr="00E103B9" w:rsidRDefault="00C75D90" w:rsidP="00C75D90">
      <w:pPr>
        <w:suppressAutoHyphens/>
        <w:spacing w:after="60"/>
        <w:ind w:firstLine="709"/>
        <w:jc w:val="both"/>
        <w:rPr>
          <w:sz w:val="28"/>
        </w:rPr>
      </w:pPr>
      <w:r w:rsidRPr="00E103B9">
        <w:rPr>
          <w:sz w:val="28"/>
        </w:rPr>
        <w:t>- сокращение доли расходов на охрану окружающей среды с 1,3% в 2022 г. до 0,9% в 2025 г.;</w:t>
      </w:r>
    </w:p>
    <w:p w14:paraId="4B77171F" w14:textId="77777777" w:rsidR="00C75D90" w:rsidRPr="00E103B9" w:rsidRDefault="00C75D90" w:rsidP="00C75D90">
      <w:pPr>
        <w:suppressAutoHyphens/>
        <w:spacing w:after="60"/>
        <w:ind w:firstLine="709"/>
        <w:jc w:val="both"/>
        <w:rPr>
          <w:sz w:val="28"/>
        </w:rPr>
      </w:pPr>
      <w:r w:rsidRPr="00E103B9">
        <w:rPr>
          <w:sz w:val="28"/>
        </w:rPr>
        <w:lastRenderedPageBreak/>
        <w:t>- увеличение доли расходов на социальную политику с 23,4% в 2022 г. до 25,7% в 2025 г.;</w:t>
      </w:r>
    </w:p>
    <w:p w14:paraId="32BEDADA" w14:textId="77777777" w:rsidR="00C75D90" w:rsidRPr="00E103B9" w:rsidRDefault="00C75D90" w:rsidP="00C75D90">
      <w:pPr>
        <w:suppressAutoHyphens/>
        <w:spacing w:after="60"/>
        <w:ind w:firstLine="709"/>
        <w:jc w:val="both"/>
        <w:rPr>
          <w:sz w:val="28"/>
        </w:rPr>
      </w:pPr>
      <w:r w:rsidRPr="00E103B9">
        <w:rPr>
          <w:sz w:val="28"/>
        </w:rPr>
        <w:t>- увеличение доли расходов на обслуживание государственного долга с 5,1% в 2022 г. до 6,8% в 2025 г.</w:t>
      </w:r>
    </w:p>
    <w:p w14:paraId="4FD02299" w14:textId="05E86EC7" w:rsidR="009D5B83" w:rsidRPr="00E103B9" w:rsidRDefault="00C75D90" w:rsidP="008637AE">
      <w:pPr>
        <w:suppressAutoHyphens/>
        <w:spacing w:after="60"/>
        <w:ind w:firstLine="709"/>
        <w:jc w:val="both"/>
        <w:rPr>
          <w:sz w:val="28"/>
          <w:szCs w:val="28"/>
        </w:rPr>
      </w:pPr>
      <w:r w:rsidRPr="00E103B9">
        <w:rPr>
          <w:sz w:val="28"/>
        </w:rPr>
        <w:t>Отличительной чертой Законопроекта является высокая доля закрытых статей, которая достигает 23,2% к 2025 г. против 12,2% в текущем году (</w:t>
      </w:r>
      <w:r w:rsidRPr="00E103B9">
        <w:rPr>
          <w:i/>
          <w:iCs/>
          <w:sz w:val="28"/>
        </w:rPr>
        <w:t>таблица</w:t>
      </w:r>
      <w:r w:rsidR="009678BE" w:rsidRPr="00E103B9">
        <w:rPr>
          <w:i/>
          <w:iCs/>
          <w:sz w:val="28"/>
        </w:rPr>
        <w:t xml:space="preserve"> 12</w:t>
      </w:r>
      <w:r w:rsidRPr="00E103B9">
        <w:rPr>
          <w:sz w:val="28"/>
        </w:rPr>
        <w:t xml:space="preserve">). </w:t>
      </w:r>
      <w:proofErr w:type="gramStart"/>
      <w:r w:rsidRPr="00E103B9">
        <w:rPr>
          <w:sz w:val="28"/>
        </w:rPr>
        <w:t>И хотя о</w:t>
      </w:r>
      <w:r w:rsidRPr="00E103B9">
        <w:rPr>
          <w:sz w:val="28"/>
          <w:szCs w:val="28"/>
        </w:rPr>
        <w:t>сновная доля закрытых расходов традиционно приходится на разделы «Национальная оборона» и «Национальная безопасность и правоохранительная деятельность», однако их доля в общем объеме расходов по этим разделам сокращается с 72,8 и 59,0% соответственно в 2023 г. до 64,4 и 53,9% соответственно в 2025 г. Наметившаяся тенденция на увеличение закрытых статей бюджета, безусловно, ухудшает читаемость бюджета и, следовательно, возможности для</w:t>
      </w:r>
      <w:proofErr w:type="gramEnd"/>
      <w:r w:rsidRPr="00E103B9">
        <w:rPr>
          <w:sz w:val="28"/>
          <w:szCs w:val="28"/>
        </w:rPr>
        <w:t xml:space="preserve"> его глубокого анализа, но приходится также признать, что она продиктована вполне объективными обстоятельствами.</w:t>
      </w:r>
    </w:p>
    <w:p w14:paraId="00439550" w14:textId="77777777" w:rsidR="00817132" w:rsidRPr="00E103B9" w:rsidRDefault="00817132" w:rsidP="008637AE">
      <w:pPr>
        <w:suppressAutoHyphens/>
        <w:spacing w:after="60"/>
        <w:rPr>
          <w:i/>
          <w:sz w:val="28"/>
        </w:rPr>
      </w:pPr>
    </w:p>
    <w:p w14:paraId="1ED92032" w14:textId="4CAACEE6" w:rsidR="00C75D90" w:rsidRPr="009D5B83" w:rsidRDefault="00C75D90" w:rsidP="00C75D90">
      <w:pPr>
        <w:suppressAutoHyphens/>
        <w:spacing w:after="60"/>
        <w:ind w:firstLine="709"/>
        <w:jc w:val="right"/>
      </w:pPr>
      <w:r w:rsidRPr="009D5B83">
        <w:rPr>
          <w:i/>
        </w:rPr>
        <w:t xml:space="preserve">Таблица </w:t>
      </w:r>
      <w:bookmarkStart w:id="17" w:name="_Ref52662423"/>
      <w:bookmarkEnd w:id="17"/>
      <w:r w:rsidR="009678BE" w:rsidRPr="009D5B83">
        <w:rPr>
          <w:i/>
        </w:rPr>
        <w:t>12</w:t>
      </w:r>
    </w:p>
    <w:p w14:paraId="0AB4F024" w14:textId="77777777" w:rsidR="00C75D90" w:rsidRPr="009D5B83" w:rsidRDefault="00C75D90" w:rsidP="00C75D90">
      <w:pPr>
        <w:suppressAutoHyphens/>
        <w:spacing w:before="60" w:after="120"/>
        <w:ind w:firstLine="709"/>
        <w:jc w:val="center"/>
        <w:rPr>
          <w:b/>
          <w:szCs w:val="20"/>
        </w:rPr>
      </w:pPr>
      <w:r w:rsidRPr="009D5B83">
        <w:rPr>
          <w:b/>
          <w:szCs w:val="20"/>
        </w:rPr>
        <w:t xml:space="preserve">Объемы закрытых и открытых расходов федерального бюджета в 2022-2025 гг., </w:t>
      </w:r>
      <w:proofErr w:type="gramStart"/>
      <w:r w:rsidRPr="009D5B83">
        <w:rPr>
          <w:b/>
          <w:szCs w:val="20"/>
        </w:rPr>
        <w:t>млрд</w:t>
      </w:r>
      <w:proofErr w:type="gramEnd"/>
      <w:r w:rsidRPr="009D5B83">
        <w:rPr>
          <w:b/>
          <w:szCs w:val="20"/>
        </w:rPr>
        <w:t xml:space="preserve"> руб.</w:t>
      </w:r>
    </w:p>
    <w:tbl>
      <w:tblPr>
        <w:tblW w:w="5000" w:type="pct"/>
        <w:tblInd w:w="113" w:type="dxa"/>
        <w:tblLayout w:type="fixed"/>
        <w:tblLook w:val="04A0" w:firstRow="1" w:lastRow="0" w:firstColumn="1" w:lastColumn="0" w:noHBand="0" w:noVBand="1"/>
      </w:tblPr>
      <w:tblGrid>
        <w:gridCol w:w="4170"/>
        <w:gridCol w:w="1448"/>
        <w:gridCol w:w="1133"/>
        <w:gridCol w:w="1128"/>
        <w:gridCol w:w="1128"/>
        <w:gridCol w:w="1273"/>
      </w:tblGrid>
      <w:tr w:rsidR="00C75D90" w:rsidRPr="009D5B83" w14:paraId="4CC2D8C1" w14:textId="77777777" w:rsidTr="001B68A1">
        <w:trPr>
          <w:tblHeader/>
        </w:trPr>
        <w:tc>
          <w:tcPr>
            <w:tcW w:w="3680" w:type="dxa"/>
            <w:vMerge w:val="restart"/>
            <w:tcBorders>
              <w:top w:val="single" w:sz="4" w:space="0" w:color="000000"/>
              <w:left w:val="single" w:sz="4" w:space="0" w:color="000000"/>
              <w:bottom w:val="single" w:sz="4" w:space="0" w:color="000000"/>
              <w:right w:val="single" w:sz="4" w:space="0" w:color="000000"/>
            </w:tcBorders>
            <w:vAlign w:val="center"/>
          </w:tcPr>
          <w:p w14:paraId="5A6D3D9D" w14:textId="77777777" w:rsidR="00C75D90" w:rsidRPr="009D5B83" w:rsidRDefault="00C75D90" w:rsidP="00C75D90">
            <w:pPr>
              <w:widowControl w:val="0"/>
              <w:suppressAutoHyphens/>
              <w:spacing w:after="60"/>
              <w:ind w:firstLine="709"/>
              <w:jc w:val="center"/>
              <w:rPr>
                <w:b/>
                <w:sz w:val="20"/>
                <w:szCs w:val="20"/>
              </w:rPr>
            </w:pPr>
            <w:r w:rsidRPr="009D5B83">
              <w:rPr>
                <w:b/>
                <w:sz w:val="20"/>
                <w:szCs w:val="20"/>
              </w:rPr>
              <w:t>Показатель</w:t>
            </w:r>
          </w:p>
        </w:tc>
        <w:tc>
          <w:tcPr>
            <w:tcW w:w="1278" w:type="dxa"/>
            <w:tcBorders>
              <w:top w:val="single" w:sz="4" w:space="0" w:color="000000"/>
              <w:left w:val="single" w:sz="4" w:space="0" w:color="000000"/>
              <w:bottom w:val="single" w:sz="4" w:space="0" w:color="000000"/>
              <w:right w:val="single" w:sz="4" w:space="0" w:color="000000"/>
            </w:tcBorders>
            <w:vAlign w:val="center"/>
          </w:tcPr>
          <w:p w14:paraId="2BE19424" w14:textId="77777777" w:rsidR="00C75D90" w:rsidRPr="009D5B83" w:rsidRDefault="00C75D90" w:rsidP="00C75D90">
            <w:pPr>
              <w:widowControl w:val="0"/>
              <w:suppressAutoHyphens/>
              <w:spacing w:after="60"/>
              <w:jc w:val="center"/>
              <w:rPr>
                <w:b/>
                <w:sz w:val="20"/>
                <w:szCs w:val="20"/>
              </w:rPr>
            </w:pPr>
            <w:r w:rsidRPr="009D5B83">
              <w:rPr>
                <w:b/>
                <w:sz w:val="20"/>
                <w:szCs w:val="20"/>
              </w:rPr>
              <w:t>Кассовое исполнение</w:t>
            </w:r>
          </w:p>
        </w:tc>
        <w:tc>
          <w:tcPr>
            <w:tcW w:w="1000" w:type="dxa"/>
            <w:tcBorders>
              <w:top w:val="single" w:sz="4" w:space="0" w:color="000000"/>
              <w:left w:val="single" w:sz="4" w:space="0" w:color="000000"/>
              <w:bottom w:val="single" w:sz="4" w:space="0" w:color="000000"/>
              <w:right w:val="single" w:sz="4" w:space="0" w:color="000000"/>
            </w:tcBorders>
            <w:vAlign w:val="center"/>
          </w:tcPr>
          <w:p w14:paraId="07FCF655" w14:textId="77777777" w:rsidR="00C75D90" w:rsidRPr="009D5B83" w:rsidRDefault="00C75D90" w:rsidP="00C75D90">
            <w:pPr>
              <w:widowControl w:val="0"/>
              <w:suppressAutoHyphens/>
              <w:spacing w:after="60"/>
              <w:jc w:val="center"/>
              <w:rPr>
                <w:b/>
                <w:sz w:val="20"/>
                <w:szCs w:val="20"/>
              </w:rPr>
            </w:pPr>
            <w:r w:rsidRPr="009D5B83">
              <w:rPr>
                <w:b/>
                <w:sz w:val="20"/>
                <w:szCs w:val="20"/>
              </w:rPr>
              <w:t>Оценка</w:t>
            </w:r>
          </w:p>
        </w:tc>
        <w:tc>
          <w:tcPr>
            <w:tcW w:w="3113" w:type="dxa"/>
            <w:gridSpan w:val="3"/>
            <w:tcBorders>
              <w:top w:val="single" w:sz="4" w:space="0" w:color="000000"/>
              <w:left w:val="single" w:sz="4" w:space="0" w:color="000000"/>
              <w:bottom w:val="single" w:sz="4" w:space="0" w:color="000000"/>
              <w:right w:val="single" w:sz="4" w:space="0" w:color="000000"/>
            </w:tcBorders>
            <w:vAlign w:val="center"/>
          </w:tcPr>
          <w:p w14:paraId="0E82D8C6" w14:textId="77777777" w:rsidR="00C75D90" w:rsidRPr="009D5B83" w:rsidRDefault="00C75D90" w:rsidP="00C75D90">
            <w:pPr>
              <w:widowControl w:val="0"/>
              <w:suppressAutoHyphens/>
              <w:spacing w:after="60"/>
              <w:jc w:val="center"/>
              <w:rPr>
                <w:b/>
                <w:sz w:val="20"/>
                <w:szCs w:val="20"/>
              </w:rPr>
            </w:pPr>
            <w:r w:rsidRPr="009D5B83">
              <w:rPr>
                <w:b/>
                <w:sz w:val="20"/>
                <w:szCs w:val="20"/>
              </w:rPr>
              <w:t>Законопроект</w:t>
            </w:r>
          </w:p>
        </w:tc>
      </w:tr>
      <w:tr w:rsidR="00C75D90" w:rsidRPr="009D5B83" w14:paraId="7017BA08" w14:textId="77777777" w:rsidTr="001B68A1">
        <w:trPr>
          <w:tblHeader/>
        </w:trPr>
        <w:tc>
          <w:tcPr>
            <w:tcW w:w="3680" w:type="dxa"/>
            <w:vMerge/>
            <w:tcBorders>
              <w:top w:val="single" w:sz="4" w:space="0" w:color="000000"/>
              <w:left w:val="single" w:sz="4" w:space="0" w:color="000000"/>
              <w:bottom w:val="single" w:sz="4" w:space="0" w:color="000000"/>
              <w:right w:val="single" w:sz="4" w:space="0" w:color="000000"/>
            </w:tcBorders>
            <w:vAlign w:val="center"/>
          </w:tcPr>
          <w:p w14:paraId="6A02401F" w14:textId="77777777" w:rsidR="00C75D90" w:rsidRPr="009D5B83" w:rsidRDefault="00C75D90" w:rsidP="00C75D90">
            <w:pPr>
              <w:suppressAutoHyphens/>
              <w:spacing w:after="60"/>
              <w:ind w:firstLine="709"/>
              <w:jc w:val="both"/>
            </w:pPr>
          </w:p>
        </w:tc>
        <w:tc>
          <w:tcPr>
            <w:tcW w:w="1278" w:type="dxa"/>
            <w:tcBorders>
              <w:top w:val="single" w:sz="4" w:space="0" w:color="000000"/>
              <w:left w:val="single" w:sz="4" w:space="0" w:color="000000"/>
              <w:bottom w:val="single" w:sz="4" w:space="0" w:color="000000"/>
              <w:right w:val="single" w:sz="4" w:space="0" w:color="000000"/>
            </w:tcBorders>
            <w:vAlign w:val="center"/>
          </w:tcPr>
          <w:p w14:paraId="7362E78F" w14:textId="77777777" w:rsidR="00C75D90" w:rsidRPr="009D5B83" w:rsidRDefault="00C75D90" w:rsidP="00C75D90">
            <w:pPr>
              <w:widowControl w:val="0"/>
              <w:suppressAutoHyphens/>
              <w:spacing w:after="60"/>
              <w:jc w:val="center"/>
              <w:rPr>
                <w:b/>
                <w:sz w:val="20"/>
                <w:szCs w:val="20"/>
              </w:rPr>
            </w:pPr>
            <w:r w:rsidRPr="009D5B83">
              <w:rPr>
                <w:b/>
                <w:sz w:val="20"/>
                <w:szCs w:val="20"/>
              </w:rPr>
              <w:t>2021 г.</w:t>
            </w:r>
          </w:p>
        </w:tc>
        <w:tc>
          <w:tcPr>
            <w:tcW w:w="1000" w:type="dxa"/>
            <w:tcBorders>
              <w:top w:val="single" w:sz="4" w:space="0" w:color="000000"/>
              <w:left w:val="single" w:sz="4" w:space="0" w:color="000000"/>
              <w:bottom w:val="single" w:sz="4" w:space="0" w:color="000000"/>
              <w:right w:val="single" w:sz="4" w:space="0" w:color="000000"/>
            </w:tcBorders>
            <w:vAlign w:val="center"/>
          </w:tcPr>
          <w:p w14:paraId="345A5448" w14:textId="77777777" w:rsidR="00C75D90" w:rsidRPr="009D5B83" w:rsidRDefault="00C75D90" w:rsidP="00C75D90">
            <w:pPr>
              <w:widowControl w:val="0"/>
              <w:suppressAutoHyphens/>
              <w:spacing w:after="60"/>
              <w:jc w:val="center"/>
              <w:rPr>
                <w:b/>
                <w:sz w:val="20"/>
                <w:szCs w:val="20"/>
              </w:rPr>
            </w:pPr>
            <w:r w:rsidRPr="009D5B83">
              <w:rPr>
                <w:b/>
                <w:sz w:val="20"/>
                <w:szCs w:val="20"/>
              </w:rPr>
              <w:t>2022 г.</w:t>
            </w:r>
          </w:p>
        </w:tc>
        <w:tc>
          <w:tcPr>
            <w:tcW w:w="995" w:type="dxa"/>
            <w:tcBorders>
              <w:top w:val="single" w:sz="4" w:space="0" w:color="000000"/>
              <w:left w:val="single" w:sz="4" w:space="0" w:color="000000"/>
              <w:bottom w:val="single" w:sz="4" w:space="0" w:color="000000"/>
              <w:right w:val="single" w:sz="4" w:space="0" w:color="000000"/>
            </w:tcBorders>
            <w:vAlign w:val="center"/>
          </w:tcPr>
          <w:p w14:paraId="08602766" w14:textId="77777777" w:rsidR="00C75D90" w:rsidRPr="009D5B83" w:rsidRDefault="00C75D90" w:rsidP="00C75D90">
            <w:pPr>
              <w:widowControl w:val="0"/>
              <w:suppressAutoHyphens/>
              <w:spacing w:after="60"/>
              <w:jc w:val="center"/>
              <w:rPr>
                <w:b/>
                <w:sz w:val="20"/>
                <w:szCs w:val="20"/>
              </w:rPr>
            </w:pPr>
            <w:r w:rsidRPr="009D5B83">
              <w:rPr>
                <w:b/>
                <w:sz w:val="20"/>
                <w:szCs w:val="20"/>
              </w:rPr>
              <w:t>2023 г.</w:t>
            </w:r>
          </w:p>
        </w:tc>
        <w:tc>
          <w:tcPr>
            <w:tcW w:w="995" w:type="dxa"/>
            <w:tcBorders>
              <w:top w:val="single" w:sz="4" w:space="0" w:color="000000"/>
              <w:left w:val="single" w:sz="4" w:space="0" w:color="000000"/>
              <w:bottom w:val="single" w:sz="4" w:space="0" w:color="000000"/>
              <w:right w:val="single" w:sz="4" w:space="0" w:color="000000"/>
            </w:tcBorders>
            <w:vAlign w:val="center"/>
          </w:tcPr>
          <w:p w14:paraId="6BD43457" w14:textId="77777777" w:rsidR="00C75D90" w:rsidRPr="009D5B83" w:rsidRDefault="00C75D90" w:rsidP="00C75D90">
            <w:pPr>
              <w:widowControl w:val="0"/>
              <w:suppressAutoHyphens/>
              <w:spacing w:after="60"/>
              <w:jc w:val="center"/>
              <w:rPr>
                <w:b/>
                <w:sz w:val="20"/>
                <w:szCs w:val="20"/>
              </w:rPr>
            </w:pPr>
            <w:r w:rsidRPr="009D5B83">
              <w:rPr>
                <w:b/>
                <w:sz w:val="20"/>
                <w:szCs w:val="20"/>
              </w:rPr>
              <w:t>2024 г.</w:t>
            </w:r>
          </w:p>
        </w:tc>
        <w:tc>
          <w:tcPr>
            <w:tcW w:w="1123" w:type="dxa"/>
            <w:tcBorders>
              <w:top w:val="single" w:sz="4" w:space="0" w:color="000000"/>
              <w:left w:val="single" w:sz="4" w:space="0" w:color="000000"/>
              <w:bottom w:val="single" w:sz="4" w:space="0" w:color="000000"/>
              <w:right w:val="single" w:sz="4" w:space="0" w:color="000000"/>
            </w:tcBorders>
            <w:vAlign w:val="center"/>
          </w:tcPr>
          <w:p w14:paraId="46E8E7F7" w14:textId="77777777" w:rsidR="00C75D90" w:rsidRPr="009D5B83" w:rsidRDefault="00C75D90" w:rsidP="00C75D90">
            <w:pPr>
              <w:widowControl w:val="0"/>
              <w:suppressAutoHyphens/>
              <w:spacing w:after="60"/>
              <w:jc w:val="center"/>
              <w:rPr>
                <w:b/>
                <w:sz w:val="20"/>
                <w:szCs w:val="20"/>
              </w:rPr>
            </w:pPr>
            <w:r w:rsidRPr="009D5B83">
              <w:rPr>
                <w:b/>
                <w:sz w:val="20"/>
                <w:szCs w:val="20"/>
              </w:rPr>
              <w:t>2025 г.</w:t>
            </w:r>
          </w:p>
        </w:tc>
      </w:tr>
      <w:tr w:rsidR="00C75D90" w:rsidRPr="009D5B83" w14:paraId="2BE7A44D" w14:textId="77777777" w:rsidTr="001B68A1">
        <w:tc>
          <w:tcPr>
            <w:tcW w:w="3680" w:type="dxa"/>
            <w:tcBorders>
              <w:top w:val="single" w:sz="4" w:space="0" w:color="000000"/>
              <w:left w:val="single" w:sz="4" w:space="0" w:color="000000"/>
              <w:bottom w:val="single" w:sz="4" w:space="0" w:color="000000"/>
              <w:right w:val="single" w:sz="4" w:space="0" w:color="000000"/>
            </w:tcBorders>
            <w:vAlign w:val="center"/>
          </w:tcPr>
          <w:p w14:paraId="5948B3CD" w14:textId="436CB8B0" w:rsidR="00C75D90" w:rsidRPr="009D5B83" w:rsidRDefault="00C75D90" w:rsidP="008C0CA8">
            <w:pPr>
              <w:widowControl w:val="0"/>
              <w:suppressAutoHyphens/>
              <w:spacing w:after="60"/>
              <w:jc w:val="both"/>
              <w:rPr>
                <w:b/>
                <w:sz w:val="20"/>
                <w:szCs w:val="20"/>
              </w:rPr>
            </w:pPr>
            <w:r w:rsidRPr="009D5B83">
              <w:rPr>
                <w:b/>
                <w:sz w:val="20"/>
                <w:szCs w:val="20"/>
              </w:rPr>
              <w:t xml:space="preserve">Расходы, </w:t>
            </w:r>
            <w:r w:rsidR="002606E9">
              <w:rPr>
                <w:b/>
                <w:sz w:val="20"/>
                <w:szCs w:val="20"/>
              </w:rPr>
              <w:t>ВСЕГО</w:t>
            </w:r>
          </w:p>
        </w:tc>
        <w:tc>
          <w:tcPr>
            <w:tcW w:w="1278" w:type="dxa"/>
            <w:tcBorders>
              <w:top w:val="single" w:sz="4" w:space="0" w:color="000000"/>
              <w:left w:val="single" w:sz="4" w:space="0" w:color="000000"/>
              <w:bottom w:val="single" w:sz="4" w:space="0" w:color="000000"/>
              <w:right w:val="single" w:sz="4" w:space="0" w:color="000000"/>
            </w:tcBorders>
            <w:vAlign w:val="center"/>
          </w:tcPr>
          <w:p w14:paraId="552692B8" w14:textId="77777777" w:rsidR="00C75D90" w:rsidRPr="009D5B83" w:rsidRDefault="00C75D90" w:rsidP="00C75D90">
            <w:pPr>
              <w:widowControl w:val="0"/>
              <w:suppressAutoHyphens/>
              <w:spacing w:after="60"/>
              <w:jc w:val="center"/>
              <w:rPr>
                <w:b/>
                <w:bCs/>
                <w:sz w:val="20"/>
                <w:szCs w:val="20"/>
              </w:rPr>
            </w:pPr>
            <w:r w:rsidRPr="009D5B83">
              <w:rPr>
                <w:b/>
                <w:bCs/>
                <w:sz w:val="20"/>
                <w:szCs w:val="20"/>
              </w:rPr>
              <w:t>24 762,0</w:t>
            </w:r>
          </w:p>
        </w:tc>
        <w:tc>
          <w:tcPr>
            <w:tcW w:w="1000" w:type="dxa"/>
            <w:tcBorders>
              <w:top w:val="single" w:sz="4" w:space="0" w:color="000000"/>
              <w:left w:val="single" w:sz="4" w:space="0" w:color="000000"/>
              <w:bottom w:val="single" w:sz="4" w:space="0" w:color="000000"/>
              <w:right w:val="single" w:sz="4" w:space="0" w:color="000000"/>
            </w:tcBorders>
            <w:vAlign w:val="center"/>
          </w:tcPr>
          <w:p w14:paraId="43D76F1D" w14:textId="77777777" w:rsidR="00C75D90" w:rsidRPr="009D5B83" w:rsidRDefault="00C75D90" w:rsidP="00C75D90">
            <w:pPr>
              <w:widowControl w:val="0"/>
              <w:suppressAutoHyphens/>
              <w:spacing w:after="60"/>
              <w:jc w:val="center"/>
              <w:rPr>
                <w:b/>
                <w:sz w:val="20"/>
                <w:szCs w:val="20"/>
                <w:lang w:eastAsia="en-US"/>
              </w:rPr>
            </w:pPr>
            <w:r w:rsidRPr="009D5B83">
              <w:rPr>
                <w:b/>
                <w:sz w:val="20"/>
                <w:szCs w:val="20"/>
                <w:lang w:eastAsia="en-US"/>
              </w:rPr>
              <w:t>27 614,0</w:t>
            </w:r>
          </w:p>
        </w:tc>
        <w:tc>
          <w:tcPr>
            <w:tcW w:w="995" w:type="dxa"/>
            <w:tcBorders>
              <w:top w:val="single" w:sz="4" w:space="0" w:color="000000"/>
              <w:left w:val="single" w:sz="4" w:space="0" w:color="000000"/>
              <w:bottom w:val="single" w:sz="4" w:space="0" w:color="000000"/>
              <w:right w:val="single" w:sz="4" w:space="0" w:color="000000"/>
            </w:tcBorders>
            <w:vAlign w:val="center"/>
          </w:tcPr>
          <w:p w14:paraId="3ACE964F" w14:textId="77777777" w:rsidR="00C75D90" w:rsidRPr="009D5B83" w:rsidRDefault="00C75D90" w:rsidP="00C75D90">
            <w:pPr>
              <w:widowControl w:val="0"/>
              <w:suppressAutoHyphens/>
              <w:spacing w:after="60"/>
              <w:jc w:val="center"/>
              <w:rPr>
                <w:b/>
                <w:sz w:val="20"/>
                <w:szCs w:val="20"/>
                <w:lang w:eastAsia="en-US"/>
              </w:rPr>
            </w:pPr>
            <w:r w:rsidRPr="009D5B83">
              <w:rPr>
                <w:b/>
                <w:sz w:val="20"/>
                <w:szCs w:val="20"/>
                <w:lang w:eastAsia="en-US"/>
              </w:rPr>
              <w:t>29 055,6</w:t>
            </w:r>
          </w:p>
        </w:tc>
        <w:tc>
          <w:tcPr>
            <w:tcW w:w="995" w:type="dxa"/>
            <w:tcBorders>
              <w:top w:val="single" w:sz="4" w:space="0" w:color="000000"/>
              <w:left w:val="single" w:sz="4" w:space="0" w:color="000000"/>
              <w:bottom w:val="single" w:sz="4" w:space="0" w:color="000000"/>
              <w:right w:val="single" w:sz="4" w:space="0" w:color="000000"/>
            </w:tcBorders>
            <w:vAlign w:val="center"/>
          </w:tcPr>
          <w:p w14:paraId="22692852" w14:textId="77777777" w:rsidR="00C75D90" w:rsidRPr="009D5B83" w:rsidRDefault="00C75D90" w:rsidP="00C75D90">
            <w:pPr>
              <w:widowControl w:val="0"/>
              <w:suppressAutoHyphens/>
              <w:spacing w:after="60"/>
              <w:jc w:val="center"/>
              <w:rPr>
                <w:b/>
                <w:sz w:val="20"/>
                <w:szCs w:val="20"/>
                <w:lang w:eastAsia="en-US"/>
              </w:rPr>
            </w:pPr>
            <w:r w:rsidRPr="009D5B83">
              <w:rPr>
                <w:b/>
                <w:sz w:val="20"/>
                <w:szCs w:val="20"/>
                <w:lang w:eastAsia="en-US"/>
              </w:rPr>
              <w:t>29 432,5</w:t>
            </w:r>
          </w:p>
        </w:tc>
        <w:tc>
          <w:tcPr>
            <w:tcW w:w="1123" w:type="dxa"/>
            <w:tcBorders>
              <w:top w:val="single" w:sz="4" w:space="0" w:color="000000"/>
              <w:left w:val="single" w:sz="4" w:space="0" w:color="000000"/>
              <w:bottom w:val="single" w:sz="4" w:space="0" w:color="000000"/>
              <w:right w:val="single" w:sz="4" w:space="0" w:color="000000"/>
            </w:tcBorders>
            <w:vAlign w:val="center"/>
          </w:tcPr>
          <w:p w14:paraId="373CA08A" w14:textId="77777777" w:rsidR="00C75D90" w:rsidRPr="009D5B83" w:rsidRDefault="00C75D90" w:rsidP="00C75D90">
            <w:pPr>
              <w:widowControl w:val="0"/>
              <w:suppressAutoHyphens/>
              <w:spacing w:after="60"/>
              <w:jc w:val="center"/>
              <w:rPr>
                <w:b/>
                <w:sz w:val="20"/>
                <w:szCs w:val="20"/>
                <w:lang w:eastAsia="en-US"/>
              </w:rPr>
            </w:pPr>
            <w:r w:rsidRPr="009D5B83">
              <w:rPr>
                <w:b/>
                <w:sz w:val="20"/>
                <w:szCs w:val="20"/>
                <w:lang w:eastAsia="en-US"/>
              </w:rPr>
              <w:t>29 243,7</w:t>
            </w:r>
          </w:p>
        </w:tc>
      </w:tr>
      <w:tr w:rsidR="00C75D90" w:rsidRPr="009D5B83" w14:paraId="7046B299" w14:textId="77777777" w:rsidTr="001B68A1">
        <w:tc>
          <w:tcPr>
            <w:tcW w:w="3680" w:type="dxa"/>
            <w:tcBorders>
              <w:top w:val="single" w:sz="4" w:space="0" w:color="000000"/>
              <w:left w:val="single" w:sz="4" w:space="0" w:color="000000"/>
              <w:bottom w:val="single" w:sz="4" w:space="0" w:color="000000"/>
              <w:right w:val="single" w:sz="4" w:space="0" w:color="000000"/>
            </w:tcBorders>
            <w:vAlign w:val="center"/>
          </w:tcPr>
          <w:p w14:paraId="7096F377" w14:textId="77777777" w:rsidR="00C75D90" w:rsidRPr="009D5B83" w:rsidRDefault="00C75D90" w:rsidP="008C0CA8">
            <w:pPr>
              <w:widowControl w:val="0"/>
              <w:suppressAutoHyphens/>
              <w:spacing w:after="60"/>
              <w:jc w:val="both"/>
              <w:rPr>
                <w:iCs/>
                <w:sz w:val="20"/>
                <w:szCs w:val="20"/>
              </w:rPr>
            </w:pPr>
            <w:r w:rsidRPr="009D5B83">
              <w:rPr>
                <w:iCs/>
                <w:sz w:val="20"/>
                <w:szCs w:val="20"/>
              </w:rPr>
              <w:t>- открытая часть</w:t>
            </w:r>
          </w:p>
        </w:tc>
        <w:tc>
          <w:tcPr>
            <w:tcW w:w="1278" w:type="dxa"/>
            <w:tcBorders>
              <w:top w:val="single" w:sz="4" w:space="0" w:color="000000"/>
              <w:left w:val="single" w:sz="4" w:space="0" w:color="000000"/>
              <w:bottom w:val="single" w:sz="4" w:space="0" w:color="000000"/>
              <w:right w:val="single" w:sz="4" w:space="0" w:color="000000"/>
            </w:tcBorders>
            <w:vAlign w:val="center"/>
          </w:tcPr>
          <w:p w14:paraId="6A06FFBC" w14:textId="77777777" w:rsidR="00C75D90" w:rsidRPr="009D5B83" w:rsidRDefault="00C75D90" w:rsidP="00C75D90">
            <w:pPr>
              <w:widowControl w:val="0"/>
              <w:suppressAutoHyphens/>
              <w:spacing w:after="60"/>
              <w:jc w:val="center"/>
              <w:rPr>
                <w:iCs/>
                <w:sz w:val="20"/>
                <w:szCs w:val="20"/>
              </w:rPr>
            </w:pPr>
            <w:r w:rsidRPr="009D5B83">
              <w:rPr>
                <w:iCs/>
                <w:sz w:val="20"/>
                <w:szCs w:val="20"/>
              </w:rPr>
              <w:t>21 010,8</w:t>
            </w:r>
          </w:p>
        </w:tc>
        <w:tc>
          <w:tcPr>
            <w:tcW w:w="1000" w:type="dxa"/>
            <w:tcBorders>
              <w:top w:val="single" w:sz="4" w:space="0" w:color="000000"/>
              <w:left w:val="single" w:sz="4" w:space="0" w:color="000000"/>
              <w:bottom w:val="single" w:sz="4" w:space="0" w:color="000000"/>
              <w:right w:val="single" w:sz="4" w:space="0" w:color="000000"/>
            </w:tcBorders>
            <w:vAlign w:val="center"/>
          </w:tcPr>
          <w:p w14:paraId="298DB188" w14:textId="77777777" w:rsidR="00C75D90" w:rsidRPr="009D5B83" w:rsidRDefault="00C75D90" w:rsidP="00C75D90">
            <w:pPr>
              <w:widowControl w:val="0"/>
              <w:suppressAutoHyphens/>
              <w:spacing w:after="60"/>
              <w:jc w:val="center"/>
              <w:rPr>
                <w:iCs/>
                <w:sz w:val="20"/>
                <w:szCs w:val="20"/>
              </w:rPr>
            </w:pPr>
            <w:r w:rsidRPr="009D5B83">
              <w:rPr>
                <w:iCs/>
                <w:sz w:val="20"/>
                <w:szCs w:val="20"/>
              </w:rPr>
              <w:t>24 240,0</w:t>
            </w:r>
          </w:p>
        </w:tc>
        <w:tc>
          <w:tcPr>
            <w:tcW w:w="995" w:type="dxa"/>
            <w:tcBorders>
              <w:top w:val="single" w:sz="4" w:space="0" w:color="000000"/>
              <w:left w:val="single" w:sz="4" w:space="0" w:color="000000"/>
              <w:bottom w:val="single" w:sz="4" w:space="0" w:color="000000"/>
              <w:right w:val="single" w:sz="4" w:space="0" w:color="000000"/>
            </w:tcBorders>
            <w:vAlign w:val="center"/>
          </w:tcPr>
          <w:p w14:paraId="3BE066E7" w14:textId="77777777" w:rsidR="00C75D90" w:rsidRPr="009D5B83" w:rsidRDefault="00C75D90" w:rsidP="00C75D90">
            <w:pPr>
              <w:widowControl w:val="0"/>
              <w:suppressAutoHyphens/>
              <w:spacing w:after="60"/>
              <w:jc w:val="center"/>
              <w:rPr>
                <w:iCs/>
                <w:color w:val="000000"/>
                <w:sz w:val="20"/>
                <w:szCs w:val="20"/>
              </w:rPr>
            </w:pPr>
            <w:r w:rsidRPr="009D5B83">
              <w:rPr>
                <w:iCs/>
                <w:color w:val="000000"/>
                <w:sz w:val="20"/>
                <w:szCs w:val="20"/>
              </w:rPr>
              <w:t>22 472,5</w:t>
            </w:r>
          </w:p>
        </w:tc>
        <w:tc>
          <w:tcPr>
            <w:tcW w:w="995" w:type="dxa"/>
            <w:tcBorders>
              <w:top w:val="single" w:sz="4" w:space="0" w:color="000000"/>
              <w:left w:val="single" w:sz="4" w:space="0" w:color="000000"/>
              <w:bottom w:val="single" w:sz="4" w:space="0" w:color="000000"/>
              <w:right w:val="single" w:sz="4" w:space="0" w:color="000000"/>
            </w:tcBorders>
            <w:vAlign w:val="center"/>
          </w:tcPr>
          <w:p w14:paraId="2AD8841C" w14:textId="77777777" w:rsidR="00C75D90" w:rsidRPr="009D5B83" w:rsidRDefault="00C75D90" w:rsidP="00C75D90">
            <w:pPr>
              <w:widowControl w:val="0"/>
              <w:suppressAutoHyphens/>
              <w:spacing w:after="60"/>
              <w:jc w:val="center"/>
              <w:rPr>
                <w:iCs/>
                <w:color w:val="000000"/>
                <w:sz w:val="20"/>
                <w:szCs w:val="20"/>
              </w:rPr>
            </w:pPr>
            <w:r w:rsidRPr="009D5B83">
              <w:rPr>
                <w:iCs/>
                <w:color w:val="000000"/>
                <w:sz w:val="20"/>
                <w:szCs w:val="20"/>
              </w:rPr>
              <w:t>22 877,6</w:t>
            </w:r>
          </w:p>
        </w:tc>
        <w:tc>
          <w:tcPr>
            <w:tcW w:w="1123" w:type="dxa"/>
            <w:tcBorders>
              <w:top w:val="single" w:sz="4" w:space="0" w:color="000000"/>
              <w:left w:val="single" w:sz="4" w:space="0" w:color="000000"/>
              <w:bottom w:val="single" w:sz="4" w:space="0" w:color="000000"/>
              <w:right w:val="single" w:sz="4" w:space="0" w:color="000000"/>
            </w:tcBorders>
            <w:vAlign w:val="center"/>
          </w:tcPr>
          <w:p w14:paraId="4F50F7FE" w14:textId="77777777" w:rsidR="00C75D90" w:rsidRPr="009D5B83" w:rsidRDefault="00C75D90" w:rsidP="00C75D90">
            <w:pPr>
              <w:widowControl w:val="0"/>
              <w:suppressAutoHyphens/>
              <w:spacing w:after="60"/>
              <w:jc w:val="center"/>
              <w:rPr>
                <w:iCs/>
                <w:color w:val="000000"/>
                <w:sz w:val="20"/>
                <w:szCs w:val="20"/>
              </w:rPr>
            </w:pPr>
            <w:r w:rsidRPr="009D5B83">
              <w:rPr>
                <w:iCs/>
                <w:color w:val="000000"/>
                <w:sz w:val="20"/>
                <w:szCs w:val="20"/>
              </w:rPr>
              <w:t>22 456,2</w:t>
            </w:r>
          </w:p>
        </w:tc>
      </w:tr>
      <w:tr w:rsidR="00C75D90" w:rsidRPr="009D5B83" w14:paraId="5CE0D20D" w14:textId="77777777" w:rsidTr="001B68A1">
        <w:tc>
          <w:tcPr>
            <w:tcW w:w="3680" w:type="dxa"/>
            <w:tcBorders>
              <w:top w:val="single" w:sz="4" w:space="0" w:color="000000"/>
              <w:left w:val="single" w:sz="4" w:space="0" w:color="000000"/>
              <w:bottom w:val="single" w:sz="4" w:space="0" w:color="000000"/>
              <w:right w:val="single" w:sz="4" w:space="0" w:color="000000"/>
            </w:tcBorders>
            <w:vAlign w:val="center"/>
          </w:tcPr>
          <w:p w14:paraId="633E83ED" w14:textId="77777777" w:rsidR="00C75D90" w:rsidRPr="009D5B83" w:rsidRDefault="00C75D90" w:rsidP="008C0CA8">
            <w:pPr>
              <w:widowControl w:val="0"/>
              <w:suppressAutoHyphens/>
              <w:spacing w:after="60"/>
              <w:jc w:val="both"/>
              <w:rPr>
                <w:iCs/>
                <w:sz w:val="20"/>
                <w:szCs w:val="20"/>
              </w:rPr>
            </w:pPr>
            <w:r w:rsidRPr="009D5B83">
              <w:rPr>
                <w:iCs/>
                <w:sz w:val="20"/>
                <w:szCs w:val="20"/>
              </w:rPr>
              <w:t>- закрытая часть (оценка)</w:t>
            </w:r>
          </w:p>
        </w:tc>
        <w:tc>
          <w:tcPr>
            <w:tcW w:w="1278" w:type="dxa"/>
            <w:tcBorders>
              <w:top w:val="single" w:sz="4" w:space="0" w:color="000000"/>
              <w:left w:val="single" w:sz="4" w:space="0" w:color="000000"/>
              <w:bottom w:val="single" w:sz="4" w:space="0" w:color="000000"/>
              <w:right w:val="single" w:sz="4" w:space="0" w:color="000000"/>
            </w:tcBorders>
            <w:vAlign w:val="center"/>
          </w:tcPr>
          <w:p w14:paraId="70580E1C" w14:textId="77777777" w:rsidR="00C75D90" w:rsidRPr="009D5B83" w:rsidRDefault="00C75D90" w:rsidP="00C75D90">
            <w:pPr>
              <w:widowControl w:val="0"/>
              <w:suppressAutoHyphens/>
              <w:spacing w:after="60"/>
              <w:jc w:val="center"/>
              <w:rPr>
                <w:sz w:val="20"/>
                <w:szCs w:val="20"/>
              </w:rPr>
            </w:pPr>
            <w:r w:rsidRPr="009D5B83">
              <w:rPr>
                <w:sz w:val="20"/>
                <w:szCs w:val="20"/>
              </w:rPr>
              <w:t>3 751,2</w:t>
            </w:r>
          </w:p>
        </w:tc>
        <w:tc>
          <w:tcPr>
            <w:tcW w:w="1000" w:type="dxa"/>
            <w:tcBorders>
              <w:top w:val="single" w:sz="4" w:space="0" w:color="000000"/>
              <w:left w:val="single" w:sz="4" w:space="0" w:color="000000"/>
              <w:bottom w:val="single" w:sz="4" w:space="0" w:color="000000"/>
              <w:right w:val="single" w:sz="4" w:space="0" w:color="000000"/>
            </w:tcBorders>
            <w:vAlign w:val="center"/>
          </w:tcPr>
          <w:p w14:paraId="7D224167" w14:textId="77777777" w:rsidR="00C75D90" w:rsidRPr="009D5B83" w:rsidRDefault="00C75D90" w:rsidP="00C75D90">
            <w:pPr>
              <w:widowControl w:val="0"/>
              <w:suppressAutoHyphens/>
              <w:spacing w:after="60"/>
              <w:jc w:val="center"/>
              <w:rPr>
                <w:sz w:val="20"/>
                <w:szCs w:val="20"/>
              </w:rPr>
            </w:pPr>
            <w:r w:rsidRPr="009D5B83">
              <w:rPr>
                <w:sz w:val="20"/>
                <w:szCs w:val="20"/>
              </w:rPr>
              <w:t>3 374,0</w:t>
            </w:r>
          </w:p>
        </w:tc>
        <w:tc>
          <w:tcPr>
            <w:tcW w:w="995" w:type="dxa"/>
            <w:tcBorders>
              <w:top w:val="single" w:sz="4" w:space="0" w:color="000000"/>
              <w:left w:val="single" w:sz="4" w:space="0" w:color="000000"/>
              <w:bottom w:val="single" w:sz="4" w:space="0" w:color="000000"/>
              <w:right w:val="single" w:sz="4" w:space="0" w:color="000000"/>
            </w:tcBorders>
            <w:vAlign w:val="center"/>
          </w:tcPr>
          <w:p w14:paraId="263408BA" w14:textId="77777777" w:rsidR="00C75D90" w:rsidRPr="009D5B83" w:rsidRDefault="00C75D90" w:rsidP="00C75D90">
            <w:pPr>
              <w:widowControl w:val="0"/>
              <w:suppressAutoHyphens/>
              <w:spacing w:after="60"/>
              <w:jc w:val="center"/>
              <w:rPr>
                <w:sz w:val="20"/>
                <w:szCs w:val="20"/>
              </w:rPr>
            </w:pPr>
            <w:r w:rsidRPr="009D5B83">
              <w:rPr>
                <w:sz w:val="20"/>
                <w:szCs w:val="20"/>
              </w:rPr>
              <w:t>6 583,1</w:t>
            </w:r>
          </w:p>
        </w:tc>
        <w:tc>
          <w:tcPr>
            <w:tcW w:w="995" w:type="dxa"/>
            <w:tcBorders>
              <w:top w:val="single" w:sz="4" w:space="0" w:color="000000"/>
              <w:left w:val="single" w:sz="4" w:space="0" w:color="000000"/>
              <w:bottom w:val="single" w:sz="4" w:space="0" w:color="000000"/>
              <w:right w:val="single" w:sz="4" w:space="0" w:color="000000"/>
            </w:tcBorders>
            <w:vAlign w:val="center"/>
          </w:tcPr>
          <w:p w14:paraId="353F883C" w14:textId="77777777" w:rsidR="00C75D90" w:rsidRPr="009D5B83" w:rsidRDefault="00C75D90" w:rsidP="00C75D90">
            <w:pPr>
              <w:widowControl w:val="0"/>
              <w:suppressAutoHyphens/>
              <w:spacing w:after="60"/>
              <w:jc w:val="center"/>
              <w:rPr>
                <w:sz w:val="20"/>
                <w:szCs w:val="20"/>
              </w:rPr>
            </w:pPr>
            <w:r w:rsidRPr="009D5B83">
              <w:rPr>
                <w:sz w:val="20"/>
                <w:szCs w:val="20"/>
              </w:rPr>
              <w:t>6 554,9</w:t>
            </w:r>
          </w:p>
        </w:tc>
        <w:tc>
          <w:tcPr>
            <w:tcW w:w="1123" w:type="dxa"/>
            <w:tcBorders>
              <w:top w:val="single" w:sz="4" w:space="0" w:color="000000"/>
              <w:left w:val="single" w:sz="4" w:space="0" w:color="000000"/>
              <w:bottom w:val="single" w:sz="4" w:space="0" w:color="000000"/>
              <w:right w:val="single" w:sz="4" w:space="0" w:color="000000"/>
            </w:tcBorders>
            <w:vAlign w:val="center"/>
          </w:tcPr>
          <w:p w14:paraId="615A3645" w14:textId="77777777" w:rsidR="00C75D90" w:rsidRPr="009D5B83" w:rsidRDefault="00C75D90" w:rsidP="00C75D90">
            <w:pPr>
              <w:widowControl w:val="0"/>
              <w:suppressAutoHyphens/>
              <w:spacing w:after="60"/>
              <w:jc w:val="center"/>
              <w:rPr>
                <w:sz w:val="20"/>
                <w:szCs w:val="20"/>
              </w:rPr>
            </w:pPr>
            <w:r w:rsidRPr="009D5B83">
              <w:rPr>
                <w:sz w:val="20"/>
                <w:szCs w:val="20"/>
              </w:rPr>
              <w:t>6 787,5</w:t>
            </w:r>
          </w:p>
        </w:tc>
      </w:tr>
      <w:tr w:rsidR="00C75D90" w:rsidRPr="009D5B83" w14:paraId="44CD1D35" w14:textId="77777777" w:rsidTr="001B68A1">
        <w:tc>
          <w:tcPr>
            <w:tcW w:w="3680" w:type="dxa"/>
            <w:tcBorders>
              <w:top w:val="single" w:sz="4" w:space="0" w:color="000000"/>
              <w:left w:val="single" w:sz="4" w:space="0" w:color="000000"/>
              <w:bottom w:val="single" w:sz="4" w:space="0" w:color="000000"/>
              <w:right w:val="single" w:sz="4" w:space="0" w:color="000000"/>
            </w:tcBorders>
            <w:vAlign w:val="center"/>
          </w:tcPr>
          <w:p w14:paraId="37E72686" w14:textId="77777777" w:rsidR="00C75D90" w:rsidRPr="009D5B83" w:rsidRDefault="00C75D90" w:rsidP="008C0CA8">
            <w:pPr>
              <w:widowControl w:val="0"/>
              <w:suppressAutoHyphens/>
              <w:spacing w:after="60"/>
              <w:jc w:val="both"/>
              <w:rPr>
                <w:i/>
                <w:sz w:val="20"/>
                <w:szCs w:val="20"/>
              </w:rPr>
            </w:pPr>
            <w:r w:rsidRPr="009D5B83">
              <w:rPr>
                <w:i/>
                <w:sz w:val="20"/>
                <w:szCs w:val="20"/>
              </w:rPr>
              <w:t>Доля закрытых расходов в общем объеме расходов ФБ, %</w:t>
            </w:r>
          </w:p>
        </w:tc>
        <w:tc>
          <w:tcPr>
            <w:tcW w:w="1278" w:type="dxa"/>
            <w:tcBorders>
              <w:top w:val="single" w:sz="4" w:space="0" w:color="000000"/>
              <w:left w:val="single" w:sz="4" w:space="0" w:color="000000"/>
              <w:bottom w:val="single" w:sz="4" w:space="0" w:color="000000"/>
              <w:right w:val="single" w:sz="4" w:space="0" w:color="000000"/>
            </w:tcBorders>
            <w:vAlign w:val="center"/>
          </w:tcPr>
          <w:p w14:paraId="39BDA870" w14:textId="77777777" w:rsidR="00C75D90" w:rsidRPr="009D5B83" w:rsidRDefault="00C75D90" w:rsidP="00C75D90">
            <w:pPr>
              <w:widowControl w:val="0"/>
              <w:suppressAutoHyphens/>
              <w:spacing w:after="60"/>
              <w:jc w:val="center"/>
              <w:rPr>
                <w:i/>
                <w:iCs/>
                <w:sz w:val="20"/>
                <w:szCs w:val="20"/>
              </w:rPr>
            </w:pPr>
            <w:r w:rsidRPr="009D5B83">
              <w:rPr>
                <w:i/>
                <w:iCs/>
                <w:sz w:val="20"/>
                <w:szCs w:val="20"/>
              </w:rPr>
              <w:fldChar w:fldCharType="begin"/>
            </w:r>
            <w:r w:rsidRPr="009D5B83">
              <w:rPr>
                <w:i/>
                <w:iCs/>
                <w:sz w:val="20"/>
                <w:szCs w:val="20"/>
              </w:rPr>
              <w:instrText xml:space="preserve"> =100*B5/B3</w:instrText>
            </w:r>
            <w:r w:rsidRPr="009D5B83">
              <w:rPr>
                <w:i/>
                <w:iCs/>
                <w:sz w:val="20"/>
                <w:szCs w:val="20"/>
              </w:rPr>
              <w:fldChar w:fldCharType="separate"/>
            </w:r>
            <w:r w:rsidRPr="009D5B83">
              <w:rPr>
                <w:i/>
                <w:iCs/>
                <w:sz w:val="20"/>
                <w:szCs w:val="20"/>
              </w:rPr>
              <w:t>15,1</w:t>
            </w:r>
            <w:r w:rsidRPr="009D5B83">
              <w:rPr>
                <w:i/>
                <w:iCs/>
                <w:sz w:val="20"/>
                <w:szCs w:val="20"/>
              </w:rPr>
              <w:fldChar w:fldCharType="end"/>
            </w:r>
          </w:p>
        </w:tc>
        <w:tc>
          <w:tcPr>
            <w:tcW w:w="1000" w:type="dxa"/>
            <w:tcBorders>
              <w:top w:val="single" w:sz="4" w:space="0" w:color="000000"/>
              <w:left w:val="single" w:sz="4" w:space="0" w:color="000000"/>
              <w:bottom w:val="single" w:sz="4" w:space="0" w:color="000000"/>
              <w:right w:val="single" w:sz="4" w:space="0" w:color="000000"/>
            </w:tcBorders>
            <w:vAlign w:val="center"/>
          </w:tcPr>
          <w:p w14:paraId="3BF3AEA6" w14:textId="77777777" w:rsidR="00C75D90" w:rsidRPr="009D5B83" w:rsidRDefault="00C75D90" w:rsidP="00C75D90">
            <w:pPr>
              <w:widowControl w:val="0"/>
              <w:suppressAutoHyphens/>
              <w:spacing w:after="60"/>
              <w:jc w:val="center"/>
              <w:rPr>
                <w:i/>
                <w:iCs/>
                <w:sz w:val="20"/>
                <w:szCs w:val="20"/>
              </w:rPr>
            </w:pPr>
            <w:r w:rsidRPr="009D5B83">
              <w:rPr>
                <w:i/>
                <w:iCs/>
                <w:sz w:val="20"/>
                <w:szCs w:val="20"/>
              </w:rPr>
              <w:fldChar w:fldCharType="begin"/>
            </w:r>
            <w:r w:rsidRPr="009D5B83">
              <w:rPr>
                <w:i/>
                <w:iCs/>
                <w:sz w:val="20"/>
                <w:szCs w:val="20"/>
              </w:rPr>
              <w:instrText xml:space="preserve"> =100*C5/C3</w:instrText>
            </w:r>
            <w:r w:rsidRPr="009D5B83">
              <w:rPr>
                <w:i/>
                <w:iCs/>
                <w:sz w:val="20"/>
                <w:szCs w:val="20"/>
              </w:rPr>
              <w:fldChar w:fldCharType="separate"/>
            </w:r>
            <w:r w:rsidRPr="009D5B83">
              <w:rPr>
                <w:i/>
                <w:iCs/>
                <w:sz w:val="20"/>
                <w:szCs w:val="20"/>
              </w:rPr>
              <w:t>12,2</w:t>
            </w:r>
            <w:r w:rsidRPr="009D5B83">
              <w:rPr>
                <w:i/>
                <w:iCs/>
                <w:sz w:val="20"/>
                <w:szCs w:val="20"/>
              </w:rPr>
              <w:fldChar w:fldCharType="end"/>
            </w:r>
          </w:p>
        </w:tc>
        <w:tc>
          <w:tcPr>
            <w:tcW w:w="995" w:type="dxa"/>
            <w:tcBorders>
              <w:top w:val="single" w:sz="4" w:space="0" w:color="000000"/>
              <w:left w:val="single" w:sz="4" w:space="0" w:color="000000"/>
              <w:bottom w:val="single" w:sz="4" w:space="0" w:color="000000"/>
              <w:right w:val="single" w:sz="4" w:space="0" w:color="000000"/>
            </w:tcBorders>
            <w:vAlign w:val="center"/>
          </w:tcPr>
          <w:p w14:paraId="0E7FE79B" w14:textId="77777777" w:rsidR="00C75D90" w:rsidRPr="009D5B83" w:rsidRDefault="00C75D90" w:rsidP="00C75D90">
            <w:pPr>
              <w:widowControl w:val="0"/>
              <w:suppressAutoHyphens/>
              <w:spacing w:after="60"/>
              <w:jc w:val="center"/>
              <w:rPr>
                <w:i/>
                <w:iCs/>
                <w:sz w:val="20"/>
                <w:szCs w:val="20"/>
              </w:rPr>
            </w:pPr>
            <w:r w:rsidRPr="009D5B83">
              <w:rPr>
                <w:i/>
                <w:iCs/>
                <w:sz w:val="20"/>
                <w:szCs w:val="20"/>
              </w:rPr>
              <w:fldChar w:fldCharType="begin"/>
            </w:r>
            <w:r w:rsidRPr="009D5B83">
              <w:rPr>
                <w:i/>
                <w:iCs/>
                <w:sz w:val="20"/>
                <w:szCs w:val="20"/>
              </w:rPr>
              <w:instrText xml:space="preserve"> =100*D5/D3</w:instrText>
            </w:r>
            <w:r w:rsidRPr="009D5B83">
              <w:rPr>
                <w:i/>
                <w:iCs/>
                <w:sz w:val="20"/>
                <w:szCs w:val="20"/>
              </w:rPr>
              <w:fldChar w:fldCharType="separate"/>
            </w:r>
            <w:r w:rsidRPr="009D5B83">
              <w:rPr>
                <w:i/>
                <w:iCs/>
                <w:sz w:val="20"/>
                <w:szCs w:val="20"/>
              </w:rPr>
              <w:t>22,7</w:t>
            </w:r>
            <w:r w:rsidRPr="009D5B83">
              <w:rPr>
                <w:i/>
                <w:iCs/>
                <w:sz w:val="20"/>
                <w:szCs w:val="20"/>
              </w:rPr>
              <w:fldChar w:fldCharType="end"/>
            </w:r>
          </w:p>
        </w:tc>
        <w:tc>
          <w:tcPr>
            <w:tcW w:w="995" w:type="dxa"/>
            <w:tcBorders>
              <w:top w:val="single" w:sz="4" w:space="0" w:color="000000"/>
              <w:left w:val="single" w:sz="4" w:space="0" w:color="000000"/>
              <w:bottom w:val="single" w:sz="4" w:space="0" w:color="000000"/>
              <w:right w:val="single" w:sz="4" w:space="0" w:color="000000"/>
            </w:tcBorders>
            <w:vAlign w:val="center"/>
          </w:tcPr>
          <w:p w14:paraId="5BE4DBDB" w14:textId="77777777" w:rsidR="00C75D90" w:rsidRPr="009D5B83" w:rsidRDefault="00C75D90" w:rsidP="00C75D90">
            <w:pPr>
              <w:widowControl w:val="0"/>
              <w:suppressAutoHyphens/>
              <w:spacing w:after="60"/>
              <w:jc w:val="center"/>
              <w:rPr>
                <w:i/>
                <w:iCs/>
                <w:sz w:val="20"/>
                <w:szCs w:val="20"/>
              </w:rPr>
            </w:pPr>
            <w:r w:rsidRPr="009D5B83">
              <w:rPr>
                <w:i/>
                <w:iCs/>
                <w:sz w:val="20"/>
                <w:szCs w:val="20"/>
              </w:rPr>
              <w:fldChar w:fldCharType="begin"/>
            </w:r>
            <w:r w:rsidRPr="009D5B83">
              <w:rPr>
                <w:i/>
                <w:iCs/>
                <w:sz w:val="20"/>
                <w:szCs w:val="20"/>
              </w:rPr>
              <w:instrText xml:space="preserve"> =100*E5/E3</w:instrText>
            </w:r>
            <w:r w:rsidRPr="009D5B83">
              <w:rPr>
                <w:i/>
                <w:iCs/>
                <w:sz w:val="20"/>
                <w:szCs w:val="20"/>
              </w:rPr>
              <w:fldChar w:fldCharType="separate"/>
            </w:r>
            <w:r w:rsidRPr="009D5B83">
              <w:rPr>
                <w:i/>
                <w:iCs/>
                <w:sz w:val="20"/>
                <w:szCs w:val="20"/>
              </w:rPr>
              <w:t>22,3</w:t>
            </w:r>
            <w:r w:rsidRPr="009D5B83">
              <w:rPr>
                <w:i/>
                <w:iCs/>
                <w:sz w:val="20"/>
                <w:szCs w:val="20"/>
              </w:rPr>
              <w:fldChar w:fldCharType="end"/>
            </w:r>
          </w:p>
        </w:tc>
        <w:tc>
          <w:tcPr>
            <w:tcW w:w="1123" w:type="dxa"/>
            <w:tcBorders>
              <w:top w:val="single" w:sz="4" w:space="0" w:color="000000"/>
              <w:left w:val="single" w:sz="4" w:space="0" w:color="000000"/>
              <w:bottom w:val="single" w:sz="4" w:space="0" w:color="000000"/>
              <w:right w:val="single" w:sz="4" w:space="0" w:color="000000"/>
            </w:tcBorders>
            <w:vAlign w:val="center"/>
          </w:tcPr>
          <w:p w14:paraId="75D34363" w14:textId="77777777" w:rsidR="00C75D90" w:rsidRPr="009D5B83" w:rsidRDefault="00C75D90" w:rsidP="00C75D90">
            <w:pPr>
              <w:widowControl w:val="0"/>
              <w:suppressAutoHyphens/>
              <w:spacing w:after="60"/>
              <w:jc w:val="center"/>
              <w:rPr>
                <w:i/>
                <w:iCs/>
                <w:sz w:val="20"/>
                <w:szCs w:val="20"/>
              </w:rPr>
            </w:pPr>
            <w:r w:rsidRPr="009D5B83">
              <w:rPr>
                <w:i/>
                <w:iCs/>
                <w:sz w:val="20"/>
                <w:szCs w:val="20"/>
              </w:rPr>
              <w:fldChar w:fldCharType="begin"/>
            </w:r>
            <w:r w:rsidRPr="009D5B83">
              <w:rPr>
                <w:i/>
                <w:iCs/>
                <w:sz w:val="20"/>
                <w:szCs w:val="20"/>
              </w:rPr>
              <w:instrText xml:space="preserve"> =100*F5/F3</w:instrText>
            </w:r>
            <w:r w:rsidRPr="009D5B83">
              <w:rPr>
                <w:i/>
                <w:iCs/>
                <w:sz w:val="20"/>
                <w:szCs w:val="20"/>
              </w:rPr>
              <w:fldChar w:fldCharType="separate"/>
            </w:r>
            <w:r w:rsidRPr="009D5B83">
              <w:rPr>
                <w:i/>
                <w:iCs/>
                <w:sz w:val="20"/>
                <w:szCs w:val="20"/>
              </w:rPr>
              <w:t>23,2</w:t>
            </w:r>
            <w:r w:rsidRPr="009D5B83">
              <w:rPr>
                <w:i/>
                <w:iCs/>
                <w:sz w:val="20"/>
                <w:szCs w:val="20"/>
              </w:rPr>
              <w:fldChar w:fldCharType="end"/>
            </w:r>
          </w:p>
        </w:tc>
      </w:tr>
    </w:tbl>
    <w:p w14:paraId="0BE657FE" w14:textId="77777777" w:rsidR="00C75D90" w:rsidRPr="009D5B83" w:rsidRDefault="00C75D90" w:rsidP="00C75D90">
      <w:pPr>
        <w:suppressAutoHyphens/>
        <w:spacing w:after="120"/>
        <w:ind w:firstLine="708"/>
        <w:jc w:val="both"/>
      </w:pPr>
      <w:r w:rsidRPr="009D5B83">
        <w:rPr>
          <w:i/>
          <w:sz w:val="20"/>
        </w:rPr>
        <w:t>Источник:</w:t>
      </w:r>
      <w:r w:rsidRPr="009D5B83">
        <w:rPr>
          <w:sz w:val="20"/>
        </w:rPr>
        <w:t xml:space="preserve"> Пояснительная записка, Федеральное казначейство, расчеты авторов.</w:t>
      </w:r>
    </w:p>
    <w:p w14:paraId="1ECA67AB" w14:textId="745A42A3" w:rsidR="00C75D90" w:rsidRPr="00E103B9" w:rsidRDefault="00C75D90" w:rsidP="00C75D90">
      <w:pPr>
        <w:suppressAutoHyphens/>
        <w:spacing w:after="60"/>
        <w:ind w:firstLine="709"/>
        <w:jc w:val="both"/>
        <w:rPr>
          <w:sz w:val="28"/>
        </w:rPr>
      </w:pPr>
      <w:r w:rsidRPr="00E103B9">
        <w:rPr>
          <w:sz w:val="28"/>
          <w:szCs w:val="28"/>
        </w:rPr>
        <w:t>Соотношение производительных и непроизводительных расходов федерального бюджета (даже при отсутствии распределения УУР) в рассматриваемом периоде практически не меняется (</w:t>
      </w:r>
      <w:r w:rsidRPr="00E103B9">
        <w:rPr>
          <w:i/>
          <w:sz w:val="28"/>
          <w:szCs w:val="28"/>
        </w:rPr>
        <w:t>таблица</w:t>
      </w:r>
      <w:r w:rsidR="009678BE" w:rsidRPr="00E103B9">
        <w:rPr>
          <w:i/>
          <w:sz w:val="28"/>
          <w:szCs w:val="28"/>
        </w:rPr>
        <w:t xml:space="preserve"> 13</w:t>
      </w:r>
      <w:r w:rsidRPr="00E103B9">
        <w:rPr>
          <w:sz w:val="28"/>
          <w:szCs w:val="28"/>
        </w:rPr>
        <w:t>): объем производительных расходов может незначительно сократиться к 2025 г. относительно 2021 г. (на (-) 3,4%). В то же время по двум крупнейшим статьям производительной компоненты (дорожное хозяйство, образование) объем бюджетных ассигнований возрастет.</w:t>
      </w:r>
    </w:p>
    <w:p w14:paraId="3355E00F" w14:textId="77777777" w:rsidR="00E103B9" w:rsidRDefault="00E103B9" w:rsidP="00C75D90">
      <w:pPr>
        <w:suppressAutoHyphens/>
        <w:spacing w:after="60"/>
        <w:ind w:firstLine="709"/>
        <w:jc w:val="right"/>
        <w:rPr>
          <w:i/>
          <w:szCs w:val="28"/>
        </w:rPr>
      </w:pPr>
    </w:p>
    <w:p w14:paraId="00815FBE" w14:textId="77777777" w:rsidR="00E103B9" w:rsidRDefault="00E103B9" w:rsidP="00C75D90">
      <w:pPr>
        <w:suppressAutoHyphens/>
        <w:spacing w:after="60"/>
        <w:ind w:firstLine="709"/>
        <w:jc w:val="right"/>
        <w:rPr>
          <w:i/>
          <w:szCs w:val="28"/>
        </w:rPr>
      </w:pPr>
    </w:p>
    <w:p w14:paraId="7E42A9A7" w14:textId="77777777" w:rsidR="00E103B9" w:rsidRDefault="00E103B9" w:rsidP="00C75D90">
      <w:pPr>
        <w:suppressAutoHyphens/>
        <w:spacing w:after="60"/>
        <w:ind w:firstLine="709"/>
        <w:jc w:val="right"/>
        <w:rPr>
          <w:i/>
          <w:szCs w:val="28"/>
        </w:rPr>
      </w:pPr>
    </w:p>
    <w:p w14:paraId="5E735D42" w14:textId="77777777" w:rsidR="00E103B9" w:rsidRDefault="00E103B9" w:rsidP="00C75D90">
      <w:pPr>
        <w:suppressAutoHyphens/>
        <w:spacing w:after="60"/>
        <w:ind w:firstLine="709"/>
        <w:jc w:val="right"/>
        <w:rPr>
          <w:i/>
          <w:szCs w:val="28"/>
        </w:rPr>
      </w:pPr>
    </w:p>
    <w:p w14:paraId="0ACDA072" w14:textId="77777777" w:rsidR="00E103B9" w:rsidRDefault="00E103B9" w:rsidP="00C75D90">
      <w:pPr>
        <w:suppressAutoHyphens/>
        <w:spacing w:after="60"/>
        <w:ind w:firstLine="709"/>
        <w:jc w:val="right"/>
        <w:rPr>
          <w:i/>
          <w:szCs w:val="28"/>
        </w:rPr>
      </w:pPr>
    </w:p>
    <w:p w14:paraId="0D90E55F" w14:textId="77777777" w:rsidR="00E103B9" w:rsidRDefault="00E103B9" w:rsidP="00C75D90">
      <w:pPr>
        <w:suppressAutoHyphens/>
        <w:spacing w:after="60"/>
        <w:ind w:firstLine="709"/>
        <w:jc w:val="right"/>
        <w:rPr>
          <w:i/>
          <w:szCs w:val="28"/>
        </w:rPr>
      </w:pPr>
    </w:p>
    <w:p w14:paraId="0ABC2A95" w14:textId="77777777" w:rsidR="00E103B9" w:rsidRDefault="00E103B9" w:rsidP="00C75D90">
      <w:pPr>
        <w:suppressAutoHyphens/>
        <w:spacing w:after="60"/>
        <w:ind w:firstLine="709"/>
        <w:jc w:val="right"/>
        <w:rPr>
          <w:i/>
          <w:szCs w:val="28"/>
        </w:rPr>
      </w:pPr>
    </w:p>
    <w:p w14:paraId="6FBA4B07" w14:textId="77777777" w:rsidR="00E103B9" w:rsidRDefault="00E103B9" w:rsidP="00C75D90">
      <w:pPr>
        <w:suppressAutoHyphens/>
        <w:spacing w:after="60"/>
        <w:ind w:firstLine="709"/>
        <w:jc w:val="right"/>
        <w:rPr>
          <w:i/>
          <w:szCs w:val="28"/>
        </w:rPr>
      </w:pPr>
    </w:p>
    <w:p w14:paraId="58DD2E86" w14:textId="77777777" w:rsidR="00E103B9" w:rsidRDefault="00E103B9" w:rsidP="00C75D90">
      <w:pPr>
        <w:suppressAutoHyphens/>
        <w:spacing w:after="60"/>
        <w:ind w:firstLine="709"/>
        <w:jc w:val="right"/>
        <w:rPr>
          <w:i/>
          <w:szCs w:val="28"/>
        </w:rPr>
      </w:pPr>
    </w:p>
    <w:p w14:paraId="384EA292" w14:textId="77777777" w:rsidR="00E103B9" w:rsidRDefault="00E103B9" w:rsidP="00C75D90">
      <w:pPr>
        <w:suppressAutoHyphens/>
        <w:spacing w:after="60"/>
        <w:ind w:firstLine="709"/>
        <w:jc w:val="right"/>
        <w:rPr>
          <w:i/>
          <w:szCs w:val="28"/>
        </w:rPr>
      </w:pPr>
    </w:p>
    <w:p w14:paraId="55F7CE08" w14:textId="6D19870C" w:rsidR="00C75D90" w:rsidRPr="009D5B83" w:rsidRDefault="00C75D90" w:rsidP="00C75D90">
      <w:pPr>
        <w:suppressAutoHyphens/>
        <w:spacing w:after="60"/>
        <w:ind w:firstLine="709"/>
        <w:jc w:val="right"/>
      </w:pPr>
      <w:r w:rsidRPr="009D5B83">
        <w:rPr>
          <w:i/>
          <w:szCs w:val="28"/>
        </w:rPr>
        <w:lastRenderedPageBreak/>
        <w:t xml:space="preserve">Таблица </w:t>
      </w:r>
      <w:bookmarkStart w:id="18" w:name="_Ref52662159"/>
      <w:bookmarkEnd w:id="18"/>
      <w:r w:rsidR="009678BE" w:rsidRPr="009D5B83">
        <w:rPr>
          <w:i/>
          <w:szCs w:val="28"/>
        </w:rPr>
        <w:t>13</w:t>
      </w:r>
    </w:p>
    <w:p w14:paraId="1EA7EA9D" w14:textId="77777777" w:rsidR="00C75D90" w:rsidRPr="009D5B83" w:rsidRDefault="00C75D90" w:rsidP="00C75D90">
      <w:pPr>
        <w:suppressAutoHyphens/>
        <w:spacing w:before="60" w:after="120"/>
        <w:ind w:firstLine="709"/>
        <w:jc w:val="center"/>
        <w:rPr>
          <w:b/>
          <w:szCs w:val="20"/>
        </w:rPr>
      </w:pPr>
      <w:r w:rsidRPr="009D5B83">
        <w:rPr>
          <w:b/>
          <w:szCs w:val="20"/>
        </w:rPr>
        <w:t xml:space="preserve">Динамика производительных расходов федерального бюджета в 2021-2025 гг. (открытые статьи), </w:t>
      </w:r>
      <w:proofErr w:type="gramStart"/>
      <w:r w:rsidRPr="009D5B83">
        <w:rPr>
          <w:b/>
          <w:szCs w:val="20"/>
        </w:rPr>
        <w:t>млрд</w:t>
      </w:r>
      <w:proofErr w:type="gramEnd"/>
      <w:r w:rsidRPr="009D5B83">
        <w:rPr>
          <w:b/>
          <w:szCs w:val="20"/>
        </w:rPr>
        <w:t xml:space="preserve"> руб.</w:t>
      </w:r>
    </w:p>
    <w:tbl>
      <w:tblPr>
        <w:tblW w:w="9082" w:type="dxa"/>
        <w:tblInd w:w="138" w:type="dxa"/>
        <w:tblLayout w:type="fixed"/>
        <w:tblLook w:val="04A0" w:firstRow="1" w:lastRow="0" w:firstColumn="1" w:lastColumn="0" w:noHBand="0" w:noVBand="1"/>
      </w:tblPr>
      <w:tblGrid>
        <w:gridCol w:w="2046"/>
        <w:gridCol w:w="1301"/>
        <w:gridCol w:w="1024"/>
        <w:gridCol w:w="821"/>
        <w:gridCol w:w="896"/>
        <w:gridCol w:w="1024"/>
        <w:gridCol w:w="909"/>
        <w:gridCol w:w="1061"/>
      </w:tblGrid>
      <w:tr w:rsidR="00C75D90" w:rsidRPr="009D5B83" w14:paraId="7D779701" w14:textId="77777777" w:rsidTr="00A4422A">
        <w:trPr>
          <w:tblHeader/>
        </w:trPr>
        <w:tc>
          <w:tcPr>
            <w:tcW w:w="2046" w:type="dxa"/>
            <w:vMerge w:val="restart"/>
            <w:tcBorders>
              <w:top w:val="single" w:sz="4" w:space="0" w:color="000000"/>
              <w:left w:val="single" w:sz="4" w:space="0" w:color="000000"/>
              <w:bottom w:val="single" w:sz="4" w:space="0" w:color="000000"/>
              <w:right w:val="single" w:sz="4" w:space="0" w:color="000000"/>
            </w:tcBorders>
            <w:vAlign w:val="center"/>
          </w:tcPr>
          <w:p w14:paraId="2AE05D7B" w14:textId="77777777" w:rsidR="00C75D90" w:rsidRPr="009D5B83" w:rsidRDefault="00C75D90" w:rsidP="00C75D90">
            <w:pPr>
              <w:suppressAutoHyphens/>
              <w:jc w:val="center"/>
              <w:rPr>
                <w:b/>
                <w:sz w:val="20"/>
                <w:szCs w:val="20"/>
              </w:rPr>
            </w:pPr>
            <w:r w:rsidRPr="009D5B83">
              <w:rPr>
                <w:b/>
                <w:sz w:val="20"/>
                <w:szCs w:val="20"/>
              </w:rPr>
              <w:t>Показатель</w:t>
            </w:r>
          </w:p>
        </w:tc>
        <w:tc>
          <w:tcPr>
            <w:tcW w:w="1301" w:type="dxa"/>
            <w:tcBorders>
              <w:top w:val="single" w:sz="4" w:space="0" w:color="000000"/>
              <w:left w:val="single" w:sz="4" w:space="0" w:color="000000"/>
              <w:bottom w:val="single" w:sz="4" w:space="0" w:color="000000"/>
              <w:right w:val="single" w:sz="4" w:space="0" w:color="000000"/>
            </w:tcBorders>
            <w:vAlign w:val="center"/>
          </w:tcPr>
          <w:p w14:paraId="7C6F065B" w14:textId="77777777" w:rsidR="00C75D90" w:rsidRPr="009D5B83" w:rsidRDefault="00C75D90" w:rsidP="00C75D90">
            <w:pPr>
              <w:suppressAutoHyphens/>
              <w:jc w:val="center"/>
              <w:rPr>
                <w:b/>
                <w:sz w:val="20"/>
                <w:szCs w:val="20"/>
              </w:rPr>
            </w:pPr>
            <w:r w:rsidRPr="009D5B83">
              <w:rPr>
                <w:b/>
                <w:sz w:val="20"/>
                <w:szCs w:val="20"/>
              </w:rPr>
              <w:t>Кассовое исполнение</w:t>
            </w:r>
          </w:p>
        </w:tc>
        <w:tc>
          <w:tcPr>
            <w:tcW w:w="1024" w:type="dxa"/>
            <w:tcBorders>
              <w:top w:val="single" w:sz="4" w:space="0" w:color="000000"/>
              <w:left w:val="single" w:sz="4" w:space="0" w:color="000000"/>
              <w:bottom w:val="single" w:sz="4" w:space="0" w:color="000000"/>
              <w:right w:val="single" w:sz="4" w:space="0" w:color="000000"/>
            </w:tcBorders>
            <w:vAlign w:val="center"/>
          </w:tcPr>
          <w:p w14:paraId="4A53C69F" w14:textId="77777777" w:rsidR="00C75D90" w:rsidRPr="009D5B83" w:rsidRDefault="00C75D90" w:rsidP="00C75D90">
            <w:pPr>
              <w:suppressAutoHyphens/>
              <w:jc w:val="center"/>
              <w:rPr>
                <w:b/>
                <w:sz w:val="20"/>
                <w:szCs w:val="20"/>
              </w:rPr>
            </w:pPr>
            <w:r w:rsidRPr="009D5B83">
              <w:rPr>
                <w:b/>
                <w:sz w:val="20"/>
                <w:szCs w:val="20"/>
              </w:rPr>
              <w:t>Оценка</w:t>
            </w:r>
          </w:p>
        </w:tc>
        <w:tc>
          <w:tcPr>
            <w:tcW w:w="2741" w:type="dxa"/>
            <w:gridSpan w:val="3"/>
            <w:tcBorders>
              <w:top w:val="single" w:sz="4" w:space="0" w:color="000000"/>
              <w:left w:val="single" w:sz="4" w:space="0" w:color="000000"/>
              <w:bottom w:val="single" w:sz="4" w:space="0" w:color="000000"/>
              <w:right w:val="single" w:sz="4" w:space="0" w:color="000000"/>
            </w:tcBorders>
            <w:vAlign w:val="center"/>
          </w:tcPr>
          <w:p w14:paraId="0AF79B74" w14:textId="77777777" w:rsidR="00C75D90" w:rsidRPr="009D5B83" w:rsidRDefault="00C75D90" w:rsidP="00C75D90">
            <w:pPr>
              <w:suppressAutoHyphens/>
              <w:jc w:val="center"/>
              <w:rPr>
                <w:b/>
                <w:sz w:val="20"/>
                <w:szCs w:val="20"/>
              </w:rPr>
            </w:pPr>
            <w:r w:rsidRPr="009D5B83">
              <w:rPr>
                <w:b/>
                <w:sz w:val="20"/>
                <w:szCs w:val="20"/>
              </w:rPr>
              <w:t>Законопроект</w:t>
            </w:r>
          </w:p>
        </w:tc>
        <w:tc>
          <w:tcPr>
            <w:tcW w:w="1970" w:type="dxa"/>
            <w:gridSpan w:val="2"/>
            <w:tcBorders>
              <w:top w:val="single" w:sz="4" w:space="0" w:color="000000"/>
              <w:left w:val="single" w:sz="4" w:space="0" w:color="000000"/>
              <w:bottom w:val="single" w:sz="4" w:space="0" w:color="000000"/>
              <w:right w:val="single" w:sz="4" w:space="0" w:color="000000"/>
            </w:tcBorders>
            <w:vAlign w:val="center"/>
          </w:tcPr>
          <w:p w14:paraId="581374E0" w14:textId="77777777" w:rsidR="00C75D90" w:rsidRPr="009D5B83" w:rsidRDefault="00C75D90" w:rsidP="00C75D90">
            <w:pPr>
              <w:suppressAutoHyphens/>
              <w:jc w:val="center"/>
              <w:rPr>
                <w:b/>
                <w:sz w:val="20"/>
                <w:szCs w:val="20"/>
              </w:rPr>
            </w:pPr>
            <w:r w:rsidRPr="009D5B83">
              <w:rPr>
                <w:b/>
                <w:sz w:val="20"/>
                <w:szCs w:val="20"/>
              </w:rPr>
              <w:t>Отклонение 2025 г. к 2021 г.</w:t>
            </w:r>
          </w:p>
        </w:tc>
      </w:tr>
      <w:tr w:rsidR="00C75D90" w:rsidRPr="009D5B83" w14:paraId="60A415F9" w14:textId="77777777" w:rsidTr="00A4422A">
        <w:trPr>
          <w:tblHeader/>
        </w:trPr>
        <w:tc>
          <w:tcPr>
            <w:tcW w:w="2046" w:type="dxa"/>
            <w:vMerge/>
            <w:tcBorders>
              <w:top w:val="single" w:sz="4" w:space="0" w:color="000000"/>
              <w:left w:val="single" w:sz="4" w:space="0" w:color="000000"/>
              <w:bottom w:val="single" w:sz="4" w:space="0" w:color="000000"/>
              <w:right w:val="single" w:sz="4" w:space="0" w:color="000000"/>
            </w:tcBorders>
            <w:vAlign w:val="center"/>
          </w:tcPr>
          <w:p w14:paraId="6FE8F533" w14:textId="77777777" w:rsidR="00C75D90" w:rsidRPr="009D5B83" w:rsidRDefault="00C75D90" w:rsidP="00C75D90">
            <w:pPr>
              <w:suppressAutoHyphens/>
              <w:jc w:val="both"/>
              <w:rPr>
                <w:sz w:val="20"/>
                <w:szCs w:val="20"/>
              </w:rPr>
            </w:pPr>
          </w:p>
        </w:tc>
        <w:tc>
          <w:tcPr>
            <w:tcW w:w="1301" w:type="dxa"/>
            <w:tcBorders>
              <w:top w:val="single" w:sz="4" w:space="0" w:color="000000"/>
              <w:left w:val="single" w:sz="4" w:space="0" w:color="000000"/>
              <w:bottom w:val="single" w:sz="4" w:space="0" w:color="000000"/>
              <w:right w:val="single" w:sz="4" w:space="0" w:color="000000"/>
            </w:tcBorders>
            <w:vAlign w:val="center"/>
          </w:tcPr>
          <w:p w14:paraId="57139ED6" w14:textId="77777777" w:rsidR="00C75D90" w:rsidRPr="009D5B83" w:rsidRDefault="00C75D90" w:rsidP="00C75D90">
            <w:pPr>
              <w:suppressAutoHyphens/>
              <w:jc w:val="center"/>
              <w:rPr>
                <w:b/>
                <w:sz w:val="20"/>
                <w:szCs w:val="20"/>
              </w:rPr>
            </w:pPr>
            <w:r w:rsidRPr="009D5B83">
              <w:rPr>
                <w:b/>
                <w:sz w:val="20"/>
                <w:szCs w:val="20"/>
              </w:rPr>
              <w:t>2021 г.</w:t>
            </w:r>
          </w:p>
        </w:tc>
        <w:tc>
          <w:tcPr>
            <w:tcW w:w="1024" w:type="dxa"/>
            <w:tcBorders>
              <w:top w:val="single" w:sz="4" w:space="0" w:color="000000"/>
              <w:left w:val="single" w:sz="4" w:space="0" w:color="000000"/>
              <w:bottom w:val="single" w:sz="4" w:space="0" w:color="000000"/>
              <w:right w:val="single" w:sz="4" w:space="0" w:color="000000"/>
            </w:tcBorders>
            <w:vAlign w:val="center"/>
          </w:tcPr>
          <w:p w14:paraId="26C15495" w14:textId="77777777" w:rsidR="00C75D90" w:rsidRPr="009D5B83" w:rsidRDefault="00C75D90" w:rsidP="00C75D90">
            <w:pPr>
              <w:suppressAutoHyphens/>
              <w:jc w:val="center"/>
              <w:rPr>
                <w:b/>
                <w:sz w:val="20"/>
                <w:szCs w:val="20"/>
              </w:rPr>
            </w:pPr>
            <w:r w:rsidRPr="009D5B83">
              <w:rPr>
                <w:b/>
                <w:sz w:val="20"/>
                <w:szCs w:val="20"/>
              </w:rPr>
              <w:t>2022 г.</w:t>
            </w:r>
          </w:p>
        </w:tc>
        <w:tc>
          <w:tcPr>
            <w:tcW w:w="821" w:type="dxa"/>
            <w:tcBorders>
              <w:top w:val="single" w:sz="4" w:space="0" w:color="000000"/>
              <w:left w:val="single" w:sz="4" w:space="0" w:color="000000"/>
              <w:bottom w:val="single" w:sz="4" w:space="0" w:color="000000"/>
              <w:right w:val="single" w:sz="4" w:space="0" w:color="000000"/>
            </w:tcBorders>
            <w:vAlign w:val="center"/>
          </w:tcPr>
          <w:p w14:paraId="61D68DA0" w14:textId="77777777" w:rsidR="00C75D90" w:rsidRPr="009D5B83" w:rsidRDefault="00C75D90" w:rsidP="00C75D90">
            <w:pPr>
              <w:suppressAutoHyphens/>
              <w:jc w:val="center"/>
              <w:rPr>
                <w:b/>
                <w:sz w:val="20"/>
                <w:szCs w:val="20"/>
              </w:rPr>
            </w:pPr>
            <w:r w:rsidRPr="009D5B83">
              <w:rPr>
                <w:b/>
                <w:sz w:val="20"/>
                <w:szCs w:val="20"/>
              </w:rPr>
              <w:t>2023 г.</w:t>
            </w:r>
          </w:p>
        </w:tc>
        <w:tc>
          <w:tcPr>
            <w:tcW w:w="896" w:type="dxa"/>
            <w:tcBorders>
              <w:top w:val="single" w:sz="4" w:space="0" w:color="000000"/>
              <w:left w:val="single" w:sz="4" w:space="0" w:color="000000"/>
              <w:bottom w:val="single" w:sz="4" w:space="0" w:color="000000"/>
              <w:right w:val="single" w:sz="4" w:space="0" w:color="000000"/>
            </w:tcBorders>
            <w:vAlign w:val="center"/>
          </w:tcPr>
          <w:p w14:paraId="7F04277C" w14:textId="77777777" w:rsidR="00C75D90" w:rsidRPr="009D5B83" w:rsidRDefault="00C75D90" w:rsidP="00C75D90">
            <w:pPr>
              <w:suppressAutoHyphens/>
              <w:jc w:val="center"/>
              <w:rPr>
                <w:b/>
                <w:sz w:val="20"/>
                <w:szCs w:val="20"/>
              </w:rPr>
            </w:pPr>
            <w:r w:rsidRPr="009D5B83">
              <w:rPr>
                <w:b/>
                <w:sz w:val="20"/>
                <w:szCs w:val="20"/>
              </w:rPr>
              <w:t>2024 г.</w:t>
            </w:r>
          </w:p>
        </w:tc>
        <w:tc>
          <w:tcPr>
            <w:tcW w:w="1024" w:type="dxa"/>
            <w:tcBorders>
              <w:top w:val="single" w:sz="4" w:space="0" w:color="000000"/>
              <w:left w:val="single" w:sz="4" w:space="0" w:color="000000"/>
              <w:bottom w:val="single" w:sz="4" w:space="0" w:color="000000"/>
              <w:right w:val="single" w:sz="4" w:space="0" w:color="000000"/>
            </w:tcBorders>
            <w:vAlign w:val="center"/>
          </w:tcPr>
          <w:p w14:paraId="5D6BC39F" w14:textId="77777777" w:rsidR="00C75D90" w:rsidRPr="009D5B83" w:rsidRDefault="00C75D90" w:rsidP="00C75D90">
            <w:pPr>
              <w:suppressAutoHyphens/>
              <w:jc w:val="center"/>
              <w:rPr>
                <w:b/>
                <w:sz w:val="20"/>
                <w:szCs w:val="20"/>
              </w:rPr>
            </w:pPr>
            <w:r w:rsidRPr="009D5B83">
              <w:rPr>
                <w:b/>
                <w:sz w:val="20"/>
                <w:szCs w:val="20"/>
              </w:rPr>
              <w:t>2025 г.</w:t>
            </w:r>
          </w:p>
        </w:tc>
        <w:tc>
          <w:tcPr>
            <w:tcW w:w="909" w:type="dxa"/>
            <w:tcBorders>
              <w:top w:val="single" w:sz="4" w:space="0" w:color="000000"/>
              <w:left w:val="single" w:sz="4" w:space="0" w:color="000000"/>
              <w:bottom w:val="single" w:sz="4" w:space="0" w:color="000000"/>
              <w:right w:val="single" w:sz="4" w:space="0" w:color="000000"/>
            </w:tcBorders>
            <w:vAlign w:val="center"/>
          </w:tcPr>
          <w:p w14:paraId="0A3C831B" w14:textId="77777777" w:rsidR="00C75D90" w:rsidRPr="009D5B83" w:rsidRDefault="00C75D90" w:rsidP="00C75D90">
            <w:pPr>
              <w:suppressAutoHyphens/>
              <w:jc w:val="center"/>
              <w:rPr>
                <w:b/>
                <w:sz w:val="20"/>
                <w:szCs w:val="20"/>
              </w:rPr>
            </w:pPr>
            <w:proofErr w:type="gramStart"/>
            <w:r w:rsidRPr="009D5B83">
              <w:rPr>
                <w:b/>
                <w:sz w:val="20"/>
                <w:szCs w:val="20"/>
              </w:rPr>
              <w:t>млрд</w:t>
            </w:r>
            <w:proofErr w:type="gramEnd"/>
            <w:r w:rsidRPr="009D5B83">
              <w:rPr>
                <w:b/>
                <w:sz w:val="20"/>
                <w:szCs w:val="20"/>
              </w:rPr>
              <w:t xml:space="preserve"> руб.</w:t>
            </w:r>
          </w:p>
        </w:tc>
        <w:tc>
          <w:tcPr>
            <w:tcW w:w="1061" w:type="dxa"/>
            <w:tcBorders>
              <w:top w:val="single" w:sz="4" w:space="0" w:color="000000"/>
              <w:left w:val="single" w:sz="4" w:space="0" w:color="000000"/>
              <w:bottom w:val="single" w:sz="4" w:space="0" w:color="000000"/>
              <w:right w:val="single" w:sz="4" w:space="0" w:color="000000"/>
            </w:tcBorders>
            <w:vAlign w:val="center"/>
          </w:tcPr>
          <w:p w14:paraId="4E7E5C34" w14:textId="77777777" w:rsidR="00C75D90" w:rsidRPr="009D5B83" w:rsidRDefault="00C75D90" w:rsidP="00C75D90">
            <w:pPr>
              <w:suppressAutoHyphens/>
              <w:jc w:val="center"/>
              <w:rPr>
                <w:b/>
                <w:sz w:val="20"/>
                <w:szCs w:val="20"/>
              </w:rPr>
            </w:pPr>
            <w:r w:rsidRPr="009D5B83">
              <w:rPr>
                <w:b/>
                <w:sz w:val="20"/>
                <w:szCs w:val="20"/>
              </w:rPr>
              <w:t>прирост, %</w:t>
            </w:r>
          </w:p>
        </w:tc>
      </w:tr>
      <w:tr w:rsidR="00C75D90" w:rsidRPr="009D5B83" w14:paraId="6BD2DB27"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11EBDE8E" w14:textId="3170736A" w:rsidR="00C75D90" w:rsidRPr="009D5B83" w:rsidRDefault="00C75D90" w:rsidP="00C75D90">
            <w:pPr>
              <w:suppressAutoHyphens/>
              <w:jc w:val="both"/>
              <w:rPr>
                <w:b/>
                <w:bCs/>
                <w:sz w:val="20"/>
                <w:szCs w:val="20"/>
              </w:rPr>
            </w:pPr>
            <w:r w:rsidRPr="009D5B83">
              <w:rPr>
                <w:b/>
                <w:bCs/>
                <w:sz w:val="20"/>
                <w:szCs w:val="20"/>
              </w:rPr>
              <w:t xml:space="preserve">Расходы (открытая часть), в </w:t>
            </w:r>
            <w:proofErr w:type="spellStart"/>
            <w:r w:rsidRPr="009D5B83">
              <w:rPr>
                <w:b/>
                <w:bCs/>
                <w:sz w:val="20"/>
                <w:szCs w:val="20"/>
              </w:rPr>
              <w:t>т.ч</w:t>
            </w:r>
            <w:proofErr w:type="spellEnd"/>
            <w:r w:rsidRPr="009D5B83">
              <w:rPr>
                <w:b/>
                <w:bCs/>
                <w:sz w:val="20"/>
                <w:szCs w:val="20"/>
              </w:rPr>
              <w:t>. производительные по разделам/</w:t>
            </w:r>
            <w:r w:rsidR="008C0CA8" w:rsidRPr="009D5B83">
              <w:rPr>
                <w:b/>
                <w:bCs/>
                <w:sz w:val="20"/>
                <w:szCs w:val="20"/>
              </w:rPr>
              <w:t xml:space="preserve"> </w:t>
            </w:r>
            <w:r w:rsidRPr="009D5B83">
              <w:rPr>
                <w:b/>
                <w:bCs/>
                <w:sz w:val="20"/>
                <w:szCs w:val="20"/>
              </w:rPr>
              <w:t>статьям:</w:t>
            </w:r>
          </w:p>
        </w:tc>
        <w:tc>
          <w:tcPr>
            <w:tcW w:w="13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0C5B30C" w14:textId="77777777" w:rsidR="00C75D90" w:rsidRPr="009D5B83" w:rsidRDefault="00C75D90" w:rsidP="00C75D90">
            <w:pPr>
              <w:suppressAutoHyphens/>
              <w:jc w:val="center"/>
              <w:rPr>
                <w:b/>
                <w:bCs/>
                <w:sz w:val="20"/>
                <w:szCs w:val="20"/>
              </w:rPr>
            </w:pPr>
            <w:r w:rsidRPr="009D5B83">
              <w:rPr>
                <w:b/>
                <w:bCs/>
                <w:sz w:val="20"/>
                <w:szCs w:val="20"/>
              </w:rPr>
              <w:t>21 520,0</w:t>
            </w:r>
          </w:p>
        </w:tc>
        <w:tc>
          <w:tcPr>
            <w:tcW w:w="102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729572" w14:textId="77777777" w:rsidR="00C75D90" w:rsidRPr="009D5B83" w:rsidRDefault="00C75D90" w:rsidP="00C75D90">
            <w:pPr>
              <w:suppressAutoHyphens/>
              <w:jc w:val="center"/>
              <w:rPr>
                <w:b/>
                <w:bCs/>
                <w:sz w:val="20"/>
                <w:szCs w:val="20"/>
              </w:rPr>
            </w:pPr>
            <w:r w:rsidRPr="009D5B83">
              <w:rPr>
                <w:b/>
                <w:bCs/>
                <w:sz w:val="20"/>
                <w:szCs w:val="20"/>
              </w:rPr>
              <w:t>21 876,0</w:t>
            </w:r>
          </w:p>
        </w:tc>
        <w:tc>
          <w:tcPr>
            <w:tcW w:w="8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DC1832" w14:textId="77777777" w:rsidR="00C75D90" w:rsidRPr="009D5B83" w:rsidRDefault="00C75D90" w:rsidP="00C75D90">
            <w:pPr>
              <w:suppressAutoHyphens/>
              <w:jc w:val="center"/>
              <w:rPr>
                <w:b/>
                <w:bCs/>
                <w:sz w:val="20"/>
                <w:szCs w:val="20"/>
              </w:rPr>
            </w:pPr>
            <w:r w:rsidRPr="009D5B83">
              <w:rPr>
                <w:b/>
                <w:bCs/>
                <w:sz w:val="20"/>
                <w:szCs w:val="20"/>
              </w:rPr>
              <w:t>22 472,5</w:t>
            </w:r>
          </w:p>
        </w:tc>
        <w:tc>
          <w:tcPr>
            <w:tcW w:w="89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991193" w14:textId="77777777" w:rsidR="00C75D90" w:rsidRPr="009D5B83" w:rsidRDefault="00C75D90" w:rsidP="00C75D90">
            <w:pPr>
              <w:suppressAutoHyphens/>
              <w:jc w:val="center"/>
              <w:rPr>
                <w:b/>
                <w:bCs/>
                <w:sz w:val="20"/>
                <w:szCs w:val="20"/>
              </w:rPr>
            </w:pPr>
            <w:r w:rsidRPr="009D5B83">
              <w:rPr>
                <w:b/>
                <w:bCs/>
                <w:sz w:val="20"/>
                <w:szCs w:val="20"/>
              </w:rPr>
              <w:t>22 877,6</w:t>
            </w:r>
          </w:p>
        </w:tc>
        <w:tc>
          <w:tcPr>
            <w:tcW w:w="102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442552" w14:textId="77777777" w:rsidR="00C75D90" w:rsidRPr="009D5B83" w:rsidRDefault="00C75D90" w:rsidP="00C75D90">
            <w:pPr>
              <w:suppressAutoHyphens/>
              <w:jc w:val="center"/>
              <w:rPr>
                <w:b/>
                <w:bCs/>
                <w:sz w:val="20"/>
                <w:szCs w:val="20"/>
              </w:rPr>
            </w:pPr>
            <w:r w:rsidRPr="009D5B83">
              <w:rPr>
                <w:b/>
                <w:bCs/>
                <w:sz w:val="20"/>
                <w:szCs w:val="20"/>
              </w:rPr>
              <w:t>22 456,2</w:t>
            </w:r>
          </w:p>
        </w:tc>
        <w:tc>
          <w:tcPr>
            <w:tcW w:w="9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F588A70" w14:textId="77777777" w:rsidR="00C75D90" w:rsidRPr="009D5B83" w:rsidRDefault="00C75D90" w:rsidP="00C75D90">
            <w:pPr>
              <w:suppressAutoHyphens/>
              <w:jc w:val="center"/>
              <w:rPr>
                <w:b/>
                <w:bCs/>
                <w:sz w:val="20"/>
                <w:szCs w:val="20"/>
              </w:rPr>
            </w:pPr>
            <w:r w:rsidRPr="009D5B83">
              <w:rPr>
                <w:b/>
                <w:bCs/>
                <w:sz w:val="20"/>
                <w:szCs w:val="20"/>
              </w:rPr>
              <w:t>936,2</w:t>
            </w:r>
          </w:p>
        </w:tc>
        <w:tc>
          <w:tcPr>
            <w:tcW w:w="106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2C3C7C0" w14:textId="77777777" w:rsidR="00C75D90" w:rsidRPr="009D5B83" w:rsidRDefault="00C75D90" w:rsidP="00C75D90">
            <w:pPr>
              <w:suppressAutoHyphens/>
              <w:jc w:val="center"/>
              <w:rPr>
                <w:b/>
                <w:bCs/>
                <w:i/>
                <w:iCs/>
                <w:sz w:val="20"/>
                <w:szCs w:val="20"/>
              </w:rPr>
            </w:pPr>
            <w:r w:rsidRPr="009D5B83">
              <w:rPr>
                <w:b/>
                <w:bCs/>
                <w:i/>
                <w:iCs/>
                <w:sz w:val="20"/>
                <w:szCs w:val="20"/>
              </w:rPr>
              <w:t>4,3</w:t>
            </w:r>
          </w:p>
        </w:tc>
      </w:tr>
      <w:tr w:rsidR="00C75D90" w:rsidRPr="009D5B83" w14:paraId="73FCABDB"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132E4F2C" w14:textId="77777777" w:rsidR="00C75D90" w:rsidRPr="009D5B83" w:rsidRDefault="00C75D90" w:rsidP="00C75D90">
            <w:pPr>
              <w:suppressAutoHyphens/>
              <w:ind w:left="57"/>
              <w:jc w:val="both"/>
              <w:rPr>
                <w:sz w:val="20"/>
                <w:szCs w:val="20"/>
              </w:rPr>
            </w:pPr>
            <w:r w:rsidRPr="009D5B83">
              <w:rPr>
                <w:sz w:val="20"/>
                <w:szCs w:val="20"/>
              </w:rPr>
              <w:t xml:space="preserve">Общегосударственные вопросы, в </w:t>
            </w:r>
            <w:proofErr w:type="spellStart"/>
            <w:r w:rsidRPr="009D5B83">
              <w:rPr>
                <w:sz w:val="20"/>
                <w:szCs w:val="20"/>
              </w:rPr>
              <w:t>т.ч</w:t>
            </w:r>
            <w:proofErr w:type="spellEnd"/>
            <w:r w:rsidRPr="009D5B83">
              <w:rPr>
                <w:sz w:val="20"/>
                <w:szCs w:val="20"/>
              </w:rPr>
              <w:t>.:</w:t>
            </w:r>
          </w:p>
        </w:tc>
        <w:tc>
          <w:tcPr>
            <w:tcW w:w="1301" w:type="dxa"/>
            <w:tcBorders>
              <w:bottom w:val="single" w:sz="4" w:space="0" w:color="000000"/>
              <w:right w:val="single" w:sz="4" w:space="0" w:color="000000"/>
            </w:tcBorders>
            <w:tcMar>
              <w:left w:w="0" w:type="dxa"/>
              <w:right w:w="0" w:type="dxa"/>
            </w:tcMar>
            <w:vAlign w:val="center"/>
          </w:tcPr>
          <w:p w14:paraId="72A002F4" w14:textId="77777777" w:rsidR="00C75D90" w:rsidRPr="009D5B83" w:rsidRDefault="00C75D90" w:rsidP="00C75D90">
            <w:pPr>
              <w:suppressAutoHyphens/>
              <w:jc w:val="center"/>
              <w:rPr>
                <w:sz w:val="20"/>
                <w:szCs w:val="20"/>
              </w:rPr>
            </w:pP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7F9E3EC7" w14:textId="77777777" w:rsidR="00C75D90" w:rsidRPr="009D5B83" w:rsidRDefault="00C75D90" w:rsidP="00C75D90">
            <w:pPr>
              <w:suppressAutoHyphens/>
              <w:jc w:val="center"/>
              <w:rPr>
                <w:sz w:val="20"/>
                <w:szCs w:val="20"/>
              </w:rPr>
            </w:pP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74DB471C" w14:textId="77777777" w:rsidR="00C75D90" w:rsidRPr="009D5B83" w:rsidRDefault="00C75D90" w:rsidP="00C75D90">
            <w:pPr>
              <w:suppressAutoHyphens/>
              <w:jc w:val="center"/>
              <w:rPr>
                <w:sz w:val="20"/>
                <w:szCs w:val="20"/>
              </w:rPr>
            </w:pP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1B43EFE4" w14:textId="77777777" w:rsidR="00C75D90" w:rsidRPr="009D5B83" w:rsidRDefault="00C75D90" w:rsidP="00C75D90">
            <w:pPr>
              <w:suppressAutoHyphens/>
              <w:jc w:val="center"/>
              <w:rPr>
                <w:sz w:val="20"/>
                <w:szCs w:val="20"/>
              </w:rPr>
            </w:pP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856B4E7" w14:textId="77777777" w:rsidR="00C75D90" w:rsidRPr="009D5B83" w:rsidRDefault="00C75D90" w:rsidP="00C75D90">
            <w:pPr>
              <w:suppressAutoHyphens/>
              <w:jc w:val="center"/>
              <w:rPr>
                <w:sz w:val="20"/>
                <w:szCs w:val="20"/>
              </w:rPr>
            </w:pPr>
          </w:p>
        </w:tc>
        <w:tc>
          <w:tcPr>
            <w:tcW w:w="909" w:type="dxa"/>
            <w:tcBorders>
              <w:left w:val="single" w:sz="4" w:space="0" w:color="000000"/>
              <w:bottom w:val="single" w:sz="4" w:space="0" w:color="000000"/>
              <w:right w:val="single" w:sz="4" w:space="0" w:color="000000"/>
            </w:tcBorders>
            <w:tcMar>
              <w:left w:w="0" w:type="dxa"/>
              <w:right w:w="0" w:type="dxa"/>
            </w:tcMar>
            <w:vAlign w:val="center"/>
          </w:tcPr>
          <w:p w14:paraId="5166C8CD" w14:textId="77777777" w:rsidR="00C75D90" w:rsidRPr="009D5B83" w:rsidRDefault="00C75D90" w:rsidP="00C75D90">
            <w:pPr>
              <w:suppressAutoHyphens/>
              <w:jc w:val="center"/>
              <w:rPr>
                <w:sz w:val="20"/>
                <w:szCs w:val="20"/>
              </w:rPr>
            </w:pP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6F3233DE" w14:textId="77777777" w:rsidR="00C75D90" w:rsidRPr="009D5B83" w:rsidRDefault="00C75D90" w:rsidP="00C75D90">
            <w:pPr>
              <w:suppressAutoHyphens/>
              <w:jc w:val="center"/>
              <w:rPr>
                <w:i/>
                <w:iCs/>
                <w:sz w:val="20"/>
                <w:szCs w:val="20"/>
              </w:rPr>
            </w:pPr>
          </w:p>
        </w:tc>
      </w:tr>
      <w:tr w:rsidR="00C75D90" w:rsidRPr="009D5B83" w14:paraId="25B371DC"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3F59D317" w14:textId="77777777" w:rsidR="00C75D90" w:rsidRPr="009D5B83" w:rsidRDefault="00C75D90" w:rsidP="00C75D90">
            <w:pPr>
              <w:suppressAutoHyphens/>
              <w:ind w:left="113"/>
              <w:jc w:val="both"/>
              <w:rPr>
                <w:sz w:val="20"/>
                <w:szCs w:val="20"/>
              </w:rPr>
            </w:pPr>
            <w:r w:rsidRPr="009D5B83">
              <w:rPr>
                <w:sz w:val="20"/>
                <w:szCs w:val="20"/>
              </w:rPr>
              <w:t>Фундаментальные исследования</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7403EDCC" w14:textId="77777777" w:rsidR="00C75D90" w:rsidRPr="009D5B83" w:rsidRDefault="00C75D90" w:rsidP="00C75D90">
            <w:pPr>
              <w:suppressAutoHyphens/>
              <w:jc w:val="center"/>
              <w:rPr>
                <w:sz w:val="20"/>
                <w:szCs w:val="20"/>
              </w:rPr>
            </w:pPr>
            <w:r w:rsidRPr="009D5B83">
              <w:rPr>
                <w:sz w:val="20"/>
                <w:szCs w:val="20"/>
              </w:rPr>
              <w:t>225,1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55C6A025" w14:textId="77777777" w:rsidR="00C75D90" w:rsidRPr="009D5B83" w:rsidRDefault="00C75D90" w:rsidP="00C75D90">
            <w:pPr>
              <w:suppressAutoHyphens/>
              <w:jc w:val="center"/>
              <w:rPr>
                <w:sz w:val="20"/>
                <w:szCs w:val="20"/>
              </w:rPr>
            </w:pPr>
            <w:r w:rsidRPr="009D5B83">
              <w:rPr>
                <w:sz w:val="20"/>
                <w:szCs w:val="20"/>
              </w:rPr>
              <w:t>23,1</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3FFAA127" w14:textId="77777777" w:rsidR="00C75D90" w:rsidRPr="009D5B83" w:rsidRDefault="00C75D90" w:rsidP="00C75D90">
            <w:pPr>
              <w:suppressAutoHyphens/>
              <w:jc w:val="center"/>
              <w:rPr>
                <w:sz w:val="20"/>
                <w:szCs w:val="20"/>
              </w:rPr>
            </w:pPr>
            <w:r w:rsidRPr="009D5B83">
              <w:rPr>
                <w:sz w:val="20"/>
                <w:szCs w:val="20"/>
              </w:rPr>
              <w:t>253,6</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0D053CB9" w14:textId="77777777" w:rsidR="00C75D90" w:rsidRPr="009D5B83" w:rsidRDefault="00C75D90" w:rsidP="00C75D90">
            <w:pPr>
              <w:suppressAutoHyphens/>
              <w:jc w:val="center"/>
              <w:rPr>
                <w:sz w:val="20"/>
                <w:szCs w:val="20"/>
              </w:rPr>
            </w:pPr>
            <w:r w:rsidRPr="009D5B83">
              <w:rPr>
                <w:sz w:val="20"/>
                <w:szCs w:val="20"/>
              </w:rPr>
              <w:t>254,7</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CF739BC" w14:textId="77777777" w:rsidR="00C75D90" w:rsidRPr="009D5B83" w:rsidRDefault="00C75D90" w:rsidP="00C75D90">
            <w:pPr>
              <w:suppressAutoHyphens/>
              <w:jc w:val="center"/>
              <w:rPr>
                <w:sz w:val="20"/>
                <w:szCs w:val="20"/>
              </w:rPr>
            </w:pPr>
            <w:r w:rsidRPr="009D5B83">
              <w:rPr>
                <w:sz w:val="20"/>
                <w:szCs w:val="20"/>
              </w:rPr>
              <w:t>232,8</w:t>
            </w:r>
          </w:p>
        </w:tc>
        <w:tc>
          <w:tcPr>
            <w:tcW w:w="909" w:type="dxa"/>
            <w:tcBorders>
              <w:bottom w:val="single" w:sz="4" w:space="0" w:color="000000"/>
              <w:right w:val="single" w:sz="4" w:space="0" w:color="000000"/>
            </w:tcBorders>
            <w:tcMar>
              <w:left w:w="0" w:type="dxa"/>
              <w:right w:w="0" w:type="dxa"/>
            </w:tcMar>
            <w:vAlign w:val="center"/>
          </w:tcPr>
          <w:p w14:paraId="536EA16F" w14:textId="77777777" w:rsidR="00C75D90" w:rsidRPr="009D5B83" w:rsidRDefault="00C75D90" w:rsidP="00C75D90">
            <w:pPr>
              <w:suppressAutoHyphens/>
              <w:jc w:val="center"/>
              <w:rPr>
                <w:sz w:val="20"/>
                <w:szCs w:val="20"/>
              </w:rPr>
            </w:pPr>
            <w:r w:rsidRPr="009D5B83">
              <w:rPr>
                <w:sz w:val="20"/>
                <w:szCs w:val="20"/>
              </w:rPr>
              <w:t>7,7</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56340BBF" w14:textId="77777777" w:rsidR="00C75D90" w:rsidRPr="009D5B83" w:rsidRDefault="00C75D90" w:rsidP="00C75D90">
            <w:pPr>
              <w:suppressAutoHyphens/>
              <w:jc w:val="center"/>
              <w:rPr>
                <w:i/>
                <w:iCs/>
                <w:sz w:val="20"/>
                <w:szCs w:val="20"/>
              </w:rPr>
            </w:pPr>
            <w:r w:rsidRPr="009D5B83">
              <w:rPr>
                <w:i/>
                <w:iCs/>
                <w:sz w:val="20"/>
                <w:szCs w:val="20"/>
              </w:rPr>
              <w:t>3,4</w:t>
            </w:r>
          </w:p>
        </w:tc>
      </w:tr>
      <w:tr w:rsidR="00C75D90" w:rsidRPr="009D5B83" w14:paraId="47FC3374"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7023C5BB" w14:textId="77777777" w:rsidR="00C75D90" w:rsidRPr="009D5B83" w:rsidRDefault="00C75D90" w:rsidP="00C75D90">
            <w:pPr>
              <w:suppressAutoHyphens/>
              <w:ind w:left="113"/>
              <w:jc w:val="both"/>
              <w:rPr>
                <w:sz w:val="20"/>
                <w:szCs w:val="20"/>
              </w:rPr>
            </w:pPr>
            <w:r w:rsidRPr="009D5B83">
              <w:rPr>
                <w:sz w:val="20"/>
                <w:szCs w:val="20"/>
              </w:rPr>
              <w:t>Прикладные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27659BB5" w14:textId="77777777" w:rsidR="00C75D90" w:rsidRPr="009D5B83" w:rsidRDefault="00C75D90" w:rsidP="00C75D90">
            <w:pPr>
              <w:suppressAutoHyphens/>
              <w:jc w:val="center"/>
              <w:rPr>
                <w:sz w:val="20"/>
                <w:szCs w:val="20"/>
              </w:rPr>
            </w:pPr>
            <w:r w:rsidRPr="009D5B83">
              <w:rPr>
                <w:sz w:val="20"/>
                <w:szCs w:val="20"/>
              </w:rPr>
              <w:t>51,3</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00134381" w14:textId="77777777" w:rsidR="00C75D90" w:rsidRPr="009D5B83" w:rsidRDefault="00C75D90" w:rsidP="00C75D90">
            <w:pPr>
              <w:suppressAutoHyphens/>
              <w:jc w:val="center"/>
              <w:rPr>
                <w:sz w:val="20"/>
                <w:szCs w:val="20"/>
              </w:rPr>
            </w:pPr>
            <w:r w:rsidRPr="009D5B83">
              <w:rPr>
                <w:sz w:val="20"/>
                <w:szCs w:val="20"/>
              </w:rPr>
              <w:t>53,2</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7E1149AE" w14:textId="77777777" w:rsidR="00C75D90" w:rsidRPr="009D5B83" w:rsidRDefault="00C75D90" w:rsidP="00C75D90">
            <w:pPr>
              <w:suppressAutoHyphens/>
              <w:jc w:val="center"/>
              <w:rPr>
                <w:sz w:val="20"/>
                <w:szCs w:val="20"/>
              </w:rPr>
            </w:pPr>
            <w:r w:rsidRPr="009D5B83">
              <w:rPr>
                <w:sz w:val="20"/>
                <w:szCs w:val="20"/>
              </w:rPr>
              <w:t>37,8</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7844A3A7" w14:textId="77777777" w:rsidR="00C75D90" w:rsidRPr="009D5B83" w:rsidRDefault="00C75D90" w:rsidP="00C75D90">
            <w:pPr>
              <w:suppressAutoHyphens/>
              <w:jc w:val="center"/>
              <w:rPr>
                <w:sz w:val="20"/>
                <w:szCs w:val="20"/>
              </w:rPr>
            </w:pPr>
            <w:r w:rsidRPr="009D5B83">
              <w:rPr>
                <w:sz w:val="20"/>
                <w:szCs w:val="20"/>
              </w:rPr>
              <w:t>35,4</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7C47267D" w14:textId="77777777" w:rsidR="00C75D90" w:rsidRPr="009D5B83" w:rsidRDefault="00C75D90" w:rsidP="00C75D90">
            <w:pPr>
              <w:suppressAutoHyphens/>
              <w:jc w:val="center"/>
              <w:rPr>
                <w:sz w:val="20"/>
                <w:szCs w:val="20"/>
              </w:rPr>
            </w:pPr>
            <w:r w:rsidRPr="009D5B83">
              <w:rPr>
                <w:sz w:val="20"/>
                <w:szCs w:val="20"/>
              </w:rPr>
              <w:t>27,1</w:t>
            </w:r>
          </w:p>
        </w:tc>
        <w:tc>
          <w:tcPr>
            <w:tcW w:w="909" w:type="dxa"/>
            <w:tcBorders>
              <w:bottom w:val="single" w:sz="4" w:space="0" w:color="000000"/>
              <w:right w:val="single" w:sz="4" w:space="0" w:color="000000"/>
            </w:tcBorders>
            <w:tcMar>
              <w:left w:w="0" w:type="dxa"/>
              <w:right w:w="0" w:type="dxa"/>
            </w:tcMar>
            <w:vAlign w:val="center"/>
          </w:tcPr>
          <w:p w14:paraId="509C8E1C" w14:textId="77777777" w:rsidR="00C75D90" w:rsidRPr="009D5B83" w:rsidRDefault="00C75D90" w:rsidP="00C75D90">
            <w:pPr>
              <w:suppressAutoHyphens/>
              <w:jc w:val="center"/>
              <w:rPr>
                <w:sz w:val="20"/>
                <w:szCs w:val="20"/>
              </w:rPr>
            </w:pPr>
            <w:r w:rsidRPr="009D5B83">
              <w:rPr>
                <w:sz w:val="20"/>
                <w:szCs w:val="20"/>
              </w:rPr>
              <w:t>-24,2</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21049606" w14:textId="77777777" w:rsidR="00C75D90" w:rsidRPr="009D5B83" w:rsidRDefault="00C75D90" w:rsidP="00C75D90">
            <w:pPr>
              <w:suppressAutoHyphens/>
              <w:jc w:val="center"/>
              <w:rPr>
                <w:i/>
                <w:iCs/>
                <w:sz w:val="20"/>
                <w:szCs w:val="20"/>
              </w:rPr>
            </w:pPr>
            <w:r w:rsidRPr="009D5B83">
              <w:rPr>
                <w:i/>
                <w:iCs/>
                <w:sz w:val="20"/>
                <w:szCs w:val="20"/>
              </w:rPr>
              <w:t>-47,2</w:t>
            </w:r>
          </w:p>
        </w:tc>
      </w:tr>
      <w:tr w:rsidR="00C75D90" w:rsidRPr="009D5B83" w14:paraId="274F464A"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314EC9B9" w14:textId="77777777" w:rsidR="00C75D90" w:rsidRPr="009D5B83" w:rsidRDefault="00C75D90" w:rsidP="00C75D90">
            <w:pPr>
              <w:suppressAutoHyphens/>
              <w:ind w:left="57"/>
              <w:jc w:val="both"/>
              <w:rPr>
                <w:sz w:val="20"/>
                <w:szCs w:val="20"/>
              </w:rPr>
            </w:pPr>
            <w:r w:rsidRPr="009D5B83">
              <w:rPr>
                <w:sz w:val="20"/>
                <w:szCs w:val="20"/>
              </w:rPr>
              <w:t xml:space="preserve">Национальная оборона, </w:t>
            </w:r>
            <w:proofErr w:type="gramStart"/>
            <w:r w:rsidRPr="009D5B83">
              <w:rPr>
                <w:sz w:val="20"/>
                <w:szCs w:val="20"/>
              </w:rPr>
              <w:t>прикладные</w:t>
            </w:r>
            <w:proofErr w:type="gramEnd"/>
            <w:r w:rsidRPr="009D5B83">
              <w:rPr>
                <w:sz w:val="20"/>
                <w:szCs w:val="20"/>
              </w:rPr>
              <w:t xml:space="preserve">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369D9D38" w14:textId="77777777" w:rsidR="00C75D90" w:rsidRPr="009D5B83" w:rsidRDefault="00C75D90" w:rsidP="00C75D90">
            <w:pPr>
              <w:suppressAutoHyphens/>
              <w:jc w:val="center"/>
              <w:rPr>
                <w:sz w:val="20"/>
                <w:szCs w:val="20"/>
              </w:rPr>
            </w:pPr>
            <w:r w:rsidRPr="009D5B83">
              <w:rPr>
                <w:sz w:val="20"/>
                <w:szCs w:val="20"/>
              </w:rPr>
              <w:t>22,2</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57A52D1B" w14:textId="77777777" w:rsidR="00C75D90" w:rsidRPr="009D5B83" w:rsidRDefault="00C75D90" w:rsidP="00C75D90">
            <w:pPr>
              <w:suppressAutoHyphens/>
              <w:jc w:val="center"/>
              <w:rPr>
                <w:sz w:val="20"/>
                <w:szCs w:val="20"/>
              </w:rPr>
            </w:pPr>
            <w:r w:rsidRPr="009D5B83">
              <w:rPr>
                <w:sz w:val="20"/>
                <w:szCs w:val="20"/>
              </w:rPr>
              <w:t>23,4</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76C054C0" w14:textId="77777777" w:rsidR="00C75D90" w:rsidRPr="009D5B83" w:rsidRDefault="00C75D90" w:rsidP="00C75D90">
            <w:pPr>
              <w:suppressAutoHyphens/>
              <w:jc w:val="center"/>
              <w:rPr>
                <w:sz w:val="20"/>
                <w:szCs w:val="20"/>
              </w:rPr>
            </w:pPr>
            <w:r w:rsidRPr="009D5B83">
              <w:rPr>
                <w:sz w:val="20"/>
                <w:szCs w:val="20"/>
              </w:rPr>
              <w:t>24,1</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4B8031D3" w14:textId="77777777" w:rsidR="00C75D90" w:rsidRPr="009D5B83" w:rsidRDefault="00C75D90" w:rsidP="00C75D90">
            <w:pPr>
              <w:suppressAutoHyphens/>
              <w:jc w:val="center"/>
              <w:rPr>
                <w:sz w:val="20"/>
                <w:szCs w:val="20"/>
              </w:rPr>
            </w:pPr>
            <w:r w:rsidRPr="009D5B83">
              <w:rPr>
                <w:sz w:val="20"/>
                <w:szCs w:val="20"/>
              </w:rPr>
              <w:t>25,3</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0045109" w14:textId="77777777" w:rsidR="00C75D90" w:rsidRPr="009D5B83" w:rsidRDefault="00C75D90" w:rsidP="00C75D90">
            <w:pPr>
              <w:suppressAutoHyphens/>
              <w:jc w:val="center"/>
              <w:rPr>
                <w:sz w:val="20"/>
                <w:szCs w:val="20"/>
              </w:rPr>
            </w:pPr>
            <w:r w:rsidRPr="009D5B83">
              <w:rPr>
                <w:sz w:val="20"/>
                <w:szCs w:val="20"/>
              </w:rPr>
              <w:t>25,8</w:t>
            </w:r>
          </w:p>
        </w:tc>
        <w:tc>
          <w:tcPr>
            <w:tcW w:w="909" w:type="dxa"/>
            <w:tcBorders>
              <w:bottom w:val="single" w:sz="4" w:space="0" w:color="000000"/>
              <w:right w:val="single" w:sz="4" w:space="0" w:color="000000"/>
            </w:tcBorders>
            <w:tcMar>
              <w:left w:w="0" w:type="dxa"/>
              <w:right w:w="0" w:type="dxa"/>
            </w:tcMar>
            <w:vAlign w:val="center"/>
          </w:tcPr>
          <w:p w14:paraId="10A57088" w14:textId="77777777" w:rsidR="00C75D90" w:rsidRPr="009D5B83" w:rsidRDefault="00C75D90" w:rsidP="00C75D90">
            <w:pPr>
              <w:suppressAutoHyphens/>
              <w:jc w:val="center"/>
              <w:rPr>
                <w:sz w:val="20"/>
                <w:szCs w:val="20"/>
              </w:rPr>
            </w:pPr>
            <w:r w:rsidRPr="009D5B83">
              <w:rPr>
                <w:sz w:val="20"/>
                <w:szCs w:val="20"/>
              </w:rPr>
              <w:t>3,6</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35DAD5F7" w14:textId="77777777" w:rsidR="00C75D90" w:rsidRPr="009D5B83" w:rsidRDefault="00C75D90" w:rsidP="00C75D90">
            <w:pPr>
              <w:suppressAutoHyphens/>
              <w:jc w:val="center"/>
              <w:rPr>
                <w:i/>
                <w:iCs/>
                <w:sz w:val="20"/>
                <w:szCs w:val="20"/>
              </w:rPr>
            </w:pPr>
            <w:r w:rsidRPr="009D5B83">
              <w:rPr>
                <w:i/>
                <w:iCs/>
                <w:sz w:val="20"/>
                <w:szCs w:val="20"/>
              </w:rPr>
              <w:t>16,2</w:t>
            </w:r>
          </w:p>
        </w:tc>
      </w:tr>
      <w:tr w:rsidR="00C75D90" w:rsidRPr="009D5B83" w14:paraId="7A2BD6EE"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27484B64" w14:textId="77777777" w:rsidR="00C75D90" w:rsidRPr="009D5B83" w:rsidRDefault="00C75D90" w:rsidP="00C75D90">
            <w:pPr>
              <w:suppressAutoHyphens/>
              <w:ind w:left="57"/>
              <w:jc w:val="both"/>
              <w:rPr>
                <w:sz w:val="20"/>
                <w:szCs w:val="20"/>
              </w:rPr>
            </w:pPr>
            <w:r w:rsidRPr="009D5B83">
              <w:rPr>
                <w:sz w:val="20"/>
                <w:szCs w:val="20"/>
              </w:rPr>
              <w:t xml:space="preserve">Национальная безопасность и правоохранительная деятельность, </w:t>
            </w:r>
            <w:proofErr w:type="gramStart"/>
            <w:r w:rsidRPr="009D5B83">
              <w:rPr>
                <w:sz w:val="20"/>
                <w:szCs w:val="20"/>
              </w:rPr>
              <w:t>прикладные</w:t>
            </w:r>
            <w:proofErr w:type="gramEnd"/>
            <w:r w:rsidRPr="009D5B83">
              <w:rPr>
                <w:sz w:val="20"/>
                <w:szCs w:val="20"/>
              </w:rPr>
              <w:t xml:space="preserve">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1B81123F" w14:textId="77777777" w:rsidR="00C75D90" w:rsidRPr="009D5B83" w:rsidRDefault="00C75D90" w:rsidP="00C75D90">
            <w:pPr>
              <w:suppressAutoHyphens/>
              <w:jc w:val="center"/>
              <w:rPr>
                <w:sz w:val="20"/>
                <w:szCs w:val="20"/>
              </w:rPr>
            </w:pPr>
            <w:r w:rsidRPr="009D5B83">
              <w:rPr>
                <w:sz w:val="20"/>
                <w:szCs w:val="20"/>
              </w:rPr>
              <w:t>4,8</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1A5C956" w14:textId="77777777" w:rsidR="00C75D90" w:rsidRPr="009D5B83" w:rsidRDefault="00C75D90" w:rsidP="00C75D90">
            <w:pPr>
              <w:suppressAutoHyphens/>
              <w:jc w:val="center"/>
              <w:rPr>
                <w:sz w:val="20"/>
                <w:szCs w:val="20"/>
              </w:rPr>
            </w:pPr>
            <w:r w:rsidRPr="009D5B83">
              <w:rPr>
                <w:sz w:val="20"/>
                <w:szCs w:val="20"/>
              </w:rPr>
              <w:t>5,0</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1029C8E7" w14:textId="77777777" w:rsidR="00C75D90" w:rsidRPr="009D5B83" w:rsidRDefault="00C75D90" w:rsidP="00C75D90">
            <w:pPr>
              <w:suppressAutoHyphens/>
              <w:jc w:val="center"/>
              <w:rPr>
                <w:sz w:val="20"/>
                <w:szCs w:val="20"/>
              </w:rPr>
            </w:pPr>
            <w:r w:rsidRPr="009D5B83">
              <w:rPr>
                <w:sz w:val="20"/>
                <w:szCs w:val="20"/>
              </w:rPr>
              <w:t>5,7</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2E0D0589" w14:textId="77777777" w:rsidR="00C75D90" w:rsidRPr="009D5B83" w:rsidRDefault="00C75D90" w:rsidP="00C75D90">
            <w:pPr>
              <w:suppressAutoHyphens/>
              <w:jc w:val="center"/>
              <w:rPr>
                <w:sz w:val="20"/>
                <w:szCs w:val="20"/>
              </w:rPr>
            </w:pPr>
            <w:r w:rsidRPr="009D5B83">
              <w:rPr>
                <w:sz w:val="20"/>
                <w:szCs w:val="20"/>
              </w:rPr>
              <w:t>4,6</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49A146A" w14:textId="77777777" w:rsidR="00C75D90" w:rsidRPr="009D5B83" w:rsidRDefault="00C75D90" w:rsidP="00C75D90">
            <w:pPr>
              <w:suppressAutoHyphens/>
              <w:jc w:val="center"/>
              <w:rPr>
                <w:sz w:val="20"/>
                <w:szCs w:val="20"/>
              </w:rPr>
            </w:pPr>
            <w:r w:rsidRPr="009D5B83">
              <w:rPr>
                <w:sz w:val="20"/>
                <w:szCs w:val="20"/>
              </w:rPr>
              <w:t>4,2</w:t>
            </w:r>
          </w:p>
        </w:tc>
        <w:tc>
          <w:tcPr>
            <w:tcW w:w="909" w:type="dxa"/>
            <w:tcBorders>
              <w:bottom w:val="single" w:sz="4" w:space="0" w:color="000000"/>
              <w:right w:val="single" w:sz="4" w:space="0" w:color="000000"/>
            </w:tcBorders>
            <w:tcMar>
              <w:left w:w="0" w:type="dxa"/>
              <w:right w:w="0" w:type="dxa"/>
            </w:tcMar>
            <w:vAlign w:val="center"/>
          </w:tcPr>
          <w:p w14:paraId="660DF076" w14:textId="77777777" w:rsidR="00C75D90" w:rsidRPr="009D5B83" w:rsidRDefault="00C75D90" w:rsidP="00C75D90">
            <w:pPr>
              <w:suppressAutoHyphens/>
              <w:jc w:val="center"/>
              <w:rPr>
                <w:sz w:val="20"/>
                <w:szCs w:val="20"/>
              </w:rPr>
            </w:pPr>
            <w:r w:rsidRPr="009D5B83">
              <w:rPr>
                <w:sz w:val="20"/>
                <w:szCs w:val="20"/>
              </w:rPr>
              <w:t>-0,6</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3FCEC36C" w14:textId="77777777" w:rsidR="00C75D90" w:rsidRPr="009D5B83" w:rsidRDefault="00C75D90" w:rsidP="00C75D90">
            <w:pPr>
              <w:suppressAutoHyphens/>
              <w:jc w:val="center"/>
              <w:rPr>
                <w:i/>
                <w:iCs/>
                <w:sz w:val="20"/>
                <w:szCs w:val="20"/>
              </w:rPr>
            </w:pPr>
            <w:r w:rsidRPr="009D5B83">
              <w:rPr>
                <w:i/>
                <w:iCs/>
                <w:sz w:val="20"/>
                <w:szCs w:val="20"/>
              </w:rPr>
              <w:t>-12,5</w:t>
            </w:r>
          </w:p>
        </w:tc>
      </w:tr>
      <w:tr w:rsidR="00C75D90" w:rsidRPr="009D5B83" w14:paraId="341B364A"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7EE15A59" w14:textId="77777777" w:rsidR="00C75D90" w:rsidRPr="009D5B83" w:rsidRDefault="00C75D90" w:rsidP="00C75D90">
            <w:pPr>
              <w:suppressAutoHyphens/>
              <w:ind w:left="57"/>
              <w:jc w:val="both"/>
              <w:rPr>
                <w:sz w:val="20"/>
                <w:szCs w:val="20"/>
              </w:rPr>
            </w:pPr>
            <w:r w:rsidRPr="009D5B83">
              <w:rPr>
                <w:sz w:val="20"/>
                <w:szCs w:val="20"/>
              </w:rPr>
              <w:t xml:space="preserve">Национальная экономика, в </w:t>
            </w:r>
            <w:proofErr w:type="spellStart"/>
            <w:r w:rsidRPr="009D5B83">
              <w:rPr>
                <w:sz w:val="20"/>
                <w:szCs w:val="20"/>
              </w:rPr>
              <w:t>т.ч</w:t>
            </w:r>
            <w:proofErr w:type="spellEnd"/>
            <w:r w:rsidRPr="009D5B83">
              <w:rPr>
                <w:sz w:val="20"/>
                <w:szCs w:val="20"/>
              </w:rPr>
              <w:t>.:</w:t>
            </w:r>
          </w:p>
        </w:tc>
        <w:tc>
          <w:tcPr>
            <w:tcW w:w="1301" w:type="dxa"/>
            <w:tcBorders>
              <w:bottom w:val="single" w:sz="4" w:space="0" w:color="000000"/>
              <w:right w:val="single" w:sz="4" w:space="0" w:color="000000"/>
            </w:tcBorders>
            <w:tcMar>
              <w:left w:w="0" w:type="dxa"/>
              <w:right w:w="0" w:type="dxa"/>
            </w:tcMar>
            <w:vAlign w:val="center"/>
          </w:tcPr>
          <w:p w14:paraId="26540C22" w14:textId="77777777" w:rsidR="00C75D90" w:rsidRPr="009D5B83" w:rsidRDefault="00C75D90" w:rsidP="00C75D90">
            <w:pPr>
              <w:suppressAutoHyphens/>
              <w:jc w:val="center"/>
              <w:rPr>
                <w:sz w:val="20"/>
                <w:szCs w:val="20"/>
              </w:rPr>
            </w:pP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01623B50" w14:textId="77777777" w:rsidR="00C75D90" w:rsidRPr="009D5B83" w:rsidRDefault="00C75D90" w:rsidP="00C75D90">
            <w:pPr>
              <w:suppressAutoHyphens/>
              <w:jc w:val="center"/>
              <w:rPr>
                <w:sz w:val="20"/>
                <w:szCs w:val="20"/>
              </w:rPr>
            </w:pP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308A2010" w14:textId="77777777" w:rsidR="00C75D90" w:rsidRPr="009D5B83" w:rsidRDefault="00C75D90" w:rsidP="00C75D90">
            <w:pPr>
              <w:suppressAutoHyphens/>
              <w:jc w:val="center"/>
              <w:rPr>
                <w:sz w:val="20"/>
                <w:szCs w:val="20"/>
              </w:rPr>
            </w:pP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3DFCE1E7" w14:textId="77777777" w:rsidR="00C75D90" w:rsidRPr="009D5B83" w:rsidRDefault="00C75D90" w:rsidP="00C75D90">
            <w:pPr>
              <w:suppressAutoHyphens/>
              <w:jc w:val="center"/>
              <w:rPr>
                <w:sz w:val="20"/>
                <w:szCs w:val="20"/>
              </w:rPr>
            </w:pP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297322F7" w14:textId="77777777" w:rsidR="00C75D90" w:rsidRPr="009D5B83" w:rsidRDefault="00C75D90" w:rsidP="00C75D90">
            <w:pPr>
              <w:suppressAutoHyphens/>
              <w:jc w:val="center"/>
              <w:rPr>
                <w:sz w:val="20"/>
                <w:szCs w:val="20"/>
              </w:rPr>
            </w:pPr>
          </w:p>
        </w:tc>
        <w:tc>
          <w:tcPr>
            <w:tcW w:w="909" w:type="dxa"/>
            <w:tcBorders>
              <w:left w:val="single" w:sz="4" w:space="0" w:color="000000"/>
              <w:bottom w:val="single" w:sz="4" w:space="0" w:color="000000"/>
              <w:right w:val="single" w:sz="4" w:space="0" w:color="000000"/>
            </w:tcBorders>
            <w:tcMar>
              <w:left w:w="0" w:type="dxa"/>
              <w:right w:w="0" w:type="dxa"/>
            </w:tcMar>
            <w:vAlign w:val="center"/>
          </w:tcPr>
          <w:p w14:paraId="411116D3" w14:textId="77777777" w:rsidR="00C75D90" w:rsidRPr="009D5B83" w:rsidRDefault="00C75D90" w:rsidP="00C75D90">
            <w:pPr>
              <w:suppressAutoHyphens/>
              <w:jc w:val="center"/>
              <w:rPr>
                <w:sz w:val="20"/>
                <w:szCs w:val="20"/>
              </w:rPr>
            </w:pP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47A5863A" w14:textId="77777777" w:rsidR="00C75D90" w:rsidRPr="009D5B83" w:rsidRDefault="00C75D90" w:rsidP="00C75D90">
            <w:pPr>
              <w:suppressAutoHyphens/>
              <w:jc w:val="center"/>
              <w:rPr>
                <w:i/>
                <w:iCs/>
                <w:sz w:val="20"/>
                <w:szCs w:val="20"/>
              </w:rPr>
            </w:pPr>
          </w:p>
        </w:tc>
      </w:tr>
      <w:tr w:rsidR="00C75D90" w:rsidRPr="009D5B83" w14:paraId="63E981CE"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12FE78D9" w14:textId="77777777" w:rsidR="00C75D90" w:rsidRPr="009D5B83" w:rsidRDefault="00C75D90" w:rsidP="00C75D90">
            <w:pPr>
              <w:suppressAutoHyphens/>
              <w:ind w:left="113"/>
              <w:jc w:val="both"/>
              <w:rPr>
                <w:sz w:val="20"/>
                <w:szCs w:val="20"/>
              </w:rPr>
            </w:pPr>
            <w:r w:rsidRPr="009D5B83">
              <w:rPr>
                <w:sz w:val="20"/>
                <w:szCs w:val="20"/>
              </w:rPr>
              <w:t>Транспорт</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476EC6A4" w14:textId="77777777" w:rsidR="00C75D90" w:rsidRPr="009D5B83" w:rsidRDefault="00C75D90" w:rsidP="00C75D90">
            <w:pPr>
              <w:suppressAutoHyphens/>
              <w:jc w:val="center"/>
              <w:rPr>
                <w:sz w:val="20"/>
                <w:szCs w:val="20"/>
              </w:rPr>
            </w:pPr>
            <w:r w:rsidRPr="009D5B83">
              <w:rPr>
                <w:sz w:val="20"/>
                <w:szCs w:val="20"/>
              </w:rPr>
              <w:t>518,1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7FC7690D" w14:textId="77777777" w:rsidR="00C75D90" w:rsidRPr="009D5B83" w:rsidRDefault="00C75D90" w:rsidP="00C75D90">
            <w:pPr>
              <w:suppressAutoHyphens/>
              <w:jc w:val="center"/>
              <w:rPr>
                <w:sz w:val="20"/>
                <w:szCs w:val="20"/>
              </w:rPr>
            </w:pPr>
            <w:r w:rsidRPr="009D5B83">
              <w:rPr>
                <w:sz w:val="20"/>
                <w:szCs w:val="20"/>
              </w:rPr>
              <w:t>360,0</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20161202" w14:textId="77777777" w:rsidR="00C75D90" w:rsidRPr="009D5B83" w:rsidRDefault="00C75D90" w:rsidP="00C75D90">
            <w:pPr>
              <w:suppressAutoHyphens/>
              <w:jc w:val="center"/>
              <w:rPr>
                <w:sz w:val="20"/>
                <w:szCs w:val="20"/>
              </w:rPr>
            </w:pPr>
            <w:r w:rsidRPr="009D5B83">
              <w:rPr>
                <w:sz w:val="20"/>
                <w:szCs w:val="20"/>
              </w:rPr>
              <w:t>438,7</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09BD9AFD" w14:textId="77777777" w:rsidR="00C75D90" w:rsidRPr="009D5B83" w:rsidRDefault="00C75D90" w:rsidP="00C75D90">
            <w:pPr>
              <w:suppressAutoHyphens/>
              <w:jc w:val="center"/>
              <w:rPr>
                <w:sz w:val="20"/>
                <w:szCs w:val="20"/>
              </w:rPr>
            </w:pPr>
            <w:r w:rsidRPr="009D5B83">
              <w:rPr>
                <w:sz w:val="20"/>
                <w:szCs w:val="20"/>
              </w:rPr>
              <w:t>351,3</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9EFA198" w14:textId="77777777" w:rsidR="00C75D90" w:rsidRPr="009D5B83" w:rsidRDefault="00C75D90" w:rsidP="00C75D90">
            <w:pPr>
              <w:suppressAutoHyphens/>
              <w:jc w:val="center"/>
              <w:rPr>
                <w:sz w:val="20"/>
                <w:szCs w:val="20"/>
              </w:rPr>
            </w:pPr>
            <w:r w:rsidRPr="009D5B83">
              <w:rPr>
                <w:sz w:val="20"/>
                <w:szCs w:val="20"/>
              </w:rPr>
              <w:t>302,1</w:t>
            </w:r>
          </w:p>
        </w:tc>
        <w:tc>
          <w:tcPr>
            <w:tcW w:w="909" w:type="dxa"/>
            <w:tcBorders>
              <w:bottom w:val="single" w:sz="4" w:space="0" w:color="000000"/>
              <w:right w:val="single" w:sz="4" w:space="0" w:color="000000"/>
            </w:tcBorders>
            <w:tcMar>
              <w:left w:w="0" w:type="dxa"/>
              <w:right w:w="0" w:type="dxa"/>
            </w:tcMar>
            <w:vAlign w:val="center"/>
          </w:tcPr>
          <w:p w14:paraId="09171B37" w14:textId="77777777" w:rsidR="00C75D90" w:rsidRPr="009D5B83" w:rsidRDefault="00C75D90" w:rsidP="00C75D90">
            <w:pPr>
              <w:suppressAutoHyphens/>
              <w:jc w:val="center"/>
              <w:rPr>
                <w:sz w:val="20"/>
                <w:szCs w:val="20"/>
              </w:rPr>
            </w:pPr>
            <w:r w:rsidRPr="009D5B83">
              <w:rPr>
                <w:sz w:val="20"/>
                <w:szCs w:val="20"/>
              </w:rPr>
              <w:t>-216,0</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567BBC09" w14:textId="77777777" w:rsidR="00C75D90" w:rsidRPr="009D5B83" w:rsidRDefault="00C75D90" w:rsidP="00C75D90">
            <w:pPr>
              <w:suppressAutoHyphens/>
              <w:jc w:val="center"/>
              <w:rPr>
                <w:i/>
                <w:iCs/>
                <w:sz w:val="20"/>
                <w:szCs w:val="20"/>
              </w:rPr>
            </w:pPr>
            <w:r w:rsidRPr="009D5B83">
              <w:rPr>
                <w:i/>
                <w:iCs/>
                <w:sz w:val="20"/>
                <w:szCs w:val="20"/>
              </w:rPr>
              <w:t>-41,7</w:t>
            </w:r>
          </w:p>
        </w:tc>
      </w:tr>
      <w:tr w:rsidR="00C75D90" w:rsidRPr="009D5B83" w14:paraId="2CB6C677"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1025A231" w14:textId="77777777" w:rsidR="00C75D90" w:rsidRPr="009D5B83" w:rsidRDefault="00C75D90" w:rsidP="00C75D90">
            <w:pPr>
              <w:suppressAutoHyphens/>
              <w:ind w:left="113"/>
              <w:jc w:val="both"/>
              <w:rPr>
                <w:sz w:val="20"/>
                <w:szCs w:val="20"/>
              </w:rPr>
            </w:pPr>
            <w:r w:rsidRPr="009D5B83">
              <w:rPr>
                <w:sz w:val="20"/>
                <w:szCs w:val="20"/>
              </w:rPr>
              <w:t>Дорожное хозяйство</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0ECBE9ED" w14:textId="77777777" w:rsidR="00C75D90" w:rsidRPr="009D5B83" w:rsidRDefault="00C75D90" w:rsidP="00C75D90">
            <w:pPr>
              <w:suppressAutoHyphens/>
              <w:jc w:val="center"/>
              <w:rPr>
                <w:sz w:val="20"/>
                <w:szCs w:val="20"/>
              </w:rPr>
            </w:pPr>
            <w:r w:rsidRPr="009D5B83">
              <w:rPr>
                <w:sz w:val="20"/>
                <w:szCs w:val="20"/>
              </w:rPr>
              <w:t>1 187,3</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3FD9DE72" w14:textId="77777777" w:rsidR="00C75D90" w:rsidRPr="009D5B83" w:rsidRDefault="00C75D90" w:rsidP="00C75D90">
            <w:pPr>
              <w:suppressAutoHyphens/>
              <w:jc w:val="center"/>
              <w:rPr>
                <w:sz w:val="20"/>
                <w:szCs w:val="20"/>
              </w:rPr>
            </w:pPr>
            <w:r w:rsidRPr="009D5B83">
              <w:rPr>
                <w:sz w:val="20"/>
                <w:szCs w:val="20"/>
              </w:rPr>
              <w:t>1 059,0</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2437A1D8" w14:textId="77777777" w:rsidR="00C75D90" w:rsidRPr="009D5B83" w:rsidRDefault="00C75D90" w:rsidP="00C75D90">
            <w:pPr>
              <w:suppressAutoHyphens/>
              <w:jc w:val="center"/>
              <w:rPr>
                <w:sz w:val="20"/>
                <w:szCs w:val="20"/>
              </w:rPr>
            </w:pPr>
            <w:r w:rsidRPr="009D5B83">
              <w:rPr>
                <w:sz w:val="20"/>
                <w:szCs w:val="20"/>
              </w:rPr>
              <w:t>958,8</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05489A90" w14:textId="77777777" w:rsidR="00C75D90" w:rsidRPr="009D5B83" w:rsidRDefault="00C75D90" w:rsidP="00C75D90">
            <w:pPr>
              <w:suppressAutoHyphens/>
              <w:jc w:val="center"/>
              <w:rPr>
                <w:sz w:val="20"/>
                <w:szCs w:val="20"/>
              </w:rPr>
            </w:pPr>
            <w:r w:rsidRPr="009D5B83">
              <w:rPr>
                <w:sz w:val="20"/>
                <w:szCs w:val="20"/>
              </w:rPr>
              <w:t>1 051,1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D5E378A" w14:textId="77777777" w:rsidR="00C75D90" w:rsidRPr="009D5B83" w:rsidRDefault="00C75D90" w:rsidP="00C75D90">
            <w:pPr>
              <w:suppressAutoHyphens/>
              <w:jc w:val="center"/>
              <w:rPr>
                <w:sz w:val="20"/>
                <w:szCs w:val="20"/>
              </w:rPr>
            </w:pPr>
            <w:r w:rsidRPr="009D5B83">
              <w:rPr>
                <w:sz w:val="20"/>
                <w:szCs w:val="20"/>
              </w:rPr>
              <w:t>1 198,4</w:t>
            </w:r>
          </w:p>
        </w:tc>
        <w:tc>
          <w:tcPr>
            <w:tcW w:w="909" w:type="dxa"/>
            <w:tcBorders>
              <w:bottom w:val="single" w:sz="4" w:space="0" w:color="000000"/>
              <w:right w:val="single" w:sz="4" w:space="0" w:color="000000"/>
            </w:tcBorders>
            <w:tcMar>
              <w:left w:w="0" w:type="dxa"/>
              <w:right w:w="0" w:type="dxa"/>
            </w:tcMar>
            <w:vAlign w:val="center"/>
          </w:tcPr>
          <w:p w14:paraId="32858FF0" w14:textId="77777777" w:rsidR="00C75D90" w:rsidRPr="009D5B83" w:rsidRDefault="00C75D90" w:rsidP="00C75D90">
            <w:pPr>
              <w:suppressAutoHyphens/>
              <w:jc w:val="center"/>
              <w:rPr>
                <w:sz w:val="20"/>
                <w:szCs w:val="20"/>
              </w:rPr>
            </w:pPr>
            <w:r w:rsidRPr="009D5B83">
              <w:rPr>
                <w:sz w:val="20"/>
                <w:szCs w:val="20"/>
              </w:rPr>
              <w:t>11,1</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48EFA5C1" w14:textId="77777777" w:rsidR="00C75D90" w:rsidRPr="009D5B83" w:rsidRDefault="00C75D90" w:rsidP="00C75D90">
            <w:pPr>
              <w:suppressAutoHyphens/>
              <w:jc w:val="center"/>
              <w:rPr>
                <w:i/>
                <w:iCs/>
                <w:sz w:val="20"/>
                <w:szCs w:val="20"/>
              </w:rPr>
            </w:pPr>
            <w:r w:rsidRPr="009D5B83">
              <w:rPr>
                <w:i/>
                <w:iCs/>
                <w:sz w:val="20"/>
                <w:szCs w:val="20"/>
              </w:rPr>
              <w:t>0,9</w:t>
            </w:r>
          </w:p>
        </w:tc>
      </w:tr>
      <w:tr w:rsidR="00C75D90" w:rsidRPr="009D5B83" w14:paraId="662CEBBA"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7AE8858A" w14:textId="77777777" w:rsidR="00C75D90" w:rsidRPr="009D5B83" w:rsidRDefault="00C75D90" w:rsidP="00C75D90">
            <w:pPr>
              <w:suppressAutoHyphens/>
              <w:ind w:left="113"/>
              <w:jc w:val="both"/>
              <w:rPr>
                <w:sz w:val="20"/>
                <w:szCs w:val="20"/>
              </w:rPr>
            </w:pPr>
            <w:r w:rsidRPr="009D5B83">
              <w:rPr>
                <w:sz w:val="20"/>
                <w:szCs w:val="20"/>
              </w:rPr>
              <w:t>Связь и информатика</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4557F5D2" w14:textId="77777777" w:rsidR="00C75D90" w:rsidRPr="009D5B83" w:rsidRDefault="00C75D90" w:rsidP="00C75D90">
            <w:pPr>
              <w:suppressAutoHyphens/>
              <w:jc w:val="center"/>
              <w:rPr>
                <w:sz w:val="20"/>
                <w:szCs w:val="20"/>
              </w:rPr>
            </w:pPr>
            <w:r w:rsidRPr="009D5B83">
              <w:rPr>
                <w:sz w:val="20"/>
                <w:szCs w:val="20"/>
              </w:rPr>
              <w:t>132,8</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5A7E4856" w14:textId="77777777" w:rsidR="00C75D90" w:rsidRPr="009D5B83" w:rsidRDefault="00C75D90" w:rsidP="00C75D90">
            <w:pPr>
              <w:suppressAutoHyphens/>
              <w:jc w:val="center"/>
              <w:rPr>
                <w:sz w:val="20"/>
                <w:szCs w:val="20"/>
              </w:rPr>
            </w:pPr>
            <w:r w:rsidRPr="009D5B83">
              <w:rPr>
                <w:sz w:val="20"/>
                <w:szCs w:val="20"/>
              </w:rPr>
              <w:t>151,1</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39A9FD49" w14:textId="77777777" w:rsidR="00C75D90" w:rsidRPr="009D5B83" w:rsidRDefault="00C75D90" w:rsidP="00C75D90">
            <w:pPr>
              <w:suppressAutoHyphens/>
              <w:jc w:val="center"/>
              <w:rPr>
                <w:sz w:val="20"/>
                <w:szCs w:val="20"/>
              </w:rPr>
            </w:pPr>
            <w:r w:rsidRPr="009D5B83">
              <w:rPr>
                <w:sz w:val="20"/>
                <w:szCs w:val="20"/>
              </w:rPr>
              <w:t>99,4</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49669E87" w14:textId="77777777" w:rsidR="00C75D90" w:rsidRPr="009D5B83" w:rsidRDefault="00C75D90" w:rsidP="00C75D90">
            <w:pPr>
              <w:suppressAutoHyphens/>
              <w:jc w:val="center"/>
              <w:rPr>
                <w:sz w:val="20"/>
                <w:szCs w:val="20"/>
              </w:rPr>
            </w:pPr>
            <w:r w:rsidRPr="009D5B83">
              <w:rPr>
                <w:sz w:val="20"/>
                <w:szCs w:val="20"/>
              </w:rPr>
              <w:t>105,7</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00DC860D" w14:textId="77777777" w:rsidR="00C75D90" w:rsidRPr="009D5B83" w:rsidRDefault="00C75D90" w:rsidP="00C75D90">
            <w:pPr>
              <w:suppressAutoHyphens/>
              <w:jc w:val="center"/>
              <w:rPr>
                <w:sz w:val="20"/>
                <w:szCs w:val="20"/>
              </w:rPr>
            </w:pPr>
            <w:r w:rsidRPr="009D5B83">
              <w:rPr>
                <w:sz w:val="20"/>
                <w:szCs w:val="20"/>
              </w:rPr>
              <w:t>57,7</w:t>
            </w:r>
          </w:p>
        </w:tc>
        <w:tc>
          <w:tcPr>
            <w:tcW w:w="909" w:type="dxa"/>
            <w:tcBorders>
              <w:bottom w:val="single" w:sz="4" w:space="0" w:color="000000"/>
              <w:right w:val="single" w:sz="4" w:space="0" w:color="000000"/>
            </w:tcBorders>
            <w:tcMar>
              <w:left w:w="0" w:type="dxa"/>
              <w:right w:w="0" w:type="dxa"/>
            </w:tcMar>
            <w:vAlign w:val="center"/>
          </w:tcPr>
          <w:p w14:paraId="270F4E81" w14:textId="77777777" w:rsidR="00C75D90" w:rsidRPr="009D5B83" w:rsidRDefault="00C75D90" w:rsidP="00C75D90">
            <w:pPr>
              <w:suppressAutoHyphens/>
              <w:jc w:val="center"/>
              <w:rPr>
                <w:sz w:val="20"/>
                <w:szCs w:val="20"/>
              </w:rPr>
            </w:pPr>
            <w:r w:rsidRPr="009D5B83">
              <w:rPr>
                <w:sz w:val="20"/>
                <w:szCs w:val="20"/>
              </w:rPr>
              <w:t>-75,1</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11438408" w14:textId="77777777" w:rsidR="00C75D90" w:rsidRPr="009D5B83" w:rsidRDefault="00C75D90" w:rsidP="00C75D90">
            <w:pPr>
              <w:suppressAutoHyphens/>
              <w:jc w:val="center"/>
              <w:rPr>
                <w:i/>
                <w:iCs/>
                <w:sz w:val="20"/>
                <w:szCs w:val="20"/>
              </w:rPr>
            </w:pPr>
            <w:r w:rsidRPr="009D5B83">
              <w:rPr>
                <w:i/>
                <w:iCs/>
                <w:sz w:val="20"/>
                <w:szCs w:val="20"/>
              </w:rPr>
              <w:t>-56,5</w:t>
            </w:r>
          </w:p>
        </w:tc>
      </w:tr>
      <w:tr w:rsidR="00C75D90" w:rsidRPr="009D5B83" w14:paraId="79239811"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645C2555" w14:textId="77777777" w:rsidR="00C75D90" w:rsidRPr="009D5B83" w:rsidRDefault="00C75D90" w:rsidP="00C75D90">
            <w:pPr>
              <w:suppressAutoHyphens/>
              <w:ind w:left="113"/>
              <w:jc w:val="both"/>
              <w:rPr>
                <w:sz w:val="20"/>
                <w:szCs w:val="20"/>
              </w:rPr>
            </w:pPr>
            <w:r w:rsidRPr="009D5B83">
              <w:rPr>
                <w:sz w:val="20"/>
                <w:szCs w:val="20"/>
              </w:rPr>
              <w:t>Прикладные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3E111F78" w14:textId="77777777" w:rsidR="00C75D90" w:rsidRPr="009D5B83" w:rsidRDefault="00C75D90" w:rsidP="00C75D90">
            <w:pPr>
              <w:suppressAutoHyphens/>
              <w:jc w:val="center"/>
              <w:rPr>
                <w:sz w:val="20"/>
                <w:szCs w:val="20"/>
              </w:rPr>
            </w:pPr>
            <w:r w:rsidRPr="009D5B83">
              <w:rPr>
                <w:sz w:val="20"/>
                <w:szCs w:val="20"/>
              </w:rPr>
              <w:t>300,1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31F12685" w14:textId="77777777" w:rsidR="00C75D90" w:rsidRPr="009D5B83" w:rsidRDefault="00C75D90" w:rsidP="00C75D90">
            <w:pPr>
              <w:suppressAutoHyphens/>
              <w:jc w:val="center"/>
              <w:rPr>
                <w:sz w:val="20"/>
                <w:szCs w:val="20"/>
              </w:rPr>
            </w:pPr>
            <w:r w:rsidRPr="009D5B83">
              <w:rPr>
                <w:sz w:val="20"/>
                <w:szCs w:val="20"/>
              </w:rPr>
              <w:t>238,7</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0B5F93B0" w14:textId="77777777" w:rsidR="00C75D90" w:rsidRPr="009D5B83" w:rsidRDefault="00C75D90" w:rsidP="00C75D90">
            <w:pPr>
              <w:suppressAutoHyphens/>
              <w:jc w:val="center"/>
              <w:rPr>
                <w:sz w:val="20"/>
                <w:szCs w:val="20"/>
              </w:rPr>
            </w:pPr>
            <w:r w:rsidRPr="009D5B83">
              <w:rPr>
                <w:sz w:val="20"/>
                <w:szCs w:val="20"/>
              </w:rPr>
              <w:t>337,0</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6CB17278" w14:textId="77777777" w:rsidR="00C75D90" w:rsidRPr="009D5B83" w:rsidRDefault="00C75D90" w:rsidP="00C75D90">
            <w:pPr>
              <w:suppressAutoHyphens/>
              <w:jc w:val="center"/>
              <w:rPr>
                <w:sz w:val="20"/>
                <w:szCs w:val="20"/>
              </w:rPr>
            </w:pPr>
            <w:r w:rsidRPr="009D5B83">
              <w:rPr>
                <w:sz w:val="20"/>
                <w:szCs w:val="20"/>
              </w:rPr>
              <w:t>334,3</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6E8153E3" w14:textId="77777777" w:rsidR="00C75D90" w:rsidRPr="009D5B83" w:rsidRDefault="00C75D90" w:rsidP="00C75D90">
            <w:pPr>
              <w:suppressAutoHyphens/>
              <w:jc w:val="center"/>
              <w:rPr>
                <w:sz w:val="20"/>
                <w:szCs w:val="20"/>
              </w:rPr>
            </w:pPr>
            <w:r w:rsidRPr="009D5B83">
              <w:rPr>
                <w:sz w:val="20"/>
                <w:szCs w:val="20"/>
              </w:rPr>
              <w:t>285,1</w:t>
            </w:r>
          </w:p>
        </w:tc>
        <w:tc>
          <w:tcPr>
            <w:tcW w:w="909" w:type="dxa"/>
            <w:tcBorders>
              <w:bottom w:val="single" w:sz="4" w:space="0" w:color="000000"/>
              <w:right w:val="single" w:sz="4" w:space="0" w:color="000000"/>
            </w:tcBorders>
            <w:tcMar>
              <w:left w:w="0" w:type="dxa"/>
              <w:right w:w="0" w:type="dxa"/>
            </w:tcMar>
            <w:vAlign w:val="center"/>
          </w:tcPr>
          <w:p w14:paraId="727C13B0" w14:textId="77777777" w:rsidR="00C75D90" w:rsidRPr="009D5B83" w:rsidRDefault="00C75D90" w:rsidP="00C75D90">
            <w:pPr>
              <w:suppressAutoHyphens/>
              <w:jc w:val="center"/>
              <w:rPr>
                <w:sz w:val="20"/>
                <w:szCs w:val="20"/>
              </w:rPr>
            </w:pPr>
            <w:r w:rsidRPr="009D5B83">
              <w:rPr>
                <w:sz w:val="20"/>
                <w:szCs w:val="20"/>
              </w:rPr>
              <w:t>-15,0</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1D0C3A41" w14:textId="77777777" w:rsidR="00C75D90" w:rsidRPr="009D5B83" w:rsidRDefault="00C75D90" w:rsidP="00C75D90">
            <w:pPr>
              <w:suppressAutoHyphens/>
              <w:jc w:val="center"/>
              <w:rPr>
                <w:i/>
                <w:iCs/>
                <w:sz w:val="20"/>
                <w:szCs w:val="20"/>
              </w:rPr>
            </w:pPr>
            <w:r w:rsidRPr="009D5B83">
              <w:rPr>
                <w:i/>
                <w:iCs/>
                <w:sz w:val="20"/>
                <w:szCs w:val="20"/>
              </w:rPr>
              <w:t>-5,0</w:t>
            </w:r>
          </w:p>
        </w:tc>
      </w:tr>
      <w:tr w:rsidR="00C75D90" w:rsidRPr="009D5B83" w14:paraId="0982DA2D"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658DB6D0" w14:textId="77777777" w:rsidR="00C75D90" w:rsidRPr="009D5B83" w:rsidRDefault="00C75D90" w:rsidP="00C75D90">
            <w:pPr>
              <w:suppressAutoHyphens/>
              <w:ind w:left="57"/>
              <w:jc w:val="both"/>
              <w:rPr>
                <w:sz w:val="20"/>
                <w:szCs w:val="20"/>
              </w:rPr>
            </w:pPr>
            <w:r w:rsidRPr="009D5B83">
              <w:rPr>
                <w:sz w:val="20"/>
                <w:szCs w:val="20"/>
              </w:rPr>
              <w:t xml:space="preserve">Жилищно-коммунальное хозяйство, </w:t>
            </w:r>
            <w:proofErr w:type="gramStart"/>
            <w:r w:rsidRPr="009D5B83">
              <w:rPr>
                <w:sz w:val="20"/>
                <w:szCs w:val="20"/>
              </w:rPr>
              <w:t>прикладные</w:t>
            </w:r>
            <w:proofErr w:type="gramEnd"/>
            <w:r w:rsidRPr="009D5B83">
              <w:rPr>
                <w:sz w:val="20"/>
                <w:szCs w:val="20"/>
              </w:rPr>
              <w:t xml:space="preserve">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08AB4679" w14:textId="77777777" w:rsidR="00C75D90" w:rsidRPr="009D5B83" w:rsidRDefault="00C75D90" w:rsidP="00C75D90">
            <w:pPr>
              <w:suppressAutoHyphens/>
              <w:jc w:val="center"/>
              <w:rPr>
                <w:sz w:val="20"/>
                <w:szCs w:val="20"/>
              </w:rPr>
            </w:pPr>
            <w:r w:rsidRPr="009D5B83">
              <w:rPr>
                <w:sz w:val="20"/>
                <w:szCs w:val="20"/>
              </w:rPr>
              <w:t>0,6</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2DBB3B91" w14:textId="77777777" w:rsidR="00C75D90" w:rsidRPr="009D5B83" w:rsidRDefault="00C75D90" w:rsidP="00C75D90">
            <w:pPr>
              <w:suppressAutoHyphens/>
              <w:jc w:val="center"/>
              <w:rPr>
                <w:sz w:val="20"/>
                <w:szCs w:val="20"/>
              </w:rPr>
            </w:pPr>
            <w:r w:rsidRPr="009D5B83">
              <w:rPr>
                <w:sz w:val="20"/>
                <w:szCs w:val="20"/>
              </w:rPr>
              <w:t>0,5</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02E8F894" w14:textId="77777777" w:rsidR="00C75D90" w:rsidRPr="009D5B83" w:rsidRDefault="00C75D90" w:rsidP="00C75D90">
            <w:pPr>
              <w:suppressAutoHyphens/>
              <w:jc w:val="center"/>
              <w:rPr>
                <w:sz w:val="20"/>
                <w:szCs w:val="20"/>
              </w:rPr>
            </w:pPr>
            <w:r w:rsidRPr="009D5B83">
              <w:rPr>
                <w:sz w:val="20"/>
                <w:szCs w:val="20"/>
              </w:rPr>
              <w:t>0,0</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3E950382" w14:textId="77777777" w:rsidR="00C75D90" w:rsidRPr="009D5B83" w:rsidRDefault="00C75D90" w:rsidP="00C75D90">
            <w:pPr>
              <w:suppressAutoHyphens/>
              <w:jc w:val="center"/>
              <w:rPr>
                <w:sz w:val="20"/>
                <w:szCs w:val="20"/>
              </w:rPr>
            </w:pPr>
            <w:r w:rsidRPr="009D5B83">
              <w:rPr>
                <w:sz w:val="20"/>
                <w:szCs w:val="20"/>
              </w:rPr>
              <w:t>0,6</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75B45F7A" w14:textId="77777777" w:rsidR="00C75D90" w:rsidRPr="009D5B83" w:rsidRDefault="00C75D90" w:rsidP="00C75D90">
            <w:pPr>
              <w:suppressAutoHyphens/>
              <w:jc w:val="center"/>
              <w:rPr>
                <w:sz w:val="20"/>
                <w:szCs w:val="20"/>
              </w:rPr>
            </w:pPr>
            <w:r w:rsidRPr="009D5B83">
              <w:rPr>
                <w:sz w:val="20"/>
                <w:szCs w:val="20"/>
              </w:rPr>
              <w:t>0,0</w:t>
            </w:r>
          </w:p>
        </w:tc>
        <w:tc>
          <w:tcPr>
            <w:tcW w:w="909" w:type="dxa"/>
            <w:tcBorders>
              <w:bottom w:val="single" w:sz="4" w:space="0" w:color="000000"/>
              <w:right w:val="single" w:sz="4" w:space="0" w:color="000000"/>
            </w:tcBorders>
            <w:tcMar>
              <w:left w:w="0" w:type="dxa"/>
              <w:right w:w="0" w:type="dxa"/>
            </w:tcMar>
            <w:vAlign w:val="center"/>
          </w:tcPr>
          <w:p w14:paraId="23BFC694" w14:textId="77777777" w:rsidR="00C75D90" w:rsidRPr="009D5B83" w:rsidRDefault="00C75D90" w:rsidP="00C75D90">
            <w:pPr>
              <w:suppressAutoHyphens/>
              <w:jc w:val="center"/>
              <w:rPr>
                <w:sz w:val="20"/>
                <w:szCs w:val="20"/>
              </w:rPr>
            </w:pPr>
            <w:r w:rsidRPr="009D5B83">
              <w:rPr>
                <w:sz w:val="20"/>
                <w:szCs w:val="20"/>
              </w:rPr>
              <w:t>-0,6</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0F31EDF7" w14:textId="77777777" w:rsidR="00C75D90" w:rsidRPr="009D5B83" w:rsidRDefault="00C75D90" w:rsidP="00C75D90">
            <w:pPr>
              <w:suppressAutoHyphens/>
              <w:jc w:val="center"/>
              <w:rPr>
                <w:i/>
                <w:iCs/>
                <w:sz w:val="20"/>
                <w:szCs w:val="20"/>
              </w:rPr>
            </w:pPr>
            <w:r w:rsidRPr="009D5B83">
              <w:rPr>
                <w:i/>
                <w:iCs/>
                <w:sz w:val="20"/>
                <w:szCs w:val="20"/>
              </w:rPr>
              <w:t>-100,0</w:t>
            </w:r>
          </w:p>
        </w:tc>
      </w:tr>
      <w:tr w:rsidR="00C75D90" w:rsidRPr="009D5B83" w14:paraId="7CFF3217"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7BF8A1B9" w14:textId="77777777" w:rsidR="00C75D90" w:rsidRPr="009D5B83" w:rsidRDefault="00C75D90" w:rsidP="00C75D90">
            <w:pPr>
              <w:suppressAutoHyphens/>
              <w:ind w:left="57"/>
              <w:jc w:val="both"/>
              <w:rPr>
                <w:sz w:val="20"/>
                <w:szCs w:val="20"/>
              </w:rPr>
            </w:pPr>
            <w:proofErr w:type="gramStart"/>
            <w:r w:rsidRPr="009D5B83">
              <w:rPr>
                <w:sz w:val="20"/>
                <w:szCs w:val="20"/>
              </w:rPr>
              <w:t>Охрана окружающей среды, прикладные НИОКР</w:t>
            </w:r>
            <w:proofErr w:type="gramEnd"/>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0C612AF3" w14:textId="77777777" w:rsidR="00C75D90" w:rsidRPr="009D5B83" w:rsidRDefault="00C75D90" w:rsidP="00C75D90">
            <w:pPr>
              <w:suppressAutoHyphens/>
              <w:jc w:val="center"/>
              <w:rPr>
                <w:sz w:val="20"/>
                <w:szCs w:val="20"/>
              </w:rPr>
            </w:pPr>
            <w:r w:rsidRPr="009D5B83">
              <w:rPr>
                <w:sz w:val="20"/>
                <w:szCs w:val="20"/>
              </w:rPr>
              <w:t>0,8</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06B95FC2" w14:textId="77777777" w:rsidR="00C75D90" w:rsidRPr="009D5B83" w:rsidRDefault="00C75D90" w:rsidP="00C75D90">
            <w:pPr>
              <w:suppressAutoHyphens/>
              <w:jc w:val="center"/>
              <w:rPr>
                <w:sz w:val="20"/>
                <w:szCs w:val="20"/>
              </w:rPr>
            </w:pPr>
            <w:r w:rsidRPr="009D5B83">
              <w:rPr>
                <w:sz w:val="20"/>
                <w:szCs w:val="20"/>
              </w:rPr>
              <w:t>0,8</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109B40CA" w14:textId="77777777" w:rsidR="00C75D90" w:rsidRPr="009D5B83" w:rsidRDefault="00C75D90" w:rsidP="00C75D90">
            <w:pPr>
              <w:suppressAutoHyphens/>
              <w:jc w:val="center"/>
              <w:rPr>
                <w:sz w:val="20"/>
                <w:szCs w:val="20"/>
              </w:rPr>
            </w:pPr>
            <w:r w:rsidRPr="009D5B83">
              <w:rPr>
                <w:sz w:val="20"/>
                <w:szCs w:val="20"/>
              </w:rPr>
              <w:t>1,1</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2F113869" w14:textId="77777777" w:rsidR="00C75D90" w:rsidRPr="009D5B83" w:rsidRDefault="00C75D90" w:rsidP="00C75D90">
            <w:pPr>
              <w:suppressAutoHyphens/>
              <w:jc w:val="center"/>
              <w:rPr>
                <w:sz w:val="20"/>
                <w:szCs w:val="20"/>
              </w:rPr>
            </w:pPr>
            <w:r w:rsidRPr="009D5B83">
              <w:rPr>
                <w:sz w:val="20"/>
                <w:szCs w:val="20"/>
              </w:rPr>
              <w:t>1,1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2ADE25F" w14:textId="77777777" w:rsidR="00C75D90" w:rsidRPr="009D5B83" w:rsidRDefault="00C75D90" w:rsidP="00C75D90">
            <w:pPr>
              <w:suppressAutoHyphens/>
              <w:jc w:val="center"/>
              <w:rPr>
                <w:sz w:val="20"/>
                <w:szCs w:val="20"/>
              </w:rPr>
            </w:pPr>
            <w:r w:rsidRPr="009D5B83">
              <w:rPr>
                <w:sz w:val="20"/>
                <w:szCs w:val="20"/>
              </w:rPr>
              <w:t>1,1</w:t>
            </w:r>
          </w:p>
        </w:tc>
        <w:tc>
          <w:tcPr>
            <w:tcW w:w="909" w:type="dxa"/>
            <w:tcBorders>
              <w:bottom w:val="single" w:sz="4" w:space="0" w:color="000000"/>
              <w:right w:val="single" w:sz="4" w:space="0" w:color="000000"/>
            </w:tcBorders>
            <w:tcMar>
              <w:left w:w="0" w:type="dxa"/>
              <w:right w:w="0" w:type="dxa"/>
            </w:tcMar>
            <w:vAlign w:val="center"/>
          </w:tcPr>
          <w:p w14:paraId="23D22244" w14:textId="77777777" w:rsidR="00C75D90" w:rsidRPr="009D5B83" w:rsidRDefault="00C75D90" w:rsidP="00C75D90">
            <w:pPr>
              <w:suppressAutoHyphens/>
              <w:jc w:val="center"/>
              <w:rPr>
                <w:sz w:val="20"/>
                <w:szCs w:val="20"/>
              </w:rPr>
            </w:pPr>
            <w:r w:rsidRPr="009D5B83">
              <w:rPr>
                <w:sz w:val="20"/>
                <w:szCs w:val="20"/>
              </w:rPr>
              <w:t>0,3</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4F7956AE" w14:textId="77777777" w:rsidR="00C75D90" w:rsidRPr="009D5B83" w:rsidRDefault="00C75D90" w:rsidP="00C75D90">
            <w:pPr>
              <w:suppressAutoHyphens/>
              <w:jc w:val="center"/>
              <w:rPr>
                <w:i/>
                <w:iCs/>
                <w:sz w:val="20"/>
                <w:szCs w:val="20"/>
              </w:rPr>
            </w:pPr>
            <w:r w:rsidRPr="009D5B83">
              <w:rPr>
                <w:i/>
                <w:iCs/>
                <w:sz w:val="20"/>
                <w:szCs w:val="20"/>
              </w:rPr>
              <w:t>37,5</w:t>
            </w:r>
          </w:p>
        </w:tc>
      </w:tr>
      <w:tr w:rsidR="00C75D90" w:rsidRPr="009D5B83" w14:paraId="71EAFE3A"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6531973C" w14:textId="77777777" w:rsidR="00C75D90" w:rsidRPr="009D5B83" w:rsidRDefault="00C75D90" w:rsidP="00C75D90">
            <w:pPr>
              <w:suppressAutoHyphens/>
              <w:ind w:left="57"/>
              <w:jc w:val="both"/>
              <w:rPr>
                <w:sz w:val="20"/>
                <w:szCs w:val="20"/>
              </w:rPr>
            </w:pPr>
            <w:r w:rsidRPr="009D5B83">
              <w:rPr>
                <w:sz w:val="20"/>
                <w:szCs w:val="20"/>
              </w:rPr>
              <w:t>Образование</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3A83D4CE" w14:textId="77777777" w:rsidR="00C75D90" w:rsidRPr="009D5B83" w:rsidRDefault="00C75D90" w:rsidP="00C75D90">
            <w:pPr>
              <w:suppressAutoHyphens/>
              <w:jc w:val="center"/>
              <w:rPr>
                <w:sz w:val="20"/>
                <w:szCs w:val="20"/>
              </w:rPr>
            </w:pPr>
            <w:r w:rsidRPr="009D5B83">
              <w:rPr>
                <w:sz w:val="20"/>
                <w:szCs w:val="20"/>
              </w:rPr>
              <w:t>1 064,4</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6E87ADE9" w14:textId="77777777" w:rsidR="00C75D90" w:rsidRPr="009D5B83" w:rsidRDefault="00C75D90" w:rsidP="00C75D90">
            <w:pPr>
              <w:suppressAutoHyphens/>
              <w:jc w:val="center"/>
              <w:rPr>
                <w:sz w:val="20"/>
                <w:szCs w:val="20"/>
              </w:rPr>
            </w:pPr>
            <w:r w:rsidRPr="009D5B83">
              <w:rPr>
                <w:sz w:val="20"/>
                <w:szCs w:val="20"/>
              </w:rPr>
              <w:t>1 299,0</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6627C3FF" w14:textId="77777777" w:rsidR="00C75D90" w:rsidRPr="009D5B83" w:rsidRDefault="00C75D90" w:rsidP="00C75D90">
            <w:pPr>
              <w:suppressAutoHyphens/>
              <w:jc w:val="center"/>
              <w:rPr>
                <w:sz w:val="20"/>
                <w:szCs w:val="20"/>
              </w:rPr>
            </w:pPr>
            <w:r w:rsidRPr="009D5B83">
              <w:rPr>
                <w:sz w:val="20"/>
                <w:szCs w:val="20"/>
              </w:rPr>
              <w:t>1 363,5</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1E96ED53" w14:textId="77777777" w:rsidR="00C75D90" w:rsidRPr="009D5B83" w:rsidRDefault="00C75D90" w:rsidP="00C75D90">
            <w:pPr>
              <w:suppressAutoHyphens/>
              <w:jc w:val="center"/>
              <w:rPr>
                <w:sz w:val="20"/>
                <w:szCs w:val="20"/>
              </w:rPr>
            </w:pPr>
            <w:r w:rsidRPr="009D5B83">
              <w:rPr>
                <w:sz w:val="20"/>
                <w:szCs w:val="20"/>
              </w:rPr>
              <w:t>1 398,1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F1B3AE8" w14:textId="77777777" w:rsidR="00C75D90" w:rsidRPr="009D5B83" w:rsidRDefault="00C75D90" w:rsidP="00C75D90">
            <w:pPr>
              <w:suppressAutoHyphens/>
              <w:jc w:val="center"/>
              <w:rPr>
                <w:sz w:val="20"/>
                <w:szCs w:val="20"/>
              </w:rPr>
            </w:pPr>
            <w:r w:rsidRPr="009D5B83">
              <w:rPr>
                <w:sz w:val="20"/>
                <w:szCs w:val="20"/>
              </w:rPr>
              <w:t>1 203,0</w:t>
            </w:r>
          </w:p>
        </w:tc>
        <w:tc>
          <w:tcPr>
            <w:tcW w:w="909" w:type="dxa"/>
            <w:tcBorders>
              <w:bottom w:val="single" w:sz="4" w:space="0" w:color="000000"/>
              <w:right w:val="single" w:sz="4" w:space="0" w:color="000000"/>
            </w:tcBorders>
            <w:tcMar>
              <w:left w:w="0" w:type="dxa"/>
              <w:right w:w="0" w:type="dxa"/>
            </w:tcMar>
            <w:vAlign w:val="center"/>
          </w:tcPr>
          <w:p w14:paraId="72AFA122" w14:textId="77777777" w:rsidR="00C75D90" w:rsidRPr="009D5B83" w:rsidRDefault="00C75D90" w:rsidP="00C75D90">
            <w:pPr>
              <w:suppressAutoHyphens/>
              <w:jc w:val="center"/>
              <w:rPr>
                <w:sz w:val="20"/>
                <w:szCs w:val="20"/>
              </w:rPr>
            </w:pPr>
            <w:r w:rsidRPr="009D5B83">
              <w:rPr>
                <w:sz w:val="20"/>
                <w:szCs w:val="20"/>
              </w:rPr>
              <w:t>138,6</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56C580CC" w14:textId="77777777" w:rsidR="00C75D90" w:rsidRPr="009D5B83" w:rsidRDefault="00C75D90" w:rsidP="00C75D90">
            <w:pPr>
              <w:suppressAutoHyphens/>
              <w:jc w:val="center"/>
              <w:rPr>
                <w:i/>
                <w:iCs/>
                <w:sz w:val="20"/>
                <w:szCs w:val="20"/>
              </w:rPr>
            </w:pPr>
            <w:r w:rsidRPr="009D5B83">
              <w:rPr>
                <w:i/>
                <w:iCs/>
                <w:sz w:val="20"/>
                <w:szCs w:val="20"/>
              </w:rPr>
              <w:t>13,0</w:t>
            </w:r>
          </w:p>
        </w:tc>
      </w:tr>
      <w:tr w:rsidR="00C75D90" w:rsidRPr="009D5B83" w14:paraId="30817A11"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5F27FB64" w14:textId="77777777" w:rsidR="00C75D90" w:rsidRPr="009D5B83" w:rsidRDefault="00C75D90" w:rsidP="00C75D90">
            <w:pPr>
              <w:suppressAutoHyphens/>
              <w:ind w:left="57"/>
              <w:jc w:val="both"/>
              <w:rPr>
                <w:sz w:val="20"/>
                <w:szCs w:val="20"/>
              </w:rPr>
            </w:pPr>
            <w:r w:rsidRPr="009D5B83">
              <w:rPr>
                <w:sz w:val="20"/>
                <w:szCs w:val="20"/>
              </w:rPr>
              <w:t xml:space="preserve">Культура, кинематография, </w:t>
            </w:r>
            <w:proofErr w:type="gramStart"/>
            <w:r w:rsidRPr="009D5B83">
              <w:rPr>
                <w:sz w:val="20"/>
                <w:szCs w:val="20"/>
              </w:rPr>
              <w:t>прикладные</w:t>
            </w:r>
            <w:proofErr w:type="gramEnd"/>
            <w:r w:rsidRPr="009D5B83">
              <w:rPr>
                <w:sz w:val="20"/>
                <w:szCs w:val="20"/>
              </w:rPr>
              <w:t xml:space="preserve">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1BE42324" w14:textId="77777777" w:rsidR="00C75D90" w:rsidRPr="009D5B83" w:rsidRDefault="00C75D90" w:rsidP="00C75D90">
            <w:pPr>
              <w:suppressAutoHyphens/>
              <w:jc w:val="center"/>
              <w:rPr>
                <w:sz w:val="20"/>
                <w:szCs w:val="20"/>
              </w:rPr>
            </w:pPr>
            <w:r w:rsidRPr="009D5B83">
              <w:rPr>
                <w:sz w:val="20"/>
                <w:szCs w:val="20"/>
              </w:rPr>
              <w:t>0,5</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A24E091" w14:textId="77777777" w:rsidR="00C75D90" w:rsidRPr="009D5B83" w:rsidRDefault="00C75D90" w:rsidP="00C75D90">
            <w:pPr>
              <w:suppressAutoHyphens/>
              <w:jc w:val="center"/>
              <w:rPr>
                <w:sz w:val="20"/>
                <w:szCs w:val="20"/>
              </w:rPr>
            </w:pPr>
            <w:r w:rsidRPr="009D5B83">
              <w:rPr>
                <w:sz w:val="20"/>
                <w:szCs w:val="20"/>
              </w:rPr>
              <w:t>0,5</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13C7CEE7" w14:textId="77777777" w:rsidR="00C75D90" w:rsidRPr="009D5B83" w:rsidRDefault="00C75D90" w:rsidP="00C75D90">
            <w:pPr>
              <w:suppressAutoHyphens/>
              <w:jc w:val="center"/>
              <w:rPr>
                <w:sz w:val="20"/>
                <w:szCs w:val="20"/>
              </w:rPr>
            </w:pPr>
            <w:r w:rsidRPr="009D5B83">
              <w:rPr>
                <w:sz w:val="20"/>
                <w:szCs w:val="20"/>
              </w:rPr>
              <w:t>0,4</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73593E8B" w14:textId="77777777" w:rsidR="00C75D90" w:rsidRPr="009D5B83" w:rsidRDefault="00C75D90" w:rsidP="00C75D90">
            <w:pPr>
              <w:suppressAutoHyphens/>
              <w:jc w:val="center"/>
              <w:rPr>
                <w:sz w:val="20"/>
                <w:szCs w:val="20"/>
              </w:rPr>
            </w:pPr>
            <w:r w:rsidRPr="009D5B83">
              <w:rPr>
                <w:sz w:val="20"/>
                <w:szCs w:val="20"/>
              </w:rPr>
              <w:t>0,5</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1C15767" w14:textId="77777777" w:rsidR="00C75D90" w:rsidRPr="009D5B83" w:rsidRDefault="00C75D90" w:rsidP="00C75D90">
            <w:pPr>
              <w:suppressAutoHyphens/>
              <w:jc w:val="center"/>
              <w:rPr>
                <w:sz w:val="20"/>
                <w:szCs w:val="20"/>
              </w:rPr>
            </w:pPr>
            <w:r w:rsidRPr="009D5B83">
              <w:rPr>
                <w:sz w:val="20"/>
                <w:szCs w:val="20"/>
              </w:rPr>
              <w:t>0,5</w:t>
            </w:r>
          </w:p>
        </w:tc>
        <w:tc>
          <w:tcPr>
            <w:tcW w:w="909" w:type="dxa"/>
            <w:tcBorders>
              <w:bottom w:val="single" w:sz="4" w:space="0" w:color="000000"/>
              <w:right w:val="single" w:sz="4" w:space="0" w:color="000000"/>
            </w:tcBorders>
            <w:tcMar>
              <w:left w:w="0" w:type="dxa"/>
              <w:right w:w="0" w:type="dxa"/>
            </w:tcMar>
            <w:vAlign w:val="center"/>
          </w:tcPr>
          <w:p w14:paraId="3142DC77" w14:textId="77777777" w:rsidR="00C75D90" w:rsidRPr="009D5B83" w:rsidRDefault="00C75D90" w:rsidP="00C75D90">
            <w:pPr>
              <w:suppressAutoHyphens/>
              <w:jc w:val="center"/>
              <w:rPr>
                <w:sz w:val="20"/>
                <w:szCs w:val="20"/>
              </w:rPr>
            </w:pPr>
            <w:r w:rsidRPr="009D5B83">
              <w:rPr>
                <w:sz w:val="20"/>
                <w:szCs w:val="20"/>
              </w:rPr>
              <w:t>0,0</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6D109719" w14:textId="77777777" w:rsidR="00C75D90" w:rsidRPr="009D5B83" w:rsidRDefault="00C75D90" w:rsidP="00C75D90">
            <w:pPr>
              <w:suppressAutoHyphens/>
              <w:jc w:val="center"/>
              <w:rPr>
                <w:i/>
                <w:iCs/>
                <w:sz w:val="20"/>
                <w:szCs w:val="20"/>
              </w:rPr>
            </w:pPr>
            <w:r w:rsidRPr="009D5B83">
              <w:rPr>
                <w:i/>
                <w:iCs/>
                <w:sz w:val="20"/>
                <w:szCs w:val="20"/>
              </w:rPr>
              <w:t>0,0</w:t>
            </w:r>
          </w:p>
        </w:tc>
      </w:tr>
      <w:tr w:rsidR="00C75D90" w:rsidRPr="009D5B83" w14:paraId="471073B1"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7234ABE0" w14:textId="77777777" w:rsidR="00C75D90" w:rsidRPr="009D5B83" w:rsidRDefault="00C75D90" w:rsidP="00C75D90">
            <w:pPr>
              <w:suppressAutoHyphens/>
              <w:ind w:left="57"/>
              <w:jc w:val="both"/>
              <w:rPr>
                <w:sz w:val="20"/>
                <w:szCs w:val="20"/>
              </w:rPr>
            </w:pPr>
            <w:r w:rsidRPr="009D5B83">
              <w:rPr>
                <w:sz w:val="20"/>
                <w:szCs w:val="20"/>
              </w:rPr>
              <w:t>Здравоохранение</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69B29813" w14:textId="77777777" w:rsidR="00C75D90" w:rsidRPr="009D5B83" w:rsidRDefault="00C75D90" w:rsidP="00C75D90">
            <w:pPr>
              <w:suppressAutoHyphens/>
              <w:jc w:val="center"/>
              <w:rPr>
                <w:sz w:val="20"/>
                <w:szCs w:val="20"/>
              </w:rPr>
            </w:pPr>
            <w:r w:rsidRPr="009D5B83">
              <w:rPr>
                <w:sz w:val="20"/>
                <w:szCs w:val="20"/>
              </w:rPr>
              <w:t>1 473,9</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0380F9BB" w14:textId="77777777" w:rsidR="00C75D90" w:rsidRPr="009D5B83" w:rsidRDefault="00C75D90" w:rsidP="00C75D90">
            <w:pPr>
              <w:suppressAutoHyphens/>
              <w:jc w:val="center"/>
              <w:rPr>
                <w:sz w:val="20"/>
                <w:szCs w:val="20"/>
              </w:rPr>
            </w:pPr>
            <w:r w:rsidRPr="009D5B83">
              <w:rPr>
                <w:sz w:val="20"/>
                <w:szCs w:val="20"/>
              </w:rPr>
              <w:t>1 374,8</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05F932D5" w14:textId="77777777" w:rsidR="00C75D90" w:rsidRPr="009D5B83" w:rsidRDefault="00C75D90" w:rsidP="00C75D90">
            <w:pPr>
              <w:suppressAutoHyphens/>
              <w:jc w:val="center"/>
              <w:rPr>
                <w:sz w:val="20"/>
                <w:szCs w:val="20"/>
              </w:rPr>
            </w:pPr>
            <w:r w:rsidRPr="009D5B83">
              <w:rPr>
                <w:sz w:val="20"/>
                <w:szCs w:val="20"/>
              </w:rPr>
              <w:t>1 431,9</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441FDC30" w14:textId="77777777" w:rsidR="00C75D90" w:rsidRPr="009D5B83" w:rsidRDefault="00C75D90" w:rsidP="00C75D90">
            <w:pPr>
              <w:suppressAutoHyphens/>
              <w:jc w:val="center"/>
              <w:rPr>
                <w:sz w:val="20"/>
                <w:szCs w:val="20"/>
              </w:rPr>
            </w:pPr>
            <w:r w:rsidRPr="009D5B83">
              <w:rPr>
                <w:sz w:val="20"/>
                <w:szCs w:val="20"/>
              </w:rPr>
              <w:t>1 456,8</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54EE9DE" w14:textId="77777777" w:rsidR="00C75D90" w:rsidRPr="009D5B83" w:rsidRDefault="00C75D90" w:rsidP="00C75D90">
            <w:pPr>
              <w:suppressAutoHyphens/>
              <w:jc w:val="center"/>
              <w:rPr>
                <w:sz w:val="20"/>
                <w:szCs w:val="20"/>
              </w:rPr>
            </w:pPr>
            <w:r w:rsidRPr="009D5B83">
              <w:rPr>
                <w:sz w:val="20"/>
                <w:szCs w:val="20"/>
              </w:rPr>
              <w:t>1 472,3</w:t>
            </w:r>
          </w:p>
        </w:tc>
        <w:tc>
          <w:tcPr>
            <w:tcW w:w="909" w:type="dxa"/>
            <w:tcBorders>
              <w:bottom w:val="single" w:sz="4" w:space="0" w:color="000000"/>
              <w:right w:val="single" w:sz="4" w:space="0" w:color="000000"/>
            </w:tcBorders>
            <w:tcMar>
              <w:left w:w="0" w:type="dxa"/>
              <w:right w:w="0" w:type="dxa"/>
            </w:tcMar>
            <w:vAlign w:val="center"/>
          </w:tcPr>
          <w:p w14:paraId="0F6EA79E" w14:textId="77777777" w:rsidR="00C75D90" w:rsidRPr="009D5B83" w:rsidRDefault="00C75D90" w:rsidP="00C75D90">
            <w:pPr>
              <w:suppressAutoHyphens/>
              <w:jc w:val="center"/>
              <w:rPr>
                <w:sz w:val="20"/>
                <w:szCs w:val="20"/>
              </w:rPr>
            </w:pPr>
            <w:r w:rsidRPr="009D5B83">
              <w:rPr>
                <w:sz w:val="20"/>
                <w:szCs w:val="20"/>
              </w:rPr>
              <w:t>-1,6</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23211431" w14:textId="77777777" w:rsidR="00C75D90" w:rsidRPr="009D5B83" w:rsidRDefault="00C75D90" w:rsidP="00C75D90">
            <w:pPr>
              <w:suppressAutoHyphens/>
              <w:jc w:val="center"/>
              <w:rPr>
                <w:i/>
                <w:iCs/>
                <w:sz w:val="20"/>
                <w:szCs w:val="20"/>
              </w:rPr>
            </w:pPr>
            <w:r w:rsidRPr="009D5B83">
              <w:rPr>
                <w:i/>
                <w:iCs/>
                <w:sz w:val="20"/>
                <w:szCs w:val="20"/>
              </w:rPr>
              <w:t>-0,1</w:t>
            </w:r>
          </w:p>
        </w:tc>
      </w:tr>
      <w:tr w:rsidR="00C75D90" w:rsidRPr="009D5B83" w14:paraId="3E00CB49"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5D33299C" w14:textId="77777777" w:rsidR="00C75D90" w:rsidRPr="009D5B83" w:rsidRDefault="00C75D90" w:rsidP="00C75D90">
            <w:pPr>
              <w:suppressAutoHyphens/>
              <w:ind w:left="57"/>
              <w:jc w:val="both"/>
              <w:rPr>
                <w:sz w:val="20"/>
                <w:szCs w:val="20"/>
              </w:rPr>
            </w:pPr>
            <w:r w:rsidRPr="009D5B83">
              <w:rPr>
                <w:sz w:val="20"/>
                <w:szCs w:val="20"/>
              </w:rPr>
              <w:t xml:space="preserve">Социальная политика, </w:t>
            </w:r>
            <w:proofErr w:type="gramStart"/>
            <w:r w:rsidRPr="009D5B83">
              <w:rPr>
                <w:sz w:val="20"/>
                <w:szCs w:val="20"/>
              </w:rPr>
              <w:t>прикладные</w:t>
            </w:r>
            <w:proofErr w:type="gramEnd"/>
            <w:r w:rsidRPr="009D5B83">
              <w:rPr>
                <w:sz w:val="20"/>
                <w:szCs w:val="20"/>
              </w:rPr>
              <w:t xml:space="preserve">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0ED03D7C" w14:textId="77777777" w:rsidR="00C75D90" w:rsidRPr="009D5B83" w:rsidRDefault="00C75D90" w:rsidP="00C75D90">
            <w:pPr>
              <w:suppressAutoHyphens/>
              <w:jc w:val="center"/>
              <w:rPr>
                <w:sz w:val="20"/>
                <w:szCs w:val="20"/>
              </w:rPr>
            </w:pPr>
            <w:r w:rsidRPr="009D5B83">
              <w:rPr>
                <w:sz w:val="20"/>
                <w:szCs w:val="20"/>
              </w:rPr>
              <w:t>0,5</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65D38288" w14:textId="77777777" w:rsidR="00C75D90" w:rsidRPr="009D5B83" w:rsidRDefault="00C75D90" w:rsidP="00C75D90">
            <w:pPr>
              <w:suppressAutoHyphens/>
              <w:jc w:val="center"/>
              <w:rPr>
                <w:sz w:val="20"/>
                <w:szCs w:val="20"/>
              </w:rPr>
            </w:pPr>
            <w:r w:rsidRPr="009D5B83">
              <w:rPr>
                <w:sz w:val="20"/>
                <w:szCs w:val="20"/>
              </w:rPr>
              <w:t>0,5</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7E4375FE" w14:textId="77777777" w:rsidR="00C75D90" w:rsidRPr="009D5B83" w:rsidRDefault="00C75D90" w:rsidP="00C75D90">
            <w:pPr>
              <w:suppressAutoHyphens/>
              <w:jc w:val="center"/>
              <w:rPr>
                <w:sz w:val="20"/>
                <w:szCs w:val="20"/>
              </w:rPr>
            </w:pPr>
            <w:r w:rsidRPr="009D5B83">
              <w:rPr>
                <w:sz w:val="20"/>
                <w:szCs w:val="20"/>
              </w:rPr>
              <w:t>0,6</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7D128243" w14:textId="77777777" w:rsidR="00C75D90" w:rsidRPr="009D5B83" w:rsidRDefault="00C75D90" w:rsidP="00C75D90">
            <w:pPr>
              <w:suppressAutoHyphens/>
              <w:jc w:val="center"/>
              <w:rPr>
                <w:sz w:val="20"/>
                <w:szCs w:val="20"/>
              </w:rPr>
            </w:pPr>
            <w:r w:rsidRPr="009D5B83">
              <w:rPr>
                <w:sz w:val="20"/>
                <w:szCs w:val="20"/>
              </w:rPr>
              <w:t>0,4</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A1C413F" w14:textId="77777777" w:rsidR="00C75D90" w:rsidRPr="009D5B83" w:rsidRDefault="00C75D90" w:rsidP="00C75D90">
            <w:pPr>
              <w:suppressAutoHyphens/>
              <w:jc w:val="center"/>
              <w:rPr>
                <w:sz w:val="20"/>
                <w:szCs w:val="20"/>
              </w:rPr>
            </w:pPr>
            <w:r w:rsidRPr="009D5B83">
              <w:rPr>
                <w:sz w:val="20"/>
                <w:szCs w:val="20"/>
              </w:rPr>
              <w:t>0,2</w:t>
            </w:r>
          </w:p>
        </w:tc>
        <w:tc>
          <w:tcPr>
            <w:tcW w:w="909" w:type="dxa"/>
            <w:tcBorders>
              <w:bottom w:val="single" w:sz="4" w:space="0" w:color="000000"/>
              <w:right w:val="single" w:sz="4" w:space="0" w:color="000000"/>
            </w:tcBorders>
            <w:tcMar>
              <w:left w:w="0" w:type="dxa"/>
              <w:right w:w="0" w:type="dxa"/>
            </w:tcMar>
            <w:vAlign w:val="center"/>
          </w:tcPr>
          <w:p w14:paraId="38FFDFEF" w14:textId="77777777" w:rsidR="00C75D90" w:rsidRPr="009D5B83" w:rsidRDefault="00C75D90" w:rsidP="00C75D90">
            <w:pPr>
              <w:suppressAutoHyphens/>
              <w:jc w:val="center"/>
              <w:rPr>
                <w:sz w:val="20"/>
                <w:szCs w:val="20"/>
              </w:rPr>
            </w:pPr>
            <w:r w:rsidRPr="009D5B83">
              <w:rPr>
                <w:sz w:val="20"/>
                <w:szCs w:val="20"/>
              </w:rPr>
              <w:t>-0,3</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4B3EA9B1" w14:textId="77777777" w:rsidR="00C75D90" w:rsidRPr="009D5B83" w:rsidRDefault="00C75D90" w:rsidP="00C75D90">
            <w:pPr>
              <w:suppressAutoHyphens/>
              <w:jc w:val="center"/>
              <w:rPr>
                <w:i/>
                <w:iCs/>
                <w:sz w:val="20"/>
                <w:szCs w:val="20"/>
              </w:rPr>
            </w:pPr>
            <w:r w:rsidRPr="009D5B83">
              <w:rPr>
                <w:i/>
                <w:iCs/>
                <w:sz w:val="20"/>
                <w:szCs w:val="20"/>
              </w:rPr>
              <w:t>-60,0</w:t>
            </w:r>
          </w:p>
        </w:tc>
      </w:tr>
      <w:tr w:rsidR="00C75D90" w:rsidRPr="009D5B83" w14:paraId="3D7F763D"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3F837D25" w14:textId="77777777" w:rsidR="00C75D90" w:rsidRPr="009D5B83" w:rsidRDefault="00C75D90" w:rsidP="00C75D90">
            <w:pPr>
              <w:suppressAutoHyphens/>
              <w:ind w:left="57"/>
              <w:jc w:val="both"/>
              <w:rPr>
                <w:sz w:val="20"/>
                <w:szCs w:val="20"/>
              </w:rPr>
            </w:pPr>
            <w:r w:rsidRPr="009D5B83">
              <w:rPr>
                <w:sz w:val="20"/>
                <w:szCs w:val="20"/>
              </w:rPr>
              <w:t xml:space="preserve">Физическая культура и спорт, </w:t>
            </w:r>
            <w:proofErr w:type="gramStart"/>
            <w:r w:rsidRPr="009D5B83">
              <w:rPr>
                <w:sz w:val="20"/>
                <w:szCs w:val="20"/>
              </w:rPr>
              <w:t>прикладные</w:t>
            </w:r>
            <w:proofErr w:type="gramEnd"/>
            <w:r w:rsidRPr="009D5B83">
              <w:rPr>
                <w:sz w:val="20"/>
                <w:szCs w:val="20"/>
              </w:rPr>
              <w:t xml:space="preserve"> НИОКР</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3264D52D" w14:textId="77777777" w:rsidR="00C75D90" w:rsidRPr="009D5B83" w:rsidRDefault="00C75D90" w:rsidP="00C75D90">
            <w:pPr>
              <w:suppressAutoHyphens/>
              <w:jc w:val="center"/>
              <w:rPr>
                <w:sz w:val="20"/>
                <w:szCs w:val="20"/>
              </w:rPr>
            </w:pPr>
            <w:r w:rsidRPr="009D5B83">
              <w:rPr>
                <w:sz w:val="20"/>
                <w:szCs w:val="20"/>
              </w:rPr>
              <w:t>0,4</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6152E5EE" w14:textId="77777777" w:rsidR="00C75D90" w:rsidRPr="009D5B83" w:rsidRDefault="00C75D90" w:rsidP="00C75D90">
            <w:pPr>
              <w:suppressAutoHyphens/>
              <w:jc w:val="center"/>
              <w:rPr>
                <w:sz w:val="20"/>
                <w:szCs w:val="20"/>
              </w:rPr>
            </w:pPr>
            <w:r w:rsidRPr="009D5B83">
              <w:rPr>
                <w:sz w:val="20"/>
                <w:szCs w:val="20"/>
              </w:rPr>
              <w:t>0,4</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444BB959" w14:textId="77777777" w:rsidR="00C75D90" w:rsidRPr="009D5B83" w:rsidRDefault="00C75D90" w:rsidP="00C75D90">
            <w:pPr>
              <w:suppressAutoHyphens/>
              <w:jc w:val="center"/>
              <w:rPr>
                <w:sz w:val="20"/>
                <w:szCs w:val="20"/>
              </w:rPr>
            </w:pPr>
            <w:r w:rsidRPr="009D5B83">
              <w:rPr>
                <w:sz w:val="20"/>
                <w:szCs w:val="20"/>
              </w:rPr>
              <w:t>0,4</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281255AA" w14:textId="77777777" w:rsidR="00C75D90" w:rsidRPr="009D5B83" w:rsidRDefault="00C75D90" w:rsidP="00C75D90">
            <w:pPr>
              <w:suppressAutoHyphens/>
              <w:jc w:val="center"/>
              <w:rPr>
                <w:sz w:val="20"/>
                <w:szCs w:val="20"/>
              </w:rPr>
            </w:pPr>
            <w:r w:rsidRPr="009D5B83">
              <w:rPr>
                <w:sz w:val="20"/>
                <w:szCs w:val="20"/>
              </w:rPr>
              <w:t>0,4</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626D156D" w14:textId="77777777" w:rsidR="00C75D90" w:rsidRPr="009D5B83" w:rsidRDefault="00C75D90" w:rsidP="00C75D90">
            <w:pPr>
              <w:suppressAutoHyphens/>
              <w:jc w:val="center"/>
              <w:rPr>
                <w:sz w:val="20"/>
                <w:szCs w:val="20"/>
              </w:rPr>
            </w:pPr>
            <w:r w:rsidRPr="009D5B83">
              <w:rPr>
                <w:sz w:val="20"/>
                <w:szCs w:val="20"/>
              </w:rPr>
              <w:t>0,4</w:t>
            </w:r>
          </w:p>
        </w:tc>
        <w:tc>
          <w:tcPr>
            <w:tcW w:w="909" w:type="dxa"/>
            <w:tcBorders>
              <w:bottom w:val="single" w:sz="4" w:space="0" w:color="000000"/>
              <w:right w:val="single" w:sz="4" w:space="0" w:color="000000"/>
            </w:tcBorders>
            <w:tcMar>
              <w:left w:w="0" w:type="dxa"/>
              <w:right w:w="0" w:type="dxa"/>
            </w:tcMar>
            <w:vAlign w:val="center"/>
          </w:tcPr>
          <w:p w14:paraId="0DDBD90F" w14:textId="77777777" w:rsidR="00C75D90" w:rsidRPr="009D5B83" w:rsidRDefault="00C75D90" w:rsidP="00C75D90">
            <w:pPr>
              <w:suppressAutoHyphens/>
              <w:jc w:val="center"/>
              <w:rPr>
                <w:sz w:val="20"/>
                <w:szCs w:val="20"/>
              </w:rPr>
            </w:pPr>
            <w:r w:rsidRPr="009D5B83">
              <w:rPr>
                <w:sz w:val="20"/>
                <w:szCs w:val="20"/>
              </w:rPr>
              <w:t>0,0</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4622BB7D" w14:textId="77777777" w:rsidR="00C75D90" w:rsidRPr="009D5B83" w:rsidRDefault="00C75D90" w:rsidP="00C75D90">
            <w:pPr>
              <w:suppressAutoHyphens/>
              <w:jc w:val="center"/>
              <w:rPr>
                <w:i/>
                <w:iCs/>
                <w:sz w:val="20"/>
                <w:szCs w:val="20"/>
              </w:rPr>
            </w:pPr>
            <w:r w:rsidRPr="009D5B83">
              <w:rPr>
                <w:i/>
                <w:iCs/>
                <w:sz w:val="20"/>
                <w:szCs w:val="20"/>
              </w:rPr>
              <w:t>0,0</w:t>
            </w:r>
          </w:p>
        </w:tc>
      </w:tr>
      <w:tr w:rsidR="00C75D90" w:rsidRPr="009D5B83" w14:paraId="5C65DB3A"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5DE7D51B" w14:textId="77777777" w:rsidR="00C75D90" w:rsidRPr="009D5B83" w:rsidRDefault="00C75D90" w:rsidP="00C75D90">
            <w:pPr>
              <w:suppressAutoHyphens/>
              <w:jc w:val="both"/>
              <w:rPr>
                <w:b/>
                <w:bCs/>
                <w:sz w:val="20"/>
                <w:szCs w:val="20"/>
              </w:rPr>
            </w:pPr>
            <w:r w:rsidRPr="009D5B83">
              <w:rPr>
                <w:b/>
                <w:bCs/>
                <w:sz w:val="20"/>
                <w:szCs w:val="20"/>
              </w:rPr>
              <w:t>ВСЕГО</w:t>
            </w:r>
          </w:p>
        </w:tc>
        <w:tc>
          <w:tcPr>
            <w:tcW w:w="1301" w:type="dxa"/>
            <w:tcBorders>
              <w:bottom w:val="single" w:sz="4" w:space="0" w:color="000000"/>
              <w:right w:val="single" w:sz="4" w:space="0" w:color="000000"/>
            </w:tcBorders>
            <w:tcMar>
              <w:left w:w="0" w:type="dxa"/>
              <w:right w:w="0" w:type="dxa"/>
            </w:tcMar>
            <w:vAlign w:val="center"/>
          </w:tcPr>
          <w:p w14:paraId="21E74992" w14:textId="77777777" w:rsidR="00C75D90" w:rsidRPr="009D5B83" w:rsidRDefault="00C75D90" w:rsidP="00C75D90">
            <w:pPr>
              <w:suppressAutoHyphens/>
              <w:jc w:val="center"/>
              <w:rPr>
                <w:b/>
                <w:bCs/>
                <w:sz w:val="20"/>
                <w:szCs w:val="20"/>
              </w:rPr>
            </w:pPr>
            <w:r w:rsidRPr="009D5B83">
              <w:rPr>
                <w:b/>
                <w:bCs/>
                <w:sz w:val="20"/>
                <w:szCs w:val="20"/>
              </w:rPr>
              <w:t>4 982,8</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40FE3AEF" w14:textId="77777777" w:rsidR="00C75D90" w:rsidRPr="009D5B83" w:rsidRDefault="00C75D90" w:rsidP="00C75D90">
            <w:pPr>
              <w:suppressAutoHyphens/>
              <w:jc w:val="center"/>
              <w:rPr>
                <w:b/>
                <w:bCs/>
                <w:sz w:val="20"/>
                <w:szCs w:val="20"/>
              </w:rPr>
            </w:pPr>
            <w:r w:rsidRPr="009D5B83">
              <w:rPr>
                <w:b/>
                <w:bCs/>
                <w:sz w:val="20"/>
                <w:szCs w:val="20"/>
              </w:rPr>
              <w:t>4 590,0</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7427B4F1" w14:textId="77777777" w:rsidR="00C75D90" w:rsidRPr="009D5B83" w:rsidRDefault="00C75D90" w:rsidP="00C75D90">
            <w:pPr>
              <w:suppressAutoHyphens/>
              <w:jc w:val="center"/>
              <w:rPr>
                <w:b/>
                <w:bCs/>
                <w:sz w:val="20"/>
                <w:szCs w:val="20"/>
              </w:rPr>
            </w:pPr>
            <w:r w:rsidRPr="009D5B83">
              <w:rPr>
                <w:b/>
                <w:bCs/>
                <w:sz w:val="20"/>
                <w:szCs w:val="20"/>
              </w:rPr>
              <w:t>4 953,0</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325584C0" w14:textId="77777777" w:rsidR="00C75D90" w:rsidRPr="009D5B83" w:rsidRDefault="00C75D90" w:rsidP="00C75D90">
            <w:pPr>
              <w:suppressAutoHyphens/>
              <w:jc w:val="center"/>
              <w:rPr>
                <w:b/>
                <w:bCs/>
                <w:sz w:val="20"/>
                <w:szCs w:val="20"/>
              </w:rPr>
            </w:pPr>
            <w:r w:rsidRPr="009D5B83">
              <w:rPr>
                <w:b/>
                <w:bCs/>
                <w:sz w:val="20"/>
                <w:szCs w:val="20"/>
              </w:rPr>
              <w:t>5 020,3</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15D295B1" w14:textId="77777777" w:rsidR="00C75D90" w:rsidRPr="009D5B83" w:rsidRDefault="00C75D90" w:rsidP="00C75D90">
            <w:pPr>
              <w:suppressAutoHyphens/>
              <w:jc w:val="center"/>
              <w:rPr>
                <w:b/>
                <w:bCs/>
                <w:sz w:val="20"/>
                <w:szCs w:val="20"/>
              </w:rPr>
            </w:pPr>
            <w:r w:rsidRPr="009D5B83">
              <w:rPr>
                <w:b/>
                <w:bCs/>
                <w:sz w:val="20"/>
                <w:szCs w:val="20"/>
              </w:rPr>
              <w:t>4 810,7</w:t>
            </w:r>
          </w:p>
        </w:tc>
        <w:tc>
          <w:tcPr>
            <w:tcW w:w="909" w:type="dxa"/>
            <w:tcBorders>
              <w:left w:val="single" w:sz="4" w:space="0" w:color="000000"/>
              <w:bottom w:val="single" w:sz="4" w:space="0" w:color="000000"/>
              <w:right w:val="single" w:sz="4" w:space="0" w:color="000000"/>
            </w:tcBorders>
            <w:tcMar>
              <w:left w:w="0" w:type="dxa"/>
              <w:right w:w="0" w:type="dxa"/>
            </w:tcMar>
            <w:vAlign w:val="center"/>
          </w:tcPr>
          <w:p w14:paraId="4AC555E8" w14:textId="77777777" w:rsidR="00C75D90" w:rsidRPr="009D5B83" w:rsidRDefault="00C75D90" w:rsidP="00C75D90">
            <w:pPr>
              <w:suppressAutoHyphens/>
              <w:jc w:val="center"/>
              <w:rPr>
                <w:b/>
                <w:bCs/>
                <w:sz w:val="20"/>
                <w:szCs w:val="20"/>
              </w:rPr>
            </w:pPr>
            <w:r w:rsidRPr="009D5B83">
              <w:rPr>
                <w:b/>
                <w:bCs/>
                <w:sz w:val="20"/>
                <w:szCs w:val="20"/>
              </w:rPr>
              <w:t>-172,1</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0F7D7E60" w14:textId="77777777" w:rsidR="00C75D90" w:rsidRPr="009D5B83" w:rsidRDefault="00C75D90" w:rsidP="00C75D90">
            <w:pPr>
              <w:suppressAutoHyphens/>
              <w:jc w:val="center"/>
              <w:rPr>
                <w:b/>
                <w:bCs/>
                <w:i/>
                <w:iCs/>
                <w:sz w:val="20"/>
                <w:szCs w:val="20"/>
              </w:rPr>
            </w:pPr>
            <w:r w:rsidRPr="009D5B83">
              <w:rPr>
                <w:b/>
                <w:bCs/>
                <w:i/>
                <w:iCs/>
                <w:sz w:val="20"/>
                <w:szCs w:val="20"/>
              </w:rPr>
              <w:t>-3,4</w:t>
            </w:r>
          </w:p>
        </w:tc>
      </w:tr>
      <w:tr w:rsidR="00C75D90" w:rsidRPr="009D5B83" w14:paraId="7230415C"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4A981C4F" w14:textId="77777777" w:rsidR="00C75D90" w:rsidRPr="009D5B83" w:rsidRDefault="00C75D90" w:rsidP="00C75D90">
            <w:pPr>
              <w:suppressAutoHyphens/>
              <w:jc w:val="both"/>
              <w:rPr>
                <w:i/>
                <w:iCs/>
                <w:sz w:val="20"/>
                <w:szCs w:val="20"/>
              </w:rPr>
            </w:pPr>
            <w:proofErr w:type="gramStart"/>
            <w:r w:rsidRPr="009D5B83">
              <w:rPr>
                <w:i/>
                <w:iCs/>
                <w:sz w:val="20"/>
                <w:szCs w:val="20"/>
              </w:rPr>
              <w:t>в</w:t>
            </w:r>
            <w:proofErr w:type="gramEnd"/>
            <w:r w:rsidRPr="009D5B83">
              <w:rPr>
                <w:i/>
                <w:iCs/>
                <w:sz w:val="20"/>
                <w:szCs w:val="20"/>
              </w:rPr>
              <w:t xml:space="preserve"> % от расходов федерального бюджета</w:t>
            </w:r>
          </w:p>
        </w:tc>
        <w:tc>
          <w:tcPr>
            <w:tcW w:w="1301" w:type="dxa"/>
            <w:tcBorders>
              <w:left w:val="single" w:sz="4" w:space="0" w:color="000000"/>
              <w:bottom w:val="single" w:sz="4" w:space="0" w:color="000000"/>
              <w:right w:val="single" w:sz="4" w:space="0" w:color="000000"/>
            </w:tcBorders>
            <w:tcMar>
              <w:left w:w="0" w:type="dxa"/>
              <w:right w:w="0" w:type="dxa"/>
            </w:tcMar>
            <w:vAlign w:val="center"/>
          </w:tcPr>
          <w:p w14:paraId="4882CD2E" w14:textId="77777777" w:rsidR="00C75D90" w:rsidRPr="009D5B83" w:rsidRDefault="00C75D90" w:rsidP="00C75D90">
            <w:pPr>
              <w:suppressAutoHyphens/>
              <w:jc w:val="center"/>
              <w:rPr>
                <w:i/>
                <w:iCs/>
                <w:sz w:val="20"/>
                <w:szCs w:val="20"/>
              </w:rPr>
            </w:pPr>
            <w:r w:rsidRPr="009D5B83">
              <w:rPr>
                <w:i/>
                <w:iCs/>
                <w:sz w:val="20"/>
                <w:szCs w:val="20"/>
              </w:rPr>
              <w:t>23,1</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5D062651" w14:textId="77777777" w:rsidR="00C75D90" w:rsidRPr="009D5B83" w:rsidRDefault="00C75D90" w:rsidP="00C75D90">
            <w:pPr>
              <w:suppressAutoHyphens/>
              <w:jc w:val="center"/>
              <w:rPr>
                <w:i/>
                <w:iCs/>
                <w:sz w:val="20"/>
                <w:szCs w:val="20"/>
              </w:rPr>
            </w:pPr>
            <w:r w:rsidRPr="009D5B83">
              <w:rPr>
                <w:i/>
                <w:iCs/>
                <w:sz w:val="20"/>
                <w:szCs w:val="20"/>
              </w:rPr>
              <w:t>21,0</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4FF8CBA4" w14:textId="77777777" w:rsidR="00C75D90" w:rsidRPr="009D5B83" w:rsidRDefault="00C75D90" w:rsidP="00C75D90">
            <w:pPr>
              <w:suppressAutoHyphens/>
              <w:jc w:val="center"/>
              <w:rPr>
                <w:i/>
                <w:iCs/>
                <w:sz w:val="20"/>
                <w:szCs w:val="20"/>
              </w:rPr>
            </w:pPr>
            <w:r w:rsidRPr="009D5B83">
              <w:rPr>
                <w:i/>
                <w:iCs/>
                <w:sz w:val="20"/>
                <w:szCs w:val="20"/>
              </w:rPr>
              <w:t>22,0</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16A920BB" w14:textId="77777777" w:rsidR="00C75D90" w:rsidRPr="009D5B83" w:rsidRDefault="00C75D90" w:rsidP="00C75D90">
            <w:pPr>
              <w:suppressAutoHyphens/>
              <w:jc w:val="center"/>
              <w:rPr>
                <w:i/>
                <w:iCs/>
                <w:sz w:val="20"/>
                <w:szCs w:val="20"/>
              </w:rPr>
            </w:pPr>
            <w:r w:rsidRPr="009D5B83">
              <w:rPr>
                <w:i/>
                <w:iCs/>
                <w:sz w:val="20"/>
                <w:szCs w:val="20"/>
              </w:rPr>
              <w:t>21,9</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71596AB7" w14:textId="77777777" w:rsidR="00C75D90" w:rsidRPr="009D5B83" w:rsidRDefault="00C75D90" w:rsidP="00C75D90">
            <w:pPr>
              <w:suppressAutoHyphens/>
              <w:jc w:val="center"/>
              <w:rPr>
                <w:i/>
                <w:iCs/>
                <w:sz w:val="20"/>
                <w:szCs w:val="20"/>
              </w:rPr>
            </w:pPr>
            <w:r w:rsidRPr="009D5B83">
              <w:rPr>
                <w:i/>
                <w:iCs/>
                <w:sz w:val="20"/>
                <w:szCs w:val="20"/>
              </w:rPr>
              <w:t>21,4</w:t>
            </w:r>
          </w:p>
        </w:tc>
        <w:tc>
          <w:tcPr>
            <w:tcW w:w="909" w:type="dxa"/>
            <w:tcBorders>
              <w:left w:val="single" w:sz="4" w:space="0" w:color="000000"/>
              <w:bottom w:val="single" w:sz="4" w:space="0" w:color="000000"/>
              <w:right w:val="single" w:sz="4" w:space="0" w:color="000000"/>
            </w:tcBorders>
            <w:tcMar>
              <w:left w:w="0" w:type="dxa"/>
              <w:right w:w="0" w:type="dxa"/>
            </w:tcMar>
            <w:vAlign w:val="center"/>
          </w:tcPr>
          <w:p w14:paraId="0E5FE4F2" w14:textId="77777777" w:rsidR="00C75D90" w:rsidRPr="009D5B83" w:rsidRDefault="00C75D90" w:rsidP="00C75D90">
            <w:pPr>
              <w:suppressAutoHyphens/>
              <w:jc w:val="center"/>
              <w:rPr>
                <w:i/>
                <w:iCs/>
                <w:sz w:val="20"/>
                <w:szCs w:val="20"/>
              </w:rPr>
            </w:pPr>
            <w:r w:rsidRPr="009D5B83">
              <w:rPr>
                <w:i/>
                <w:iCs/>
                <w:sz w:val="20"/>
                <w:szCs w:val="20"/>
              </w:rPr>
              <w:t>-</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0FDED223" w14:textId="77777777" w:rsidR="00C75D90" w:rsidRPr="009D5B83" w:rsidRDefault="00C75D90" w:rsidP="00C75D90">
            <w:pPr>
              <w:suppressAutoHyphens/>
              <w:jc w:val="center"/>
              <w:rPr>
                <w:i/>
                <w:iCs/>
                <w:sz w:val="20"/>
                <w:szCs w:val="20"/>
              </w:rPr>
            </w:pPr>
            <w:r w:rsidRPr="009D5B83">
              <w:rPr>
                <w:i/>
                <w:iCs/>
                <w:sz w:val="20"/>
                <w:szCs w:val="20"/>
              </w:rPr>
              <w:t>-</w:t>
            </w:r>
          </w:p>
        </w:tc>
      </w:tr>
      <w:tr w:rsidR="00C75D90" w:rsidRPr="009D5B83" w14:paraId="2C919A54" w14:textId="77777777" w:rsidTr="001B68A1">
        <w:tc>
          <w:tcPr>
            <w:tcW w:w="2046" w:type="dxa"/>
            <w:tcBorders>
              <w:top w:val="single" w:sz="4" w:space="0" w:color="000000"/>
              <w:left w:val="single" w:sz="4" w:space="0" w:color="000000"/>
              <w:bottom w:val="single" w:sz="4" w:space="0" w:color="000000"/>
              <w:right w:val="single" w:sz="4" w:space="0" w:color="000000"/>
            </w:tcBorders>
            <w:vAlign w:val="center"/>
          </w:tcPr>
          <w:p w14:paraId="40484C8D" w14:textId="77777777" w:rsidR="00C75D90" w:rsidRPr="009D5B83" w:rsidRDefault="00C75D90" w:rsidP="00C75D90">
            <w:pPr>
              <w:suppressAutoHyphens/>
              <w:jc w:val="both"/>
              <w:rPr>
                <w:i/>
                <w:iCs/>
                <w:sz w:val="20"/>
                <w:szCs w:val="20"/>
              </w:rPr>
            </w:pPr>
            <w:r w:rsidRPr="009D5B83">
              <w:rPr>
                <w:i/>
                <w:iCs/>
                <w:sz w:val="20"/>
                <w:szCs w:val="20"/>
              </w:rPr>
              <w:t>в % ВВП</w:t>
            </w:r>
          </w:p>
        </w:tc>
        <w:tc>
          <w:tcPr>
            <w:tcW w:w="1301" w:type="dxa"/>
            <w:tcBorders>
              <w:bottom w:val="single" w:sz="4" w:space="0" w:color="000000"/>
              <w:right w:val="single" w:sz="4" w:space="0" w:color="000000"/>
            </w:tcBorders>
            <w:tcMar>
              <w:left w:w="0" w:type="dxa"/>
              <w:right w:w="0" w:type="dxa"/>
            </w:tcMar>
            <w:vAlign w:val="center"/>
          </w:tcPr>
          <w:p w14:paraId="30AD86E1" w14:textId="77777777" w:rsidR="00C75D90" w:rsidRPr="009D5B83" w:rsidRDefault="00C75D90" w:rsidP="00C75D90">
            <w:pPr>
              <w:suppressAutoHyphens/>
              <w:jc w:val="center"/>
              <w:rPr>
                <w:i/>
                <w:iCs/>
                <w:sz w:val="20"/>
                <w:szCs w:val="20"/>
              </w:rPr>
            </w:pPr>
            <w:r w:rsidRPr="009D5B83">
              <w:rPr>
                <w:i/>
                <w:iCs/>
                <w:sz w:val="20"/>
                <w:szCs w:val="20"/>
              </w:rPr>
              <w:t>3,8</w:t>
            </w:r>
          </w:p>
        </w:tc>
        <w:tc>
          <w:tcPr>
            <w:tcW w:w="1024" w:type="dxa"/>
            <w:tcBorders>
              <w:left w:val="single" w:sz="4" w:space="0" w:color="000000"/>
              <w:bottom w:val="single" w:sz="4" w:space="0" w:color="000000"/>
              <w:right w:val="single" w:sz="4" w:space="0" w:color="000000"/>
            </w:tcBorders>
            <w:tcMar>
              <w:left w:w="0" w:type="dxa"/>
              <w:right w:w="0" w:type="dxa"/>
            </w:tcMar>
            <w:vAlign w:val="center"/>
          </w:tcPr>
          <w:p w14:paraId="0C1C2E6C" w14:textId="77777777" w:rsidR="00C75D90" w:rsidRPr="009D5B83" w:rsidRDefault="00C75D90" w:rsidP="00C75D90">
            <w:pPr>
              <w:suppressAutoHyphens/>
              <w:jc w:val="center"/>
              <w:rPr>
                <w:i/>
                <w:iCs/>
                <w:sz w:val="20"/>
                <w:szCs w:val="20"/>
              </w:rPr>
            </w:pPr>
            <w:r w:rsidRPr="009D5B83">
              <w:rPr>
                <w:i/>
                <w:iCs/>
                <w:sz w:val="20"/>
                <w:szCs w:val="20"/>
              </w:rPr>
              <w:t>3,1</w:t>
            </w:r>
          </w:p>
        </w:tc>
        <w:tc>
          <w:tcPr>
            <w:tcW w:w="821" w:type="dxa"/>
            <w:tcBorders>
              <w:left w:val="single" w:sz="4" w:space="0" w:color="000000"/>
              <w:bottom w:val="single" w:sz="4" w:space="0" w:color="000000"/>
              <w:right w:val="single" w:sz="4" w:space="0" w:color="000000"/>
            </w:tcBorders>
            <w:tcMar>
              <w:left w:w="0" w:type="dxa"/>
              <w:right w:w="0" w:type="dxa"/>
            </w:tcMar>
            <w:vAlign w:val="center"/>
          </w:tcPr>
          <w:p w14:paraId="302DA00E" w14:textId="77777777" w:rsidR="00C75D90" w:rsidRPr="009D5B83" w:rsidRDefault="00C75D90" w:rsidP="00C75D90">
            <w:pPr>
              <w:suppressAutoHyphens/>
              <w:jc w:val="center"/>
              <w:rPr>
                <w:i/>
                <w:iCs/>
                <w:sz w:val="20"/>
                <w:szCs w:val="20"/>
              </w:rPr>
            </w:pPr>
            <w:r w:rsidRPr="009D5B83">
              <w:rPr>
                <w:i/>
                <w:iCs/>
                <w:sz w:val="20"/>
                <w:szCs w:val="20"/>
              </w:rPr>
              <w:t>3,3</w:t>
            </w:r>
          </w:p>
        </w:tc>
        <w:tc>
          <w:tcPr>
            <w:tcW w:w="896" w:type="dxa"/>
            <w:tcBorders>
              <w:left w:val="single" w:sz="4" w:space="0" w:color="000000"/>
              <w:bottom w:val="single" w:sz="4" w:space="0" w:color="000000"/>
              <w:right w:val="single" w:sz="4" w:space="0" w:color="000000"/>
            </w:tcBorders>
            <w:tcMar>
              <w:left w:w="0" w:type="dxa"/>
              <w:right w:w="0" w:type="dxa"/>
            </w:tcMar>
            <w:vAlign w:val="center"/>
          </w:tcPr>
          <w:p w14:paraId="6162031D" w14:textId="77777777" w:rsidR="00C75D90" w:rsidRPr="009D5B83" w:rsidRDefault="00C75D90" w:rsidP="00C75D90">
            <w:pPr>
              <w:suppressAutoHyphens/>
              <w:jc w:val="center"/>
              <w:rPr>
                <w:i/>
                <w:iCs/>
                <w:sz w:val="20"/>
                <w:szCs w:val="20"/>
              </w:rPr>
            </w:pPr>
            <w:r w:rsidRPr="009D5B83">
              <w:rPr>
                <w:i/>
                <w:iCs/>
                <w:sz w:val="20"/>
                <w:szCs w:val="20"/>
              </w:rPr>
              <w:t>3,1</w:t>
            </w:r>
          </w:p>
        </w:tc>
        <w:tc>
          <w:tcPr>
            <w:tcW w:w="1024" w:type="dxa"/>
            <w:tcBorders>
              <w:left w:val="single" w:sz="4" w:space="0" w:color="000000"/>
              <w:bottom w:val="single" w:sz="4" w:space="0" w:color="000000"/>
            </w:tcBorders>
            <w:tcMar>
              <w:left w:w="0" w:type="dxa"/>
              <w:right w:w="0" w:type="dxa"/>
            </w:tcMar>
            <w:vAlign w:val="center"/>
          </w:tcPr>
          <w:p w14:paraId="081E5B10" w14:textId="77777777" w:rsidR="00C75D90" w:rsidRPr="009D5B83" w:rsidRDefault="00C75D90" w:rsidP="00C75D90">
            <w:pPr>
              <w:suppressAutoHyphens/>
              <w:jc w:val="center"/>
              <w:rPr>
                <w:i/>
                <w:iCs/>
                <w:sz w:val="20"/>
                <w:szCs w:val="20"/>
              </w:rPr>
            </w:pPr>
            <w:r w:rsidRPr="009D5B83">
              <w:rPr>
                <w:i/>
                <w:iCs/>
                <w:sz w:val="20"/>
                <w:szCs w:val="20"/>
              </w:rPr>
              <w:t>2,8</w:t>
            </w:r>
          </w:p>
        </w:tc>
        <w:tc>
          <w:tcPr>
            <w:tcW w:w="909" w:type="dxa"/>
            <w:tcBorders>
              <w:left w:val="single" w:sz="4" w:space="0" w:color="000000"/>
              <w:bottom w:val="single" w:sz="4" w:space="0" w:color="000000"/>
              <w:right w:val="single" w:sz="4" w:space="0" w:color="000000"/>
            </w:tcBorders>
            <w:tcMar>
              <w:left w:w="0" w:type="dxa"/>
              <w:right w:w="0" w:type="dxa"/>
            </w:tcMar>
            <w:vAlign w:val="center"/>
          </w:tcPr>
          <w:p w14:paraId="0F981B07" w14:textId="77777777" w:rsidR="00C75D90" w:rsidRPr="009D5B83" w:rsidRDefault="00C75D90" w:rsidP="00C75D90">
            <w:pPr>
              <w:suppressAutoHyphens/>
              <w:jc w:val="center"/>
              <w:rPr>
                <w:i/>
                <w:iCs/>
                <w:sz w:val="20"/>
                <w:szCs w:val="20"/>
              </w:rPr>
            </w:pPr>
            <w:r w:rsidRPr="009D5B83">
              <w:rPr>
                <w:i/>
                <w:iCs/>
                <w:sz w:val="20"/>
                <w:szCs w:val="20"/>
              </w:rPr>
              <w:t>-</w:t>
            </w:r>
          </w:p>
        </w:tc>
        <w:tc>
          <w:tcPr>
            <w:tcW w:w="1061" w:type="dxa"/>
            <w:tcBorders>
              <w:left w:val="single" w:sz="4" w:space="0" w:color="000000"/>
              <w:bottom w:val="single" w:sz="4" w:space="0" w:color="000000"/>
              <w:right w:val="single" w:sz="4" w:space="0" w:color="000000"/>
            </w:tcBorders>
            <w:tcMar>
              <w:left w:w="0" w:type="dxa"/>
              <w:right w:w="0" w:type="dxa"/>
            </w:tcMar>
            <w:vAlign w:val="center"/>
          </w:tcPr>
          <w:p w14:paraId="5951A772" w14:textId="77777777" w:rsidR="00C75D90" w:rsidRPr="009D5B83" w:rsidRDefault="00C75D90" w:rsidP="00C75D90">
            <w:pPr>
              <w:suppressAutoHyphens/>
              <w:jc w:val="center"/>
              <w:rPr>
                <w:i/>
                <w:iCs/>
                <w:sz w:val="20"/>
                <w:szCs w:val="20"/>
              </w:rPr>
            </w:pPr>
            <w:r w:rsidRPr="009D5B83">
              <w:rPr>
                <w:i/>
                <w:iCs/>
                <w:sz w:val="20"/>
                <w:szCs w:val="20"/>
              </w:rPr>
              <w:t>-</w:t>
            </w:r>
          </w:p>
        </w:tc>
      </w:tr>
    </w:tbl>
    <w:p w14:paraId="68DA6127" w14:textId="77777777" w:rsidR="00C75D90" w:rsidRPr="009D5B83" w:rsidRDefault="00C75D90" w:rsidP="00C75D90">
      <w:pPr>
        <w:keepLines/>
        <w:suppressAutoHyphens/>
        <w:spacing w:after="120"/>
        <w:ind w:firstLine="708"/>
        <w:jc w:val="both"/>
      </w:pPr>
      <w:r w:rsidRPr="009D5B83">
        <w:rPr>
          <w:i/>
          <w:sz w:val="20"/>
        </w:rPr>
        <w:t>Источник:</w:t>
      </w:r>
      <w:r w:rsidRPr="009D5B83">
        <w:rPr>
          <w:sz w:val="20"/>
        </w:rPr>
        <w:t xml:space="preserve"> Пояснительная записка, Федеральное казначейство, расчеты авторов.</w:t>
      </w:r>
    </w:p>
    <w:p w14:paraId="1CCE10CD" w14:textId="77777777" w:rsidR="00C75D90" w:rsidRPr="00E103B9" w:rsidRDefault="00C75D90" w:rsidP="00C75D90">
      <w:pPr>
        <w:suppressAutoHyphens/>
        <w:spacing w:after="60"/>
        <w:ind w:firstLine="709"/>
        <w:jc w:val="both"/>
        <w:rPr>
          <w:sz w:val="28"/>
          <w:szCs w:val="28"/>
        </w:rPr>
      </w:pPr>
      <w:r w:rsidRPr="00E103B9">
        <w:rPr>
          <w:sz w:val="28"/>
          <w:szCs w:val="28"/>
        </w:rPr>
        <w:lastRenderedPageBreak/>
        <w:t>И хотя пока доля производительных расходов в общем объеме расходной части федерального бюджета в 2025 г. сокращается до 21,4% против 23,1% в 2021 г., ситуация может несколько улучшиться после распределения УУР (т.е. уже в рамках двух последующих бюджетных циклов).</w:t>
      </w:r>
    </w:p>
    <w:p w14:paraId="5120D98C" w14:textId="77777777" w:rsidR="00310C50" w:rsidRPr="00E103B9" w:rsidRDefault="00310C50" w:rsidP="00145D26">
      <w:pPr>
        <w:spacing w:after="60"/>
        <w:ind w:firstLine="709"/>
        <w:jc w:val="both"/>
        <w:rPr>
          <w:sz w:val="28"/>
        </w:rPr>
      </w:pPr>
    </w:p>
    <w:p w14:paraId="7446A87F" w14:textId="77777777" w:rsidR="00310C50" w:rsidRPr="00E103B9" w:rsidRDefault="00310C50" w:rsidP="00481686">
      <w:pPr>
        <w:keepNext/>
        <w:spacing w:before="60" w:after="120"/>
        <w:jc w:val="center"/>
        <w:outlineLvl w:val="2"/>
        <w:rPr>
          <w:b/>
          <w:sz w:val="28"/>
          <w:szCs w:val="20"/>
        </w:rPr>
      </w:pPr>
      <w:bookmarkStart w:id="19" w:name="_Toc21436748"/>
      <w:bookmarkStart w:id="20" w:name="_Toc116593937"/>
      <w:r w:rsidRPr="00E103B9">
        <w:rPr>
          <w:b/>
          <w:sz w:val="28"/>
          <w:szCs w:val="20"/>
        </w:rPr>
        <w:t>Расходы на общегосударственные вопросы</w:t>
      </w:r>
      <w:bookmarkEnd w:id="19"/>
      <w:bookmarkEnd w:id="20"/>
    </w:p>
    <w:p w14:paraId="26E19E75" w14:textId="3CF61201" w:rsidR="00FE7472" w:rsidRPr="00E103B9" w:rsidRDefault="00FE7472" w:rsidP="00FE7472">
      <w:pPr>
        <w:suppressAutoHyphens/>
        <w:spacing w:after="60"/>
        <w:ind w:firstLine="709"/>
        <w:jc w:val="both"/>
        <w:rPr>
          <w:i/>
          <w:iCs/>
          <w:sz w:val="28"/>
        </w:rPr>
      </w:pPr>
      <w:r w:rsidRPr="00E103B9">
        <w:rPr>
          <w:sz w:val="28"/>
        </w:rPr>
        <w:t xml:space="preserve">Динамика расходов федерального бюджета по разделу «Общегосударственные вопросы» в 2021-2025 гг. представлена в </w:t>
      </w:r>
      <w:r w:rsidRPr="00E103B9">
        <w:rPr>
          <w:i/>
          <w:sz w:val="28"/>
        </w:rPr>
        <w:t>таблице</w:t>
      </w:r>
      <w:r w:rsidR="009678BE" w:rsidRPr="00E103B9">
        <w:rPr>
          <w:i/>
          <w:sz w:val="28"/>
        </w:rPr>
        <w:t xml:space="preserve"> 14</w:t>
      </w:r>
      <w:r w:rsidRPr="00E103B9">
        <w:rPr>
          <w:sz w:val="28"/>
        </w:rPr>
        <w:t xml:space="preserve">. В 2025 г. общий объем бюджетных ассигнований по разделу возрастает на 75,1 </w:t>
      </w:r>
      <w:proofErr w:type="gramStart"/>
      <w:r w:rsidRPr="00E103B9">
        <w:rPr>
          <w:sz w:val="28"/>
        </w:rPr>
        <w:t>млрд</w:t>
      </w:r>
      <w:proofErr w:type="gramEnd"/>
      <w:r w:rsidRPr="00E103B9">
        <w:rPr>
          <w:sz w:val="28"/>
        </w:rPr>
        <w:t xml:space="preserve"> руб. или на 4,3% в сравнении с 2021 г. Доля расходов по данному разделу в общем объеме запланированных бюджетных ассигнований сокращается с 7,1% в 2021 г. до 6,3% в 2025 г. В долях ВВП также ожидается снижение данных расходов на 0,2 </w:t>
      </w:r>
      <w:proofErr w:type="spellStart"/>
      <w:r w:rsidRPr="00E103B9">
        <w:rPr>
          <w:sz w:val="28"/>
        </w:rPr>
        <w:t>п.п</w:t>
      </w:r>
      <w:proofErr w:type="spellEnd"/>
      <w:r w:rsidRPr="00E103B9">
        <w:rPr>
          <w:sz w:val="28"/>
        </w:rPr>
        <w:t>. до 1,1% в 2025 г., что будет минимальным значением с 2010 г. В целом динамика расходов по разделу «Общегосударственные вопросы» в 2023-2025 гг. согласуется с задачей бюджетной консолидации.</w:t>
      </w:r>
      <w:r w:rsidRPr="00E103B9">
        <w:rPr>
          <w:i/>
          <w:iCs/>
          <w:sz w:val="28"/>
        </w:rPr>
        <w:t xml:space="preserve"> </w:t>
      </w:r>
    </w:p>
    <w:p w14:paraId="3888C1AD" w14:textId="77777777" w:rsidR="00FE7472" w:rsidRPr="00E103B9" w:rsidRDefault="00FE7472" w:rsidP="00FE7472">
      <w:pPr>
        <w:suppressAutoHyphens/>
        <w:spacing w:after="60"/>
        <w:ind w:firstLine="709"/>
        <w:jc w:val="both"/>
        <w:rPr>
          <w:sz w:val="28"/>
        </w:rPr>
      </w:pPr>
      <w:r w:rsidRPr="00E103B9">
        <w:rPr>
          <w:color w:val="000000"/>
          <w:sz w:val="28"/>
        </w:rPr>
        <w:t xml:space="preserve">В разрезе подразделов наибольший рост расходов в номинальном выражении в 2025 г. относительно 2021 г. планируется по статье «Другие общегосударственные вопросы» на 328,2 </w:t>
      </w:r>
      <w:proofErr w:type="gramStart"/>
      <w:r w:rsidRPr="00E103B9">
        <w:rPr>
          <w:color w:val="000000"/>
          <w:sz w:val="28"/>
        </w:rPr>
        <w:t>млрд</w:t>
      </w:r>
      <w:proofErr w:type="gramEnd"/>
      <w:r w:rsidRPr="00E103B9">
        <w:rPr>
          <w:color w:val="000000"/>
          <w:sz w:val="28"/>
        </w:rPr>
        <w:t xml:space="preserve"> руб. или почти в 1,7 раза, а наибольшее сокращение – по статьям «Международные отношения и международное сотрудничество» и «Государственный материальный резерв» на 192,6 и 111,5 млрд руб. или на 46,0 и 53,8% соответственно.</w:t>
      </w:r>
    </w:p>
    <w:p w14:paraId="717AD526" w14:textId="471D7C0A" w:rsidR="00FE7472" w:rsidRPr="00E103B9" w:rsidRDefault="00FE7472" w:rsidP="00FE7472">
      <w:pPr>
        <w:suppressAutoHyphens/>
        <w:spacing w:after="60"/>
        <w:ind w:firstLine="709"/>
        <w:jc w:val="both"/>
        <w:rPr>
          <w:color w:val="000000"/>
          <w:sz w:val="28"/>
        </w:rPr>
      </w:pPr>
      <w:r w:rsidRPr="00E103B9">
        <w:rPr>
          <w:color w:val="000000"/>
          <w:sz w:val="28"/>
        </w:rPr>
        <w:t xml:space="preserve">Относительно объемов бюджетных расходов, утвержденным Законом № 390-ФЗ, существенных корректировок в плановых бюджетных ассигнованиях на 2023-2024 гг. не выявлено, за исключением увеличения расходов на финансовое обеспечение модернизации коммунальной инфраструктуры для органов власти в 2023 г. на 30,0 </w:t>
      </w:r>
      <w:proofErr w:type="gramStart"/>
      <w:r w:rsidRPr="00E103B9">
        <w:rPr>
          <w:color w:val="000000"/>
          <w:sz w:val="28"/>
        </w:rPr>
        <w:t>млрд</w:t>
      </w:r>
      <w:proofErr w:type="gramEnd"/>
      <w:r w:rsidRPr="00E103B9">
        <w:rPr>
          <w:color w:val="000000"/>
          <w:sz w:val="28"/>
        </w:rPr>
        <w:t xml:space="preserve"> руб., в 2024 г</w:t>
      </w:r>
      <w:r w:rsidR="00A4422A" w:rsidRPr="00E103B9">
        <w:rPr>
          <w:color w:val="000000"/>
          <w:sz w:val="28"/>
        </w:rPr>
        <w:t>.</w:t>
      </w:r>
      <w:r w:rsidRPr="00E103B9">
        <w:rPr>
          <w:color w:val="000000"/>
          <w:sz w:val="28"/>
        </w:rPr>
        <w:t xml:space="preserve"> на 100,0 млрд руб.</w:t>
      </w:r>
    </w:p>
    <w:p w14:paraId="6E43A197" w14:textId="77777777" w:rsidR="00A4422A" w:rsidRDefault="00A4422A" w:rsidP="00FE7472">
      <w:pPr>
        <w:suppressAutoHyphens/>
        <w:spacing w:after="60"/>
        <w:ind w:firstLine="709"/>
        <w:jc w:val="both"/>
      </w:pPr>
    </w:p>
    <w:p w14:paraId="3BBF975A" w14:textId="77777777" w:rsidR="00E103B9" w:rsidRDefault="00E103B9" w:rsidP="00FE7472">
      <w:pPr>
        <w:suppressAutoHyphens/>
        <w:spacing w:after="60"/>
        <w:ind w:firstLine="709"/>
        <w:jc w:val="both"/>
      </w:pPr>
    </w:p>
    <w:p w14:paraId="401E2925" w14:textId="77777777" w:rsidR="00E103B9" w:rsidRDefault="00E103B9" w:rsidP="00FE7472">
      <w:pPr>
        <w:suppressAutoHyphens/>
        <w:spacing w:after="60"/>
        <w:ind w:firstLine="709"/>
        <w:jc w:val="both"/>
      </w:pPr>
    </w:p>
    <w:p w14:paraId="601D34ED" w14:textId="77777777" w:rsidR="00E103B9" w:rsidRDefault="00E103B9" w:rsidP="00FE7472">
      <w:pPr>
        <w:suppressAutoHyphens/>
        <w:spacing w:after="60"/>
        <w:ind w:firstLine="709"/>
        <w:jc w:val="both"/>
      </w:pPr>
    </w:p>
    <w:p w14:paraId="5B8442AF" w14:textId="77777777" w:rsidR="00E103B9" w:rsidRDefault="00E103B9" w:rsidP="00FE7472">
      <w:pPr>
        <w:suppressAutoHyphens/>
        <w:spacing w:after="60"/>
        <w:ind w:firstLine="709"/>
        <w:jc w:val="both"/>
      </w:pPr>
    </w:p>
    <w:p w14:paraId="7BFF2490" w14:textId="77777777" w:rsidR="00E103B9" w:rsidRDefault="00E103B9" w:rsidP="00FE7472">
      <w:pPr>
        <w:suppressAutoHyphens/>
        <w:spacing w:after="60"/>
        <w:ind w:firstLine="709"/>
        <w:jc w:val="both"/>
      </w:pPr>
    </w:p>
    <w:p w14:paraId="062AA539" w14:textId="77777777" w:rsidR="00E103B9" w:rsidRDefault="00E103B9" w:rsidP="00FE7472">
      <w:pPr>
        <w:suppressAutoHyphens/>
        <w:spacing w:after="60"/>
        <w:ind w:firstLine="709"/>
        <w:jc w:val="both"/>
      </w:pPr>
    </w:p>
    <w:p w14:paraId="2D112764" w14:textId="77777777" w:rsidR="00E103B9" w:rsidRDefault="00E103B9" w:rsidP="00FE7472">
      <w:pPr>
        <w:suppressAutoHyphens/>
        <w:spacing w:after="60"/>
        <w:ind w:firstLine="709"/>
        <w:jc w:val="both"/>
      </w:pPr>
    </w:p>
    <w:p w14:paraId="0620FD33" w14:textId="77777777" w:rsidR="00E103B9" w:rsidRDefault="00E103B9" w:rsidP="00FE7472">
      <w:pPr>
        <w:suppressAutoHyphens/>
        <w:spacing w:after="60"/>
        <w:ind w:firstLine="709"/>
        <w:jc w:val="both"/>
      </w:pPr>
    </w:p>
    <w:p w14:paraId="3A9E4726" w14:textId="77777777" w:rsidR="00E103B9" w:rsidRDefault="00E103B9" w:rsidP="00FE7472">
      <w:pPr>
        <w:suppressAutoHyphens/>
        <w:spacing w:after="60"/>
        <w:ind w:firstLine="709"/>
        <w:jc w:val="both"/>
      </w:pPr>
    </w:p>
    <w:p w14:paraId="651C4A6E" w14:textId="77777777" w:rsidR="00E103B9" w:rsidRDefault="00E103B9" w:rsidP="00FE7472">
      <w:pPr>
        <w:suppressAutoHyphens/>
        <w:spacing w:after="60"/>
        <w:ind w:firstLine="709"/>
        <w:jc w:val="both"/>
      </w:pPr>
    </w:p>
    <w:p w14:paraId="09603EB2" w14:textId="77777777" w:rsidR="00E103B9" w:rsidRDefault="00E103B9" w:rsidP="00FE7472">
      <w:pPr>
        <w:suppressAutoHyphens/>
        <w:spacing w:after="60"/>
        <w:ind w:firstLine="709"/>
        <w:jc w:val="both"/>
      </w:pPr>
    </w:p>
    <w:p w14:paraId="4C51F93F" w14:textId="77777777" w:rsidR="00E103B9" w:rsidRDefault="00E103B9" w:rsidP="00FE7472">
      <w:pPr>
        <w:suppressAutoHyphens/>
        <w:spacing w:after="60"/>
        <w:ind w:firstLine="709"/>
        <w:jc w:val="both"/>
      </w:pPr>
    </w:p>
    <w:p w14:paraId="7FD3C3C5" w14:textId="77777777" w:rsidR="00E103B9" w:rsidRDefault="00E103B9" w:rsidP="00FE7472">
      <w:pPr>
        <w:suppressAutoHyphens/>
        <w:spacing w:after="60"/>
        <w:ind w:firstLine="709"/>
        <w:jc w:val="both"/>
      </w:pPr>
    </w:p>
    <w:p w14:paraId="7A0A4D41" w14:textId="77777777" w:rsidR="00E103B9" w:rsidRDefault="00E103B9" w:rsidP="00FE7472">
      <w:pPr>
        <w:suppressAutoHyphens/>
        <w:spacing w:after="60"/>
        <w:ind w:firstLine="709"/>
        <w:jc w:val="both"/>
      </w:pPr>
    </w:p>
    <w:p w14:paraId="7842BE01" w14:textId="77777777" w:rsidR="00E103B9" w:rsidRPr="009D5B83" w:rsidRDefault="00E103B9" w:rsidP="00FE7472">
      <w:pPr>
        <w:suppressAutoHyphens/>
        <w:spacing w:after="60"/>
        <w:ind w:firstLine="709"/>
        <w:jc w:val="both"/>
      </w:pPr>
    </w:p>
    <w:p w14:paraId="105001B4" w14:textId="3E931B10" w:rsidR="00FE7472" w:rsidRPr="009D5B83" w:rsidRDefault="00FE7472" w:rsidP="00FE7472">
      <w:pPr>
        <w:keepNext/>
        <w:suppressAutoHyphens/>
        <w:spacing w:before="120"/>
        <w:ind w:firstLine="709"/>
        <w:jc w:val="right"/>
        <w:rPr>
          <w:bCs/>
          <w:i/>
          <w:szCs w:val="20"/>
        </w:rPr>
      </w:pPr>
      <w:r w:rsidRPr="009D5B83">
        <w:rPr>
          <w:bCs/>
          <w:i/>
          <w:szCs w:val="20"/>
        </w:rPr>
        <w:lastRenderedPageBreak/>
        <w:t xml:space="preserve">Таблица </w:t>
      </w:r>
      <w:bookmarkStart w:id="21" w:name="_Ref52662507"/>
      <w:bookmarkEnd w:id="21"/>
      <w:r w:rsidR="009678BE" w:rsidRPr="009D5B83">
        <w:rPr>
          <w:bCs/>
          <w:i/>
          <w:szCs w:val="20"/>
        </w:rPr>
        <w:t>14</w:t>
      </w:r>
    </w:p>
    <w:p w14:paraId="685E0345" w14:textId="77777777" w:rsidR="00FE7472" w:rsidRPr="009D5B83" w:rsidRDefault="00FE7472" w:rsidP="00E853B4">
      <w:pPr>
        <w:suppressAutoHyphens/>
        <w:spacing w:after="120"/>
        <w:jc w:val="center"/>
        <w:rPr>
          <w:b/>
        </w:rPr>
      </w:pPr>
      <w:r w:rsidRPr="009D5B83">
        <w:rPr>
          <w:b/>
        </w:rPr>
        <w:t xml:space="preserve">Динамика расходов федерального бюджета по разделу «Общегосударственные вопросы» в 2021-2025 гг., </w:t>
      </w:r>
      <w:proofErr w:type="gramStart"/>
      <w:r w:rsidRPr="009D5B83">
        <w:rPr>
          <w:b/>
        </w:rPr>
        <w:t>млрд</w:t>
      </w:r>
      <w:proofErr w:type="gramEnd"/>
      <w:r w:rsidRPr="009D5B83">
        <w:rPr>
          <w:b/>
        </w:rPr>
        <w:t xml:space="preserve"> руб.</w:t>
      </w:r>
    </w:p>
    <w:tbl>
      <w:tblPr>
        <w:tblW w:w="9069" w:type="dxa"/>
        <w:tblInd w:w="89" w:type="dxa"/>
        <w:tblLayout w:type="fixed"/>
        <w:tblCellMar>
          <w:left w:w="84" w:type="dxa"/>
          <w:right w:w="84" w:type="dxa"/>
        </w:tblCellMar>
        <w:tblLook w:val="04A0" w:firstRow="1" w:lastRow="0" w:firstColumn="1" w:lastColumn="0" w:noHBand="0" w:noVBand="1"/>
      </w:tblPr>
      <w:tblGrid>
        <w:gridCol w:w="2273"/>
        <w:gridCol w:w="1239"/>
        <w:gridCol w:w="909"/>
        <w:gridCol w:w="868"/>
        <w:gridCol w:w="945"/>
        <w:gridCol w:w="945"/>
        <w:gridCol w:w="984"/>
        <w:gridCol w:w="906"/>
      </w:tblGrid>
      <w:tr w:rsidR="00FE7472" w:rsidRPr="009D5B83" w14:paraId="6FCD0B6D" w14:textId="77777777" w:rsidTr="001B68A1">
        <w:trPr>
          <w:cantSplit/>
          <w:tblHeader/>
        </w:trPr>
        <w:tc>
          <w:tcPr>
            <w:tcW w:w="2273" w:type="dxa"/>
            <w:vMerge w:val="restart"/>
            <w:tcBorders>
              <w:top w:val="single" w:sz="4" w:space="0" w:color="000000"/>
              <w:left w:val="single" w:sz="4" w:space="0" w:color="000000"/>
              <w:bottom w:val="single" w:sz="4" w:space="0" w:color="000000"/>
              <w:right w:val="single" w:sz="4" w:space="0" w:color="000000"/>
            </w:tcBorders>
            <w:vAlign w:val="center"/>
          </w:tcPr>
          <w:p w14:paraId="79B066B3" w14:textId="77777777" w:rsidR="00FE7472" w:rsidRPr="009D5B83" w:rsidRDefault="00FE7472" w:rsidP="009D22DF">
            <w:pPr>
              <w:widowControl w:val="0"/>
              <w:suppressAutoHyphens/>
              <w:jc w:val="center"/>
              <w:rPr>
                <w:b/>
                <w:sz w:val="20"/>
              </w:rPr>
            </w:pPr>
            <w:r w:rsidRPr="009D5B83">
              <w:rPr>
                <w:b/>
                <w:sz w:val="20"/>
              </w:rPr>
              <w:t>Показатель</w:t>
            </w:r>
          </w:p>
        </w:tc>
        <w:tc>
          <w:tcPr>
            <w:tcW w:w="1239" w:type="dxa"/>
            <w:tcBorders>
              <w:top w:val="single" w:sz="4" w:space="0" w:color="000000"/>
              <w:left w:val="single" w:sz="4" w:space="0" w:color="000000"/>
              <w:bottom w:val="single" w:sz="4" w:space="0" w:color="000000"/>
              <w:right w:val="single" w:sz="4" w:space="0" w:color="000000"/>
            </w:tcBorders>
            <w:vAlign w:val="center"/>
          </w:tcPr>
          <w:p w14:paraId="7F60CBCC" w14:textId="77777777" w:rsidR="00FE7472" w:rsidRPr="009D5B83" w:rsidRDefault="00FE7472" w:rsidP="00FE7472">
            <w:pPr>
              <w:widowControl w:val="0"/>
              <w:suppressAutoHyphens/>
              <w:jc w:val="center"/>
              <w:rPr>
                <w:b/>
                <w:sz w:val="20"/>
              </w:rPr>
            </w:pPr>
            <w:r w:rsidRPr="009D5B83">
              <w:rPr>
                <w:b/>
                <w:sz w:val="20"/>
              </w:rPr>
              <w:t>Кассовое исполнение</w:t>
            </w:r>
          </w:p>
        </w:tc>
        <w:tc>
          <w:tcPr>
            <w:tcW w:w="909" w:type="dxa"/>
            <w:tcBorders>
              <w:top w:val="single" w:sz="4" w:space="0" w:color="000000"/>
              <w:left w:val="single" w:sz="4" w:space="0" w:color="000000"/>
              <w:bottom w:val="single" w:sz="4" w:space="0" w:color="000000"/>
              <w:right w:val="single" w:sz="4" w:space="0" w:color="000000"/>
            </w:tcBorders>
            <w:vAlign w:val="center"/>
          </w:tcPr>
          <w:p w14:paraId="3F774B2B" w14:textId="77777777" w:rsidR="00FE7472" w:rsidRPr="009D5B83" w:rsidRDefault="00FE7472" w:rsidP="00FE7472">
            <w:pPr>
              <w:widowControl w:val="0"/>
              <w:suppressAutoHyphens/>
              <w:jc w:val="center"/>
              <w:rPr>
                <w:b/>
                <w:sz w:val="20"/>
              </w:rPr>
            </w:pPr>
            <w:r w:rsidRPr="009D5B83">
              <w:rPr>
                <w:b/>
                <w:sz w:val="20"/>
              </w:rPr>
              <w:t>Оценка</w:t>
            </w:r>
          </w:p>
        </w:tc>
        <w:tc>
          <w:tcPr>
            <w:tcW w:w="2758" w:type="dxa"/>
            <w:gridSpan w:val="3"/>
            <w:tcBorders>
              <w:top w:val="single" w:sz="4" w:space="0" w:color="000000"/>
              <w:left w:val="single" w:sz="4" w:space="0" w:color="000000"/>
              <w:bottom w:val="single" w:sz="4" w:space="0" w:color="000000"/>
              <w:right w:val="single" w:sz="4" w:space="0" w:color="000000"/>
            </w:tcBorders>
            <w:vAlign w:val="center"/>
          </w:tcPr>
          <w:p w14:paraId="5E8B866A" w14:textId="77777777" w:rsidR="00FE7472" w:rsidRPr="009D5B83" w:rsidRDefault="00FE7472" w:rsidP="009D22DF">
            <w:pPr>
              <w:widowControl w:val="0"/>
              <w:suppressAutoHyphens/>
              <w:jc w:val="center"/>
              <w:rPr>
                <w:b/>
                <w:sz w:val="20"/>
              </w:rPr>
            </w:pPr>
            <w:r w:rsidRPr="009D5B83">
              <w:rPr>
                <w:b/>
                <w:sz w:val="20"/>
              </w:rPr>
              <w:t>Законопроект</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29B06986" w14:textId="77777777" w:rsidR="00FE7472" w:rsidRPr="009D5B83" w:rsidRDefault="00FE7472" w:rsidP="00FE7472">
            <w:pPr>
              <w:widowControl w:val="0"/>
              <w:suppressAutoHyphens/>
              <w:ind w:firstLine="57"/>
              <w:jc w:val="center"/>
              <w:rPr>
                <w:b/>
                <w:iCs/>
                <w:sz w:val="20"/>
                <w:szCs w:val="20"/>
              </w:rPr>
            </w:pPr>
            <w:r w:rsidRPr="009D5B83">
              <w:rPr>
                <w:b/>
                <w:iCs/>
                <w:sz w:val="20"/>
                <w:szCs w:val="20"/>
              </w:rPr>
              <w:t>Отклонение 2025 г. к 2021 г.</w:t>
            </w:r>
          </w:p>
        </w:tc>
      </w:tr>
      <w:tr w:rsidR="00FE7472" w:rsidRPr="009D5B83" w14:paraId="03FD34E2" w14:textId="77777777" w:rsidTr="001B68A1">
        <w:trPr>
          <w:cantSplit/>
          <w:tblHeader/>
        </w:trPr>
        <w:tc>
          <w:tcPr>
            <w:tcW w:w="2273" w:type="dxa"/>
            <w:vMerge/>
            <w:tcBorders>
              <w:top w:val="single" w:sz="4" w:space="0" w:color="000000"/>
              <w:left w:val="single" w:sz="4" w:space="0" w:color="000000"/>
              <w:bottom w:val="single" w:sz="4" w:space="0" w:color="000000"/>
              <w:right w:val="single" w:sz="4" w:space="0" w:color="000000"/>
            </w:tcBorders>
            <w:vAlign w:val="center"/>
          </w:tcPr>
          <w:p w14:paraId="283C34F5" w14:textId="77777777" w:rsidR="00FE7472" w:rsidRPr="009D5B83" w:rsidRDefault="00FE7472" w:rsidP="00FE7472">
            <w:pPr>
              <w:suppressAutoHyphens/>
              <w:ind w:firstLine="709"/>
              <w:jc w:val="both"/>
            </w:pPr>
          </w:p>
        </w:tc>
        <w:tc>
          <w:tcPr>
            <w:tcW w:w="1239" w:type="dxa"/>
            <w:tcBorders>
              <w:top w:val="single" w:sz="4" w:space="0" w:color="000000"/>
              <w:left w:val="single" w:sz="4" w:space="0" w:color="000000"/>
              <w:bottom w:val="single" w:sz="4" w:space="0" w:color="000000"/>
              <w:right w:val="single" w:sz="4" w:space="0" w:color="000000"/>
            </w:tcBorders>
            <w:vAlign w:val="center"/>
          </w:tcPr>
          <w:p w14:paraId="28C86542" w14:textId="77777777" w:rsidR="00FE7472" w:rsidRPr="009D5B83" w:rsidRDefault="00FE7472" w:rsidP="00FE7472">
            <w:pPr>
              <w:widowControl w:val="0"/>
              <w:suppressAutoHyphens/>
              <w:jc w:val="center"/>
              <w:rPr>
                <w:b/>
                <w:sz w:val="20"/>
              </w:rPr>
            </w:pPr>
            <w:r w:rsidRPr="009D5B83">
              <w:rPr>
                <w:b/>
                <w:sz w:val="20"/>
              </w:rPr>
              <w:t>2021 г.</w:t>
            </w:r>
          </w:p>
        </w:tc>
        <w:tc>
          <w:tcPr>
            <w:tcW w:w="909" w:type="dxa"/>
            <w:tcBorders>
              <w:top w:val="single" w:sz="4" w:space="0" w:color="000000"/>
              <w:left w:val="single" w:sz="4" w:space="0" w:color="000000"/>
              <w:bottom w:val="single" w:sz="4" w:space="0" w:color="000000"/>
              <w:right w:val="single" w:sz="4" w:space="0" w:color="000000"/>
            </w:tcBorders>
            <w:vAlign w:val="center"/>
          </w:tcPr>
          <w:p w14:paraId="2AE16F0B" w14:textId="77777777" w:rsidR="00FE7472" w:rsidRPr="009D5B83" w:rsidRDefault="00FE7472" w:rsidP="00FE7472">
            <w:pPr>
              <w:widowControl w:val="0"/>
              <w:suppressAutoHyphens/>
              <w:jc w:val="center"/>
              <w:rPr>
                <w:b/>
                <w:sz w:val="20"/>
              </w:rPr>
            </w:pPr>
            <w:r w:rsidRPr="009D5B83">
              <w:rPr>
                <w:b/>
                <w:sz w:val="20"/>
              </w:rPr>
              <w:t>2022 г.</w:t>
            </w:r>
          </w:p>
        </w:tc>
        <w:tc>
          <w:tcPr>
            <w:tcW w:w="868" w:type="dxa"/>
            <w:tcBorders>
              <w:top w:val="single" w:sz="4" w:space="0" w:color="000000"/>
              <w:left w:val="single" w:sz="4" w:space="0" w:color="000000"/>
              <w:bottom w:val="single" w:sz="4" w:space="0" w:color="000000"/>
              <w:right w:val="single" w:sz="4" w:space="0" w:color="000000"/>
            </w:tcBorders>
            <w:vAlign w:val="center"/>
          </w:tcPr>
          <w:p w14:paraId="256DB936" w14:textId="77777777" w:rsidR="00FE7472" w:rsidRPr="009D5B83" w:rsidRDefault="00FE7472" w:rsidP="00FE7472">
            <w:pPr>
              <w:widowControl w:val="0"/>
              <w:suppressAutoHyphens/>
              <w:jc w:val="center"/>
              <w:rPr>
                <w:b/>
                <w:sz w:val="20"/>
              </w:rPr>
            </w:pPr>
            <w:r w:rsidRPr="009D5B83">
              <w:rPr>
                <w:b/>
                <w:sz w:val="20"/>
              </w:rPr>
              <w:t>2023 г.</w:t>
            </w:r>
          </w:p>
        </w:tc>
        <w:tc>
          <w:tcPr>
            <w:tcW w:w="945" w:type="dxa"/>
            <w:tcBorders>
              <w:top w:val="single" w:sz="4" w:space="0" w:color="000000"/>
              <w:left w:val="single" w:sz="4" w:space="0" w:color="000000"/>
              <w:bottom w:val="single" w:sz="4" w:space="0" w:color="000000"/>
              <w:right w:val="single" w:sz="4" w:space="0" w:color="000000"/>
            </w:tcBorders>
            <w:vAlign w:val="center"/>
          </w:tcPr>
          <w:p w14:paraId="7D6719A4" w14:textId="77777777" w:rsidR="00FE7472" w:rsidRPr="009D5B83" w:rsidRDefault="00FE7472" w:rsidP="00FE7472">
            <w:pPr>
              <w:widowControl w:val="0"/>
              <w:suppressAutoHyphens/>
              <w:jc w:val="center"/>
              <w:rPr>
                <w:b/>
                <w:sz w:val="20"/>
              </w:rPr>
            </w:pPr>
            <w:r w:rsidRPr="009D5B83">
              <w:rPr>
                <w:b/>
                <w:sz w:val="20"/>
              </w:rPr>
              <w:t>2024 г.</w:t>
            </w:r>
          </w:p>
        </w:tc>
        <w:tc>
          <w:tcPr>
            <w:tcW w:w="945" w:type="dxa"/>
            <w:tcBorders>
              <w:top w:val="single" w:sz="4" w:space="0" w:color="000000"/>
              <w:left w:val="single" w:sz="4" w:space="0" w:color="000000"/>
              <w:bottom w:val="single" w:sz="4" w:space="0" w:color="000000"/>
              <w:right w:val="single" w:sz="4" w:space="0" w:color="000000"/>
            </w:tcBorders>
            <w:vAlign w:val="center"/>
          </w:tcPr>
          <w:p w14:paraId="774F9E4A" w14:textId="77777777" w:rsidR="00FE7472" w:rsidRPr="009D5B83" w:rsidRDefault="00FE7472" w:rsidP="00FE7472">
            <w:pPr>
              <w:widowControl w:val="0"/>
              <w:suppressAutoHyphens/>
              <w:jc w:val="center"/>
              <w:rPr>
                <w:b/>
                <w:sz w:val="20"/>
              </w:rPr>
            </w:pPr>
            <w:r w:rsidRPr="009D5B83">
              <w:rPr>
                <w:b/>
                <w:sz w:val="20"/>
              </w:rPr>
              <w:t>2025 г.</w:t>
            </w:r>
          </w:p>
        </w:tc>
        <w:tc>
          <w:tcPr>
            <w:tcW w:w="984" w:type="dxa"/>
            <w:tcBorders>
              <w:top w:val="single" w:sz="4" w:space="0" w:color="000000"/>
              <w:left w:val="single" w:sz="4" w:space="0" w:color="000000"/>
              <w:bottom w:val="single" w:sz="4" w:space="0" w:color="000000"/>
              <w:right w:val="single" w:sz="4" w:space="0" w:color="000000"/>
            </w:tcBorders>
            <w:vAlign w:val="center"/>
          </w:tcPr>
          <w:p w14:paraId="44786482" w14:textId="77777777" w:rsidR="00FE7472" w:rsidRPr="009D5B83" w:rsidRDefault="00FE7472" w:rsidP="00FE7472">
            <w:pPr>
              <w:widowControl w:val="0"/>
              <w:suppressAutoHyphens/>
              <w:jc w:val="center"/>
              <w:rPr>
                <w:b/>
                <w:bCs/>
                <w:sz w:val="20"/>
                <w:szCs w:val="20"/>
              </w:rPr>
            </w:pPr>
            <w:proofErr w:type="gramStart"/>
            <w:r w:rsidRPr="009D5B83">
              <w:rPr>
                <w:b/>
                <w:bCs/>
                <w:sz w:val="20"/>
                <w:szCs w:val="20"/>
              </w:rPr>
              <w:t>млрд</w:t>
            </w:r>
            <w:proofErr w:type="gramEnd"/>
            <w:r w:rsidRPr="009D5B83">
              <w:rPr>
                <w:b/>
                <w:bCs/>
                <w:sz w:val="20"/>
                <w:szCs w:val="20"/>
              </w:rPr>
              <w:t xml:space="preserve"> руб.</w:t>
            </w:r>
          </w:p>
        </w:tc>
        <w:tc>
          <w:tcPr>
            <w:tcW w:w="906" w:type="dxa"/>
            <w:tcBorders>
              <w:top w:val="single" w:sz="4" w:space="0" w:color="000000"/>
              <w:left w:val="single" w:sz="4" w:space="0" w:color="000000"/>
              <w:bottom w:val="single" w:sz="4" w:space="0" w:color="000000"/>
              <w:right w:val="single" w:sz="4" w:space="0" w:color="000000"/>
            </w:tcBorders>
            <w:vAlign w:val="center"/>
          </w:tcPr>
          <w:p w14:paraId="59B4B128" w14:textId="77777777" w:rsidR="00FE7472" w:rsidRPr="009D5B83" w:rsidRDefault="00FE7472" w:rsidP="00FE7472">
            <w:pPr>
              <w:widowControl w:val="0"/>
              <w:suppressAutoHyphens/>
              <w:jc w:val="center"/>
              <w:rPr>
                <w:b/>
                <w:bCs/>
                <w:i/>
                <w:iCs/>
                <w:sz w:val="20"/>
                <w:szCs w:val="20"/>
              </w:rPr>
            </w:pPr>
            <w:r w:rsidRPr="009D5B83">
              <w:rPr>
                <w:b/>
                <w:bCs/>
                <w:i/>
                <w:iCs/>
                <w:sz w:val="20"/>
                <w:szCs w:val="20"/>
              </w:rPr>
              <w:t>прирост %</w:t>
            </w:r>
          </w:p>
        </w:tc>
      </w:tr>
      <w:tr w:rsidR="00FE7472" w:rsidRPr="009D5B83" w14:paraId="36F95279"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23E2846A" w14:textId="77777777" w:rsidR="00FE7472" w:rsidRPr="00E853B4" w:rsidRDefault="00FE7472" w:rsidP="00FE7472">
            <w:pPr>
              <w:widowControl w:val="0"/>
              <w:suppressAutoHyphens/>
              <w:jc w:val="both"/>
              <w:rPr>
                <w:b/>
                <w:bCs/>
                <w:sz w:val="20"/>
              </w:rPr>
            </w:pPr>
            <w:r w:rsidRPr="00E853B4">
              <w:rPr>
                <w:b/>
                <w:bCs/>
                <w:sz w:val="20"/>
              </w:rPr>
              <w:t xml:space="preserve">Общегосударственные вопросы, в </w:t>
            </w:r>
            <w:proofErr w:type="spellStart"/>
            <w:r w:rsidRPr="00E853B4">
              <w:rPr>
                <w:b/>
                <w:bCs/>
                <w:sz w:val="20"/>
              </w:rPr>
              <w:t>т.ч</w:t>
            </w:r>
            <w:proofErr w:type="spellEnd"/>
            <w:r w:rsidRPr="00E853B4">
              <w:rPr>
                <w:b/>
                <w:bCs/>
                <w:sz w:val="20"/>
              </w:rPr>
              <w:t>.:</w:t>
            </w:r>
          </w:p>
        </w:tc>
        <w:tc>
          <w:tcPr>
            <w:tcW w:w="1239" w:type="dxa"/>
            <w:tcBorders>
              <w:top w:val="single" w:sz="4" w:space="0" w:color="000000"/>
              <w:left w:val="single" w:sz="4" w:space="0" w:color="000000"/>
              <w:bottom w:val="single" w:sz="4" w:space="0" w:color="000000"/>
              <w:right w:val="single" w:sz="4" w:space="0" w:color="000000"/>
            </w:tcBorders>
            <w:vAlign w:val="center"/>
          </w:tcPr>
          <w:p w14:paraId="43FEA6D5" w14:textId="77777777" w:rsidR="00FE7472" w:rsidRPr="00E853B4" w:rsidRDefault="00FE7472" w:rsidP="00FE7472">
            <w:pPr>
              <w:widowControl w:val="0"/>
              <w:suppressAutoHyphens/>
              <w:jc w:val="center"/>
              <w:rPr>
                <w:b/>
                <w:bCs/>
                <w:sz w:val="20"/>
                <w:szCs w:val="20"/>
              </w:rPr>
            </w:pPr>
            <w:r w:rsidRPr="00E853B4">
              <w:rPr>
                <w:b/>
                <w:bCs/>
                <w:sz w:val="20"/>
                <w:szCs w:val="20"/>
              </w:rPr>
              <w:t>1759,4</w:t>
            </w:r>
          </w:p>
        </w:tc>
        <w:tc>
          <w:tcPr>
            <w:tcW w:w="909" w:type="dxa"/>
            <w:tcBorders>
              <w:top w:val="single" w:sz="4" w:space="0" w:color="000000"/>
              <w:left w:val="single" w:sz="4" w:space="0" w:color="000000"/>
              <w:bottom w:val="single" w:sz="4" w:space="0" w:color="000000"/>
              <w:right w:val="single" w:sz="4" w:space="0" w:color="000000"/>
            </w:tcBorders>
            <w:vAlign w:val="center"/>
          </w:tcPr>
          <w:p w14:paraId="1B53086E" w14:textId="77777777" w:rsidR="00FE7472" w:rsidRPr="00E853B4" w:rsidRDefault="00FE7472" w:rsidP="00FE7472">
            <w:pPr>
              <w:widowControl w:val="0"/>
              <w:suppressAutoHyphens/>
              <w:jc w:val="center"/>
              <w:rPr>
                <w:b/>
                <w:bCs/>
                <w:sz w:val="20"/>
                <w:szCs w:val="20"/>
              </w:rPr>
            </w:pPr>
            <w:r w:rsidRPr="00E853B4">
              <w:rPr>
                <w:b/>
                <w:bCs/>
                <w:sz w:val="20"/>
                <w:szCs w:val="20"/>
              </w:rPr>
              <w:t xml:space="preserve"> 2628,6</w:t>
            </w:r>
          </w:p>
        </w:tc>
        <w:tc>
          <w:tcPr>
            <w:tcW w:w="868" w:type="dxa"/>
            <w:tcBorders>
              <w:top w:val="single" w:sz="4" w:space="0" w:color="000000"/>
              <w:left w:val="single" w:sz="4" w:space="0" w:color="000000"/>
              <w:bottom w:val="single" w:sz="4" w:space="0" w:color="000000"/>
              <w:right w:val="single" w:sz="4" w:space="0" w:color="000000"/>
            </w:tcBorders>
            <w:vAlign w:val="center"/>
          </w:tcPr>
          <w:p w14:paraId="5B772FA3" w14:textId="77777777" w:rsidR="00FE7472" w:rsidRPr="00E853B4" w:rsidRDefault="00FE7472" w:rsidP="00FE7472">
            <w:pPr>
              <w:widowControl w:val="0"/>
              <w:suppressAutoHyphens/>
              <w:jc w:val="center"/>
              <w:rPr>
                <w:b/>
                <w:bCs/>
                <w:sz w:val="20"/>
                <w:szCs w:val="20"/>
              </w:rPr>
            </w:pPr>
            <w:r w:rsidRPr="00E853B4">
              <w:rPr>
                <w:b/>
                <w:bCs/>
                <w:sz w:val="20"/>
                <w:szCs w:val="20"/>
              </w:rPr>
              <w:t>1994,4</w:t>
            </w:r>
          </w:p>
        </w:tc>
        <w:tc>
          <w:tcPr>
            <w:tcW w:w="945" w:type="dxa"/>
            <w:tcBorders>
              <w:top w:val="single" w:sz="4" w:space="0" w:color="000000"/>
              <w:left w:val="single" w:sz="4" w:space="0" w:color="000000"/>
              <w:bottom w:val="single" w:sz="4" w:space="0" w:color="000000"/>
              <w:right w:val="single" w:sz="4" w:space="0" w:color="000000"/>
            </w:tcBorders>
            <w:vAlign w:val="center"/>
          </w:tcPr>
          <w:p w14:paraId="066B6B97" w14:textId="77777777" w:rsidR="00FE7472" w:rsidRPr="00E853B4" w:rsidRDefault="00FE7472" w:rsidP="00FE7472">
            <w:pPr>
              <w:widowControl w:val="0"/>
              <w:suppressAutoHyphens/>
              <w:jc w:val="center"/>
              <w:rPr>
                <w:b/>
                <w:bCs/>
                <w:sz w:val="20"/>
                <w:szCs w:val="20"/>
              </w:rPr>
            </w:pPr>
            <w:r w:rsidRPr="00E853B4">
              <w:rPr>
                <w:b/>
                <w:bCs/>
                <w:sz w:val="20"/>
                <w:szCs w:val="20"/>
              </w:rPr>
              <w:t>1993,1</w:t>
            </w:r>
          </w:p>
        </w:tc>
        <w:tc>
          <w:tcPr>
            <w:tcW w:w="945" w:type="dxa"/>
            <w:tcBorders>
              <w:top w:val="single" w:sz="4" w:space="0" w:color="000000"/>
              <w:left w:val="single" w:sz="4" w:space="0" w:color="000000"/>
              <w:bottom w:val="single" w:sz="4" w:space="0" w:color="000000"/>
              <w:right w:val="single" w:sz="4" w:space="0" w:color="000000"/>
            </w:tcBorders>
            <w:vAlign w:val="center"/>
          </w:tcPr>
          <w:p w14:paraId="620B3E7E" w14:textId="77777777" w:rsidR="00FE7472" w:rsidRPr="00E853B4" w:rsidRDefault="00FE7472" w:rsidP="00FE7472">
            <w:pPr>
              <w:widowControl w:val="0"/>
              <w:suppressAutoHyphens/>
              <w:jc w:val="center"/>
              <w:rPr>
                <w:b/>
                <w:bCs/>
                <w:sz w:val="20"/>
                <w:szCs w:val="20"/>
              </w:rPr>
            </w:pPr>
            <w:r w:rsidRPr="00E853B4">
              <w:rPr>
                <w:b/>
                <w:bCs/>
                <w:sz w:val="20"/>
                <w:szCs w:val="20"/>
              </w:rPr>
              <w:t>1834,5</w:t>
            </w:r>
          </w:p>
        </w:tc>
        <w:tc>
          <w:tcPr>
            <w:tcW w:w="984" w:type="dxa"/>
            <w:tcBorders>
              <w:top w:val="single" w:sz="4" w:space="0" w:color="000000"/>
              <w:left w:val="single" w:sz="4" w:space="0" w:color="000000"/>
              <w:bottom w:val="single" w:sz="4" w:space="0" w:color="000000"/>
              <w:right w:val="single" w:sz="4" w:space="0" w:color="000000"/>
            </w:tcBorders>
            <w:vAlign w:val="center"/>
          </w:tcPr>
          <w:p w14:paraId="64696247" w14:textId="77777777" w:rsidR="00FE7472" w:rsidRPr="00E853B4" w:rsidRDefault="00FE7472" w:rsidP="00FE7472">
            <w:pPr>
              <w:widowControl w:val="0"/>
              <w:suppressAutoHyphens/>
              <w:jc w:val="center"/>
              <w:rPr>
                <w:b/>
                <w:bCs/>
                <w:sz w:val="20"/>
                <w:szCs w:val="20"/>
              </w:rPr>
            </w:pPr>
            <w:r w:rsidRPr="00E853B4">
              <w:rPr>
                <w:b/>
                <w:bCs/>
                <w:sz w:val="20"/>
                <w:szCs w:val="20"/>
              </w:rPr>
              <w:t>75,1</w:t>
            </w:r>
          </w:p>
        </w:tc>
        <w:tc>
          <w:tcPr>
            <w:tcW w:w="906" w:type="dxa"/>
            <w:tcBorders>
              <w:top w:val="single" w:sz="4" w:space="0" w:color="000000"/>
              <w:left w:val="single" w:sz="4" w:space="0" w:color="000000"/>
              <w:bottom w:val="single" w:sz="4" w:space="0" w:color="000000"/>
              <w:right w:val="single" w:sz="4" w:space="0" w:color="000000"/>
            </w:tcBorders>
            <w:vAlign w:val="center"/>
          </w:tcPr>
          <w:p w14:paraId="39EC3D52" w14:textId="77777777" w:rsidR="00FE7472" w:rsidRPr="00E853B4" w:rsidRDefault="00FE7472" w:rsidP="00FE7472">
            <w:pPr>
              <w:widowControl w:val="0"/>
              <w:suppressAutoHyphens/>
              <w:jc w:val="center"/>
              <w:rPr>
                <w:b/>
                <w:bCs/>
                <w:i/>
                <w:iCs/>
                <w:sz w:val="20"/>
                <w:szCs w:val="20"/>
              </w:rPr>
            </w:pPr>
            <w:r w:rsidRPr="00E853B4">
              <w:rPr>
                <w:b/>
                <w:bCs/>
                <w:i/>
                <w:iCs/>
                <w:sz w:val="20"/>
                <w:szCs w:val="20"/>
              </w:rPr>
              <w:t>4,3</w:t>
            </w:r>
          </w:p>
        </w:tc>
      </w:tr>
      <w:tr w:rsidR="00FE7472" w:rsidRPr="009D5B83" w14:paraId="25C82A30"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15DDC413" w14:textId="77777777" w:rsidR="00FE7472" w:rsidRPr="009D5B83" w:rsidRDefault="00FE7472" w:rsidP="00FE7472">
            <w:pPr>
              <w:widowControl w:val="0"/>
              <w:suppressAutoHyphens/>
              <w:ind w:left="170"/>
              <w:jc w:val="both"/>
              <w:rPr>
                <w:sz w:val="20"/>
              </w:rPr>
            </w:pPr>
            <w:r w:rsidRPr="009D5B83">
              <w:rPr>
                <w:sz w:val="20"/>
              </w:rPr>
              <w:t>Функционирование Президента РФ</w:t>
            </w:r>
          </w:p>
        </w:tc>
        <w:tc>
          <w:tcPr>
            <w:tcW w:w="1239" w:type="dxa"/>
            <w:tcBorders>
              <w:top w:val="single" w:sz="4" w:space="0" w:color="000000"/>
              <w:left w:val="single" w:sz="4" w:space="0" w:color="000000"/>
              <w:bottom w:val="single" w:sz="4" w:space="0" w:color="000000"/>
              <w:right w:val="single" w:sz="4" w:space="0" w:color="000000"/>
            </w:tcBorders>
            <w:vAlign w:val="center"/>
          </w:tcPr>
          <w:p w14:paraId="77B7D7C1" w14:textId="77777777" w:rsidR="00FE7472" w:rsidRPr="009D5B83" w:rsidRDefault="00FE7472" w:rsidP="00FE7472">
            <w:pPr>
              <w:widowControl w:val="0"/>
              <w:suppressAutoHyphens/>
              <w:jc w:val="center"/>
              <w:rPr>
                <w:sz w:val="20"/>
                <w:szCs w:val="20"/>
              </w:rPr>
            </w:pPr>
            <w:r w:rsidRPr="009D5B83">
              <w:rPr>
                <w:sz w:val="20"/>
                <w:szCs w:val="20"/>
              </w:rPr>
              <w:t>27,4</w:t>
            </w:r>
          </w:p>
        </w:tc>
        <w:tc>
          <w:tcPr>
            <w:tcW w:w="909" w:type="dxa"/>
            <w:tcBorders>
              <w:top w:val="single" w:sz="4" w:space="0" w:color="000000"/>
              <w:left w:val="single" w:sz="4" w:space="0" w:color="000000"/>
              <w:bottom w:val="single" w:sz="4" w:space="0" w:color="000000"/>
              <w:right w:val="single" w:sz="4" w:space="0" w:color="000000"/>
            </w:tcBorders>
            <w:vAlign w:val="center"/>
          </w:tcPr>
          <w:p w14:paraId="62DCF28F" w14:textId="77777777" w:rsidR="00FE7472" w:rsidRPr="009D5B83" w:rsidRDefault="00FE7472" w:rsidP="00FE7472">
            <w:pPr>
              <w:widowControl w:val="0"/>
              <w:suppressAutoHyphens/>
              <w:jc w:val="center"/>
              <w:rPr>
                <w:sz w:val="20"/>
                <w:szCs w:val="20"/>
              </w:rPr>
            </w:pPr>
            <w:r w:rsidRPr="009D5B83">
              <w:rPr>
                <w:sz w:val="20"/>
                <w:szCs w:val="20"/>
              </w:rPr>
              <w:t>35,1</w:t>
            </w:r>
          </w:p>
        </w:tc>
        <w:tc>
          <w:tcPr>
            <w:tcW w:w="868" w:type="dxa"/>
            <w:tcBorders>
              <w:top w:val="single" w:sz="4" w:space="0" w:color="000000"/>
              <w:left w:val="single" w:sz="4" w:space="0" w:color="000000"/>
              <w:bottom w:val="single" w:sz="4" w:space="0" w:color="000000"/>
              <w:right w:val="single" w:sz="4" w:space="0" w:color="000000"/>
            </w:tcBorders>
            <w:vAlign w:val="center"/>
          </w:tcPr>
          <w:p w14:paraId="51524412" w14:textId="77777777" w:rsidR="00FE7472" w:rsidRPr="009D5B83" w:rsidRDefault="00FE7472" w:rsidP="00FE7472">
            <w:pPr>
              <w:widowControl w:val="0"/>
              <w:suppressAutoHyphens/>
              <w:jc w:val="center"/>
              <w:rPr>
                <w:sz w:val="20"/>
                <w:szCs w:val="20"/>
              </w:rPr>
            </w:pPr>
            <w:r w:rsidRPr="009D5B83">
              <w:rPr>
                <w:sz w:val="20"/>
                <w:szCs w:val="20"/>
              </w:rPr>
              <w:t>32,2</w:t>
            </w:r>
          </w:p>
        </w:tc>
        <w:tc>
          <w:tcPr>
            <w:tcW w:w="945" w:type="dxa"/>
            <w:tcBorders>
              <w:top w:val="single" w:sz="4" w:space="0" w:color="000000"/>
              <w:left w:val="single" w:sz="4" w:space="0" w:color="000000"/>
              <w:bottom w:val="single" w:sz="4" w:space="0" w:color="000000"/>
              <w:right w:val="single" w:sz="4" w:space="0" w:color="000000"/>
            </w:tcBorders>
            <w:vAlign w:val="center"/>
          </w:tcPr>
          <w:p w14:paraId="5C0A447F" w14:textId="77777777" w:rsidR="00FE7472" w:rsidRPr="009D5B83" w:rsidRDefault="00FE7472" w:rsidP="00FE7472">
            <w:pPr>
              <w:widowControl w:val="0"/>
              <w:suppressAutoHyphens/>
              <w:jc w:val="center"/>
              <w:rPr>
                <w:sz w:val="20"/>
                <w:szCs w:val="20"/>
              </w:rPr>
            </w:pPr>
            <w:r w:rsidRPr="009D5B83">
              <w:rPr>
                <w:sz w:val="20"/>
                <w:szCs w:val="20"/>
              </w:rPr>
              <w:t>33,2</w:t>
            </w:r>
          </w:p>
        </w:tc>
        <w:tc>
          <w:tcPr>
            <w:tcW w:w="945" w:type="dxa"/>
            <w:tcBorders>
              <w:top w:val="single" w:sz="4" w:space="0" w:color="000000"/>
              <w:left w:val="single" w:sz="4" w:space="0" w:color="000000"/>
              <w:bottom w:val="single" w:sz="4" w:space="0" w:color="000000"/>
              <w:right w:val="single" w:sz="4" w:space="0" w:color="000000"/>
            </w:tcBorders>
            <w:vAlign w:val="center"/>
          </w:tcPr>
          <w:p w14:paraId="10F2B3CD" w14:textId="77777777" w:rsidR="00FE7472" w:rsidRPr="009D5B83" w:rsidRDefault="00FE7472" w:rsidP="00FE7472">
            <w:pPr>
              <w:widowControl w:val="0"/>
              <w:suppressAutoHyphens/>
              <w:jc w:val="center"/>
              <w:rPr>
                <w:sz w:val="20"/>
                <w:szCs w:val="20"/>
              </w:rPr>
            </w:pPr>
            <w:r w:rsidRPr="009D5B83">
              <w:rPr>
                <w:sz w:val="20"/>
                <w:szCs w:val="20"/>
              </w:rPr>
              <w:t>33,8</w:t>
            </w:r>
          </w:p>
        </w:tc>
        <w:tc>
          <w:tcPr>
            <w:tcW w:w="984" w:type="dxa"/>
            <w:tcBorders>
              <w:top w:val="single" w:sz="4" w:space="0" w:color="000000"/>
              <w:left w:val="single" w:sz="4" w:space="0" w:color="000000"/>
              <w:bottom w:val="single" w:sz="4" w:space="0" w:color="000000"/>
              <w:right w:val="single" w:sz="4" w:space="0" w:color="000000"/>
            </w:tcBorders>
            <w:vAlign w:val="center"/>
          </w:tcPr>
          <w:p w14:paraId="49E87605" w14:textId="77777777" w:rsidR="00FE7472" w:rsidRPr="009D5B83" w:rsidRDefault="00FE7472" w:rsidP="00FE7472">
            <w:pPr>
              <w:widowControl w:val="0"/>
              <w:suppressAutoHyphens/>
              <w:jc w:val="center"/>
              <w:rPr>
                <w:sz w:val="20"/>
                <w:szCs w:val="20"/>
              </w:rPr>
            </w:pPr>
            <w:r w:rsidRPr="009D5B83">
              <w:rPr>
                <w:sz w:val="20"/>
                <w:szCs w:val="20"/>
              </w:rPr>
              <w:t>6,4</w:t>
            </w:r>
          </w:p>
        </w:tc>
        <w:tc>
          <w:tcPr>
            <w:tcW w:w="906" w:type="dxa"/>
            <w:tcBorders>
              <w:top w:val="single" w:sz="4" w:space="0" w:color="000000"/>
              <w:left w:val="single" w:sz="4" w:space="0" w:color="000000"/>
              <w:bottom w:val="single" w:sz="4" w:space="0" w:color="000000"/>
              <w:right w:val="single" w:sz="4" w:space="0" w:color="000000"/>
            </w:tcBorders>
            <w:vAlign w:val="center"/>
          </w:tcPr>
          <w:p w14:paraId="760480A5" w14:textId="77777777" w:rsidR="00FE7472" w:rsidRPr="00E853B4" w:rsidRDefault="00FE7472" w:rsidP="00FE7472">
            <w:pPr>
              <w:widowControl w:val="0"/>
              <w:suppressAutoHyphens/>
              <w:jc w:val="center"/>
              <w:rPr>
                <w:i/>
                <w:iCs/>
                <w:sz w:val="20"/>
                <w:szCs w:val="20"/>
              </w:rPr>
            </w:pPr>
            <w:r w:rsidRPr="00E853B4">
              <w:rPr>
                <w:i/>
                <w:iCs/>
                <w:sz w:val="20"/>
                <w:szCs w:val="20"/>
              </w:rPr>
              <w:t>23,4</w:t>
            </w:r>
          </w:p>
        </w:tc>
      </w:tr>
      <w:tr w:rsidR="00FE7472" w:rsidRPr="009D5B83" w14:paraId="36985B14"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0B072AD0" w14:textId="77777777" w:rsidR="00FE7472" w:rsidRPr="009D5B83" w:rsidRDefault="00FE7472" w:rsidP="00FE7472">
            <w:pPr>
              <w:widowControl w:val="0"/>
              <w:suppressAutoHyphens/>
              <w:ind w:left="170"/>
              <w:jc w:val="both"/>
              <w:rPr>
                <w:sz w:val="20"/>
              </w:rPr>
            </w:pPr>
            <w:r w:rsidRPr="009D5B83">
              <w:rPr>
                <w:sz w:val="20"/>
              </w:rPr>
              <w:t>Функционирование законодательных органов гос. власти</w:t>
            </w:r>
          </w:p>
        </w:tc>
        <w:tc>
          <w:tcPr>
            <w:tcW w:w="1239" w:type="dxa"/>
            <w:tcBorders>
              <w:top w:val="single" w:sz="4" w:space="0" w:color="000000"/>
              <w:left w:val="single" w:sz="4" w:space="0" w:color="000000"/>
              <w:bottom w:val="single" w:sz="4" w:space="0" w:color="000000"/>
              <w:right w:val="single" w:sz="4" w:space="0" w:color="000000"/>
            </w:tcBorders>
            <w:vAlign w:val="center"/>
          </w:tcPr>
          <w:p w14:paraId="2D0229F5" w14:textId="77777777" w:rsidR="00FE7472" w:rsidRPr="009D5B83" w:rsidRDefault="00FE7472" w:rsidP="00FE7472">
            <w:pPr>
              <w:widowControl w:val="0"/>
              <w:suppressAutoHyphens/>
              <w:jc w:val="center"/>
              <w:rPr>
                <w:sz w:val="20"/>
                <w:szCs w:val="20"/>
              </w:rPr>
            </w:pPr>
            <w:r w:rsidRPr="009D5B83">
              <w:rPr>
                <w:sz w:val="20"/>
                <w:szCs w:val="20"/>
              </w:rPr>
              <w:t>16,9</w:t>
            </w:r>
          </w:p>
        </w:tc>
        <w:tc>
          <w:tcPr>
            <w:tcW w:w="909" w:type="dxa"/>
            <w:tcBorders>
              <w:top w:val="single" w:sz="4" w:space="0" w:color="000000"/>
              <w:left w:val="single" w:sz="4" w:space="0" w:color="000000"/>
              <w:bottom w:val="single" w:sz="4" w:space="0" w:color="000000"/>
              <w:right w:val="single" w:sz="4" w:space="0" w:color="000000"/>
            </w:tcBorders>
            <w:vAlign w:val="center"/>
          </w:tcPr>
          <w:p w14:paraId="47105EEA" w14:textId="77777777" w:rsidR="00FE7472" w:rsidRPr="009D5B83" w:rsidRDefault="00FE7472" w:rsidP="00FE7472">
            <w:pPr>
              <w:widowControl w:val="0"/>
              <w:suppressAutoHyphens/>
              <w:jc w:val="center"/>
              <w:rPr>
                <w:sz w:val="20"/>
                <w:szCs w:val="20"/>
              </w:rPr>
            </w:pPr>
            <w:r w:rsidRPr="009D5B83">
              <w:rPr>
                <w:sz w:val="20"/>
                <w:szCs w:val="20"/>
              </w:rPr>
              <w:t>19,5</w:t>
            </w:r>
          </w:p>
        </w:tc>
        <w:tc>
          <w:tcPr>
            <w:tcW w:w="868" w:type="dxa"/>
            <w:tcBorders>
              <w:top w:val="single" w:sz="4" w:space="0" w:color="000000"/>
              <w:left w:val="single" w:sz="4" w:space="0" w:color="000000"/>
              <w:bottom w:val="single" w:sz="4" w:space="0" w:color="000000"/>
              <w:right w:val="single" w:sz="4" w:space="0" w:color="000000"/>
            </w:tcBorders>
            <w:vAlign w:val="center"/>
          </w:tcPr>
          <w:p w14:paraId="5A1618B7" w14:textId="77777777" w:rsidR="00FE7472" w:rsidRPr="009D5B83" w:rsidRDefault="00FE7472" w:rsidP="00FE7472">
            <w:pPr>
              <w:widowControl w:val="0"/>
              <w:suppressAutoHyphens/>
              <w:jc w:val="center"/>
              <w:rPr>
                <w:sz w:val="20"/>
                <w:szCs w:val="20"/>
              </w:rPr>
            </w:pPr>
            <w:r w:rsidRPr="009D5B83">
              <w:rPr>
                <w:sz w:val="20"/>
                <w:szCs w:val="20"/>
              </w:rPr>
              <w:t>20,5</w:t>
            </w:r>
          </w:p>
        </w:tc>
        <w:tc>
          <w:tcPr>
            <w:tcW w:w="945" w:type="dxa"/>
            <w:tcBorders>
              <w:top w:val="single" w:sz="4" w:space="0" w:color="000000"/>
              <w:left w:val="single" w:sz="4" w:space="0" w:color="000000"/>
              <w:bottom w:val="single" w:sz="4" w:space="0" w:color="000000"/>
              <w:right w:val="single" w:sz="4" w:space="0" w:color="000000"/>
            </w:tcBorders>
            <w:vAlign w:val="center"/>
          </w:tcPr>
          <w:p w14:paraId="1CBEF8ED" w14:textId="77777777" w:rsidR="00FE7472" w:rsidRPr="009D5B83" w:rsidRDefault="00FE7472" w:rsidP="00FE7472">
            <w:pPr>
              <w:widowControl w:val="0"/>
              <w:suppressAutoHyphens/>
              <w:jc w:val="center"/>
              <w:rPr>
                <w:sz w:val="20"/>
                <w:szCs w:val="20"/>
              </w:rPr>
            </w:pPr>
            <w:r w:rsidRPr="009D5B83">
              <w:rPr>
                <w:sz w:val="20"/>
                <w:szCs w:val="20"/>
              </w:rPr>
              <w:t>21,3</w:t>
            </w:r>
          </w:p>
        </w:tc>
        <w:tc>
          <w:tcPr>
            <w:tcW w:w="945" w:type="dxa"/>
            <w:tcBorders>
              <w:top w:val="single" w:sz="4" w:space="0" w:color="000000"/>
              <w:left w:val="single" w:sz="4" w:space="0" w:color="000000"/>
              <w:bottom w:val="single" w:sz="4" w:space="0" w:color="000000"/>
              <w:right w:val="single" w:sz="4" w:space="0" w:color="000000"/>
            </w:tcBorders>
            <w:vAlign w:val="center"/>
          </w:tcPr>
          <w:p w14:paraId="65606AC5" w14:textId="77777777" w:rsidR="00FE7472" w:rsidRPr="009D5B83" w:rsidRDefault="00FE7472" w:rsidP="00FE7472">
            <w:pPr>
              <w:widowControl w:val="0"/>
              <w:suppressAutoHyphens/>
              <w:jc w:val="center"/>
              <w:rPr>
                <w:sz w:val="20"/>
                <w:szCs w:val="20"/>
              </w:rPr>
            </w:pPr>
            <w:r w:rsidRPr="009D5B83">
              <w:rPr>
                <w:sz w:val="20"/>
                <w:szCs w:val="20"/>
              </w:rPr>
              <w:t>22,0</w:t>
            </w:r>
          </w:p>
        </w:tc>
        <w:tc>
          <w:tcPr>
            <w:tcW w:w="984" w:type="dxa"/>
            <w:tcBorders>
              <w:top w:val="single" w:sz="4" w:space="0" w:color="000000"/>
              <w:left w:val="single" w:sz="4" w:space="0" w:color="000000"/>
              <w:bottom w:val="single" w:sz="4" w:space="0" w:color="000000"/>
              <w:right w:val="single" w:sz="4" w:space="0" w:color="000000"/>
            </w:tcBorders>
            <w:vAlign w:val="center"/>
          </w:tcPr>
          <w:p w14:paraId="3EECFD21" w14:textId="77777777" w:rsidR="00FE7472" w:rsidRPr="009D5B83" w:rsidRDefault="00FE7472" w:rsidP="00FE7472">
            <w:pPr>
              <w:widowControl w:val="0"/>
              <w:suppressAutoHyphens/>
              <w:jc w:val="center"/>
              <w:rPr>
                <w:sz w:val="20"/>
                <w:szCs w:val="20"/>
              </w:rPr>
            </w:pPr>
            <w:r w:rsidRPr="009D5B83">
              <w:rPr>
                <w:sz w:val="20"/>
                <w:szCs w:val="20"/>
              </w:rPr>
              <w:t>5,1</w:t>
            </w:r>
          </w:p>
        </w:tc>
        <w:tc>
          <w:tcPr>
            <w:tcW w:w="906" w:type="dxa"/>
            <w:tcBorders>
              <w:top w:val="single" w:sz="4" w:space="0" w:color="000000"/>
              <w:left w:val="single" w:sz="4" w:space="0" w:color="000000"/>
              <w:bottom w:val="single" w:sz="4" w:space="0" w:color="000000"/>
              <w:right w:val="single" w:sz="4" w:space="0" w:color="000000"/>
            </w:tcBorders>
            <w:vAlign w:val="center"/>
          </w:tcPr>
          <w:p w14:paraId="24B7B49B" w14:textId="77777777" w:rsidR="00FE7472" w:rsidRPr="00E853B4" w:rsidRDefault="00FE7472" w:rsidP="00FE7472">
            <w:pPr>
              <w:widowControl w:val="0"/>
              <w:suppressAutoHyphens/>
              <w:jc w:val="center"/>
              <w:rPr>
                <w:i/>
                <w:iCs/>
                <w:sz w:val="20"/>
                <w:szCs w:val="20"/>
              </w:rPr>
            </w:pPr>
            <w:r w:rsidRPr="00E853B4">
              <w:rPr>
                <w:i/>
                <w:iCs/>
                <w:sz w:val="20"/>
                <w:szCs w:val="20"/>
              </w:rPr>
              <w:t>30,2</w:t>
            </w:r>
          </w:p>
        </w:tc>
      </w:tr>
      <w:tr w:rsidR="00FE7472" w:rsidRPr="009D5B83" w14:paraId="2F2E10AA"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0DEACDA9" w14:textId="77777777" w:rsidR="00FE7472" w:rsidRPr="009D5B83" w:rsidRDefault="00FE7472" w:rsidP="00FE7472">
            <w:pPr>
              <w:widowControl w:val="0"/>
              <w:suppressAutoHyphens/>
              <w:ind w:left="170"/>
              <w:jc w:val="both"/>
              <w:rPr>
                <w:sz w:val="20"/>
              </w:rPr>
            </w:pPr>
            <w:r w:rsidRPr="009D5B83">
              <w:rPr>
                <w:sz w:val="20"/>
              </w:rPr>
              <w:t>Функционирование Правительства РФ</w:t>
            </w:r>
          </w:p>
        </w:tc>
        <w:tc>
          <w:tcPr>
            <w:tcW w:w="1239" w:type="dxa"/>
            <w:tcBorders>
              <w:top w:val="single" w:sz="4" w:space="0" w:color="000000"/>
              <w:left w:val="single" w:sz="4" w:space="0" w:color="000000"/>
              <w:bottom w:val="single" w:sz="4" w:space="0" w:color="000000"/>
              <w:right w:val="single" w:sz="4" w:space="0" w:color="000000"/>
            </w:tcBorders>
            <w:vAlign w:val="center"/>
          </w:tcPr>
          <w:p w14:paraId="03E07323" w14:textId="77777777" w:rsidR="00FE7472" w:rsidRPr="009D5B83" w:rsidRDefault="00FE7472" w:rsidP="00FE7472">
            <w:pPr>
              <w:widowControl w:val="0"/>
              <w:suppressAutoHyphens/>
              <w:jc w:val="center"/>
              <w:rPr>
                <w:sz w:val="20"/>
                <w:szCs w:val="20"/>
              </w:rPr>
            </w:pPr>
            <w:r w:rsidRPr="009D5B83">
              <w:rPr>
                <w:sz w:val="20"/>
                <w:szCs w:val="20"/>
              </w:rPr>
              <w:t>12,7</w:t>
            </w:r>
          </w:p>
        </w:tc>
        <w:tc>
          <w:tcPr>
            <w:tcW w:w="909" w:type="dxa"/>
            <w:tcBorders>
              <w:top w:val="single" w:sz="4" w:space="0" w:color="000000"/>
              <w:left w:val="single" w:sz="4" w:space="0" w:color="000000"/>
              <w:bottom w:val="single" w:sz="4" w:space="0" w:color="000000"/>
              <w:right w:val="single" w:sz="4" w:space="0" w:color="000000"/>
            </w:tcBorders>
            <w:vAlign w:val="center"/>
          </w:tcPr>
          <w:p w14:paraId="54ADB5AB" w14:textId="77777777" w:rsidR="00FE7472" w:rsidRPr="009D5B83" w:rsidRDefault="00FE7472" w:rsidP="00FE7472">
            <w:pPr>
              <w:widowControl w:val="0"/>
              <w:suppressAutoHyphens/>
              <w:jc w:val="center"/>
              <w:rPr>
                <w:sz w:val="20"/>
                <w:szCs w:val="20"/>
              </w:rPr>
            </w:pPr>
            <w:r w:rsidRPr="009D5B83">
              <w:rPr>
                <w:sz w:val="20"/>
                <w:szCs w:val="20"/>
              </w:rPr>
              <w:t>15,0</w:t>
            </w:r>
          </w:p>
        </w:tc>
        <w:tc>
          <w:tcPr>
            <w:tcW w:w="868" w:type="dxa"/>
            <w:tcBorders>
              <w:top w:val="single" w:sz="4" w:space="0" w:color="000000"/>
              <w:left w:val="single" w:sz="4" w:space="0" w:color="000000"/>
              <w:bottom w:val="single" w:sz="4" w:space="0" w:color="000000"/>
              <w:right w:val="single" w:sz="4" w:space="0" w:color="000000"/>
            </w:tcBorders>
            <w:vAlign w:val="center"/>
          </w:tcPr>
          <w:p w14:paraId="271F448E" w14:textId="77777777" w:rsidR="00FE7472" w:rsidRPr="009D5B83" w:rsidRDefault="00FE7472" w:rsidP="00FE7472">
            <w:pPr>
              <w:widowControl w:val="0"/>
              <w:suppressAutoHyphens/>
              <w:jc w:val="center"/>
              <w:rPr>
                <w:sz w:val="20"/>
                <w:szCs w:val="20"/>
              </w:rPr>
            </w:pPr>
            <w:r w:rsidRPr="009D5B83">
              <w:rPr>
                <w:sz w:val="20"/>
                <w:szCs w:val="20"/>
              </w:rPr>
              <w:t>15,2</w:t>
            </w:r>
          </w:p>
        </w:tc>
        <w:tc>
          <w:tcPr>
            <w:tcW w:w="945" w:type="dxa"/>
            <w:tcBorders>
              <w:top w:val="single" w:sz="4" w:space="0" w:color="000000"/>
              <w:left w:val="single" w:sz="4" w:space="0" w:color="000000"/>
              <w:bottom w:val="single" w:sz="4" w:space="0" w:color="000000"/>
              <w:right w:val="single" w:sz="4" w:space="0" w:color="000000"/>
            </w:tcBorders>
            <w:vAlign w:val="center"/>
          </w:tcPr>
          <w:p w14:paraId="7595B07B" w14:textId="77777777" w:rsidR="00FE7472" w:rsidRPr="009D5B83" w:rsidRDefault="00FE7472" w:rsidP="00FE7472">
            <w:pPr>
              <w:widowControl w:val="0"/>
              <w:suppressAutoHyphens/>
              <w:jc w:val="center"/>
              <w:rPr>
                <w:sz w:val="20"/>
                <w:szCs w:val="20"/>
              </w:rPr>
            </w:pPr>
            <w:r w:rsidRPr="009D5B83">
              <w:rPr>
                <w:sz w:val="20"/>
                <w:szCs w:val="20"/>
              </w:rPr>
              <w:t>15,5</w:t>
            </w:r>
          </w:p>
        </w:tc>
        <w:tc>
          <w:tcPr>
            <w:tcW w:w="945" w:type="dxa"/>
            <w:tcBorders>
              <w:top w:val="single" w:sz="4" w:space="0" w:color="000000"/>
              <w:left w:val="single" w:sz="4" w:space="0" w:color="000000"/>
              <w:bottom w:val="single" w:sz="4" w:space="0" w:color="000000"/>
              <w:right w:val="single" w:sz="4" w:space="0" w:color="000000"/>
            </w:tcBorders>
            <w:vAlign w:val="center"/>
          </w:tcPr>
          <w:p w14:paraId="0AA06808" w14:textId="77777777" w:rsidR="00FE7472" w:rsidRPr="009D5B83" w:rsidRDefault="00FE7472" w:rsidP="00FE7472">
            <w:pPr>
              <w:widowControl w:val="0"/>
              <w:suppressAutoHyphens/>
              <w:jc w:val="center"/>
              <w:rPr>
                <w:sz w:val="20"/>
                <w:szCs w:val="20"/>
              </w:rPr>
            </w:pPr>
            <w:r w:rsidRPr="009D5B83">
              <w:rPr>
                <w:sz w:val="20"/>
                <w:szCs w:val="20"/>
              </w:rPr>
              <w:t>13,4</w:t>
            </w:r>
          </w:p>
        </w:tc>
        <w:tc>
          <w:tcPr>
            <w:tcW w:w="984" w:type="dxa"/>
            <w:tcBorders>
              <w:top w:val="single" w:sz="4" w:space="0" w:color="000000"/>
              <w:left w:val="single" w:sz="4" w:space="0" w:color="000000"/>
              <w:bottom w:val="single" w:sz="4" w:space="0" w:color="000000"/>
              <w:right w:val="single" w:sz="4" w:space="0" w:color="000000"/>
            </w:tcBorders>
            <w:vAlign w:val="center"/>
          </w:tcPr>
          <w:p w14:paraId="46C3AC6F" w14:textId="77777777" w:rsidR="00FE7472" w:rsidRPr="009D5B83" w:rsidRDefault="00FE7472" w:rsidP="00FE7472">
            <w:pPr>
              <w:widowControl w:val="0"/>
              <w:suppressAutoHyphens/>
              <w:jc w:val="center"/>
              <w:rPr>
                <w:sz w:val="20"/>
                <w:szCs w:val="20"/>
              </w:rPr>
            </w:pPr>
            <w:r w:rsidRPr="009D5B83">
              <w:rPr>
                <w:sz w:val="20"/>
                <w:szCs w:val="20"/>
              </w:rPr>
              <w:t>0,7</w:t>
            </w:r>
          </w:p>
        </w:tc>
        <w:tc>
          <w:tcPr>
            <w:tcW w:w="906" w:type="dxa"/>
            <w:tcBorders>
              <w:top w:val="single" w:sz="4" w:space="0" w:color="000000"/>
              <w:left w:val="single" w:sz="4" w:space="0" w:color="000000"/>
              <w:bottom w:val="single" w:sz="4" w:space="0" w:color="000000"/>
              <w:right w:val="single" w:sz="4" w:space="0" w:color="000000"/>
            </w:tcBorders>
            <w:vAlign w:val="center"/>
          </w:tcPr>
          <w:p w14:paraId="5BBAFAA2" w14:textId="77777777" w:rsidR="00FE7472" w:rsidRPr="00E853B4" w:rsidRDefault="00FE7472" w:rsidP="00FE7472">
            <w:pPr>
              <w:widowControl w:val="0"/>
              <w:suppressAutoHyphens/>
              <w:jc w:val="center"/>
              <w:rPr>
                <w:i/>
                <w:iCs/>
                <w:sz w:val="20"/>
                <w:szCs w:val="20"/>
              </w:rPr>
            </w:pPr>
            <w:r w:rsidRPr="00E853B4">
              <w:rPr>
                <w:i/>
                <w:iCs/>
                <w:sz w:val="20"/>
                <w:szCs w:val="20"/>
              </w:rPr>
              <w:t>5,5</w:t>
            </w:r>
          </w:p>
        </w:tc>
      </w:tr>
      <w:tr w:rsidR="00FE7472" w:rsidRPr="009D5B83" w14:paraId="62716B44"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15420E3F" w14:textId="77777777" w:rsidR="00FE7472" w:rsidRPr="009D5B83" w:rsidRDefault="00FE7472" w:rsidP="00FE7472">
            <w:pPr>
              <w:widowControl w:val="0"/>
              <w:suppressAutoHyphens/>
              <w:ind w:left="170"/>
              <w:jc w:val="both"/>
              <w:rPr>
                <w:sz w:val="20"/>
              </w:rPr>
            </w:pPr>
            <w:r w:rsidRPr="009D5B83">
              <w:rPr>
                <w:sz w:val="20"/>
              </w:rPr>
              <w:t>Судебная система</w:t>
            </w:r>
          </w:p>
        </w:tc>
        <w:tc>
          <w:tcPr>
            <w:tcW w:w="1239" w:type="dxa"/>
            <w:tcBorders>
              <w:top w:val="single" w:sz="4" w:space="0" w:color="000000"/>
              <w:left w:val="single" w:sz="4" w:space="0" w:color="000000"/>
              <w:bottom w:val="single" w:sz="4" w:space="0" w:color="000000"/>
              <w:right w:val="single" w:sz="4" w:space="0" w:color="000000"/>
            </w:tcBorders>
            <w:vAlign w:val="center"/>
          </w:tcPr>
          <w:p w14:paraId="22293B1D" w14:textId="77777777" w:rsidR="00FE7472" w:rsidRPr="009D5B83" w:rsidRDefault="00FE7472" w:rsidP="00FE7472">
            <w:pPr>
              <w:widowControl w:val="0"/>
              <w:suppressAutoHyphens/>
              <w:jc w:val="center"/>
              <w:rPr>
                <w:sz w:val="20"/>
                <w:szCs w:val="20"/>
              </w:rPr>
            </w:pPr>
            <w:r w:rsidRPr="009D5B83">
              <w:rPr>
                <w:sz w:val="20"/>
                <w:szCs w:val="20"/>
              </w:rPr>
              <w:t>220,3</w:t>
            </w:r>
          </w:p>
        </w:tc>
        <w:tc>
          <w:tcPr>
            <w:tcW w:w="909" w:type="dxa"/>
            <w:tcBorders>
              <w:top w:val="single" w:sz="4" w:space="0" w:color="000000"/>
              <w:left w:val="single" w:sz="4" w:space="0" w:color="000000"/>
              <w:bottom w:val="single" w:sz="4" w:space="0" w:color="000000"/>
              <w:right w:val="single" w:sz="4" w:space="0" w:color="000000"/>
            </w:tcBorders>
            <w:vAlign w:val="center"/>
          </w:tcPr>
          <w:p w14:paraId="22CD922A" w14:textId="77777777" w:rsidR="00FE7472" w:rsidRPr="009D5B83" w:rsidRDefault="00FE7472" w:rsidP="00FE7472">
            <w:pPr>
              <w:widowControl w:val="0"/>
              <w:suppressAutoHyphens/>
              <w:jc w:val="center"/>
              <w:rPr>
                <w:sz w:val="20"/>
                <w:szCs w:val="20"/>
              </w:rPr>
            </w:pPr>
            <w:r w:rsidRPr="009D5B83">
              <w:rPr>
                <w:sz w:val="20"/>
                <w:szCs w:val="20"/>
              </w:rPr>
              <w:t>231,1</w:t>
            </w:r>
          </w:p>
        </w:tc>
        <w:tc>
          <w:tcPr>
            <w:tcW w:w="868" w:type="dxa"/>
            <w:tcBorders>
              <w:top w:val="single" w:sz="4" w:space="0" w:color="000000"/>
              <w:left w:val="single" w:sz="4" w:space="0" w:color="000000"/>
              <w:bottom w:val="single" w:sz="4" w:space="0" w:color="000000"/>
              <w:right w:val="single" w:sz="4" w:space="0" w:color="000000"/>
            </w:tcBorders>
            <w:vAlign w:val="center"/>
          </w:tcPr>
          <w:p w14:paraId="436D2BCD" w14:textId="77777777" w:rsidR="00FE7472" w:rsidRPr="009D5B83" w:rsidRDefault="00FE7472" w:rsidP="00FE7472">
            <w:pPr>
              <w:widowControl w:val="0"/>
              <w:suppressAutoHyphens/>
              <w:jc w:val="center"/>
              <w:rPr>
                <w:sz w:val="20"/>
                <w:szCs w:val="20"/>
              </w:rPr>
            </w:pPr>
            <w:r w:rsidRPr="009D5B83">
              <w:rPr>
                <w:sz w:val="20"/>
                <w:szCs w:val="20"/>
              </w:rPr>
              <w:t>204,3</w:t>
            </w:r>
          </w:p>
        </w:tc>
        <w:tc>
          <w:tcPr>
            <w:tcW w:w="945" w:type="dxa"/>
            <w:tcBorders>
              <w:top w:val="single" w:sz="4" w:space="0" w:color="000000"/>
              <w:left w:val="single" w:sz="4" w:space="0" w:color="000000"/>
              <w:bottom w:val="single" w:sz="4" w:space="0" w:color="000000"/>
              <w:right w:val="single" w:sz="4" w:space="0" w:color="000000"/>
            </w:tcBorders>
            <w:vAlign w:val="center"/>
          </w:tcPr>
          <w:p w14:paraId="4E362972" w14:textId="77777777" w:rsidR="00FE7472" w:rsidRPr="009D5B83" w:rsidRDefault="00FE7472" w:rsidP="00FE7472">
            <w:pPr>
              <w:widowControl w:val="0"/>
              <w:suppressAutoHyphens/>
              <w:jc w:val="center"/>
              <w:rPr>
                <w:sz w:val="20"/>
                <w:szCs w:val="20"/>
              </w:rPr>
            </w:pPr>
            <w:r w:rsidRPr="009D5B83">
              <w:rPr>
                <w:sz w:val="20"/>
                <w:szCs w:val="20"/>
              </w:rPr>
              <w:t>212,4</w:t>
            </w:r>
          </w:p>
        </w:tc>
        <w:tc>
          <w:tcPr>
            <w:tcW w:w="945" w:type="dxa"/>
            <w:tcBorders>
              <w:top w:val="single" w:sz="4" w:space="0" w:color="000000"/>
              <w:left w:val="single" w:sz="4" w:space="0" w:color="000000"/>
              <w:bottom w:val="single" w:sz="4" w:space="0" w:color="000000"/>
              <w:right w:val="single" w:sz="4" w:space="0" w:color="000000"/>
            </w:tcBorders>
            <w:vAlign w:val="center"/>
          </w:tcPr>
          <w:p w14:paraId="0EE0C951" w14:textId="77777777" w:rsidR="00FE7472" w:rsidRPr="009D5B83" w:rsidRDefault="00FE7472" w:rsidP="00FE7472">
            <w:pPr>
              <w:widowControl w:val="0"/>
              <w:suppressAutoHyphens/>
              <w:jc w:val="center"/>
              <w:rPr>
                <w:sz w:val="20"/>
                <w:szCs w:val="20"/>
              </w:rPr>
            </w:pPr>
            <w:r w:rsidRPr="009D5B83">
              <w:rPr>
                <w:sz w:val="20"/>
                <w:szCs w:val="20"/>
              </w:rPr>
              <w:t>218,1</w:t>
            </w:r>
          </w:p>
        </w:tc>
        <w:tc>
          <w:tcPr>
            <w:tcW w:w="984" w:type="dxa"/>
            <w:tcBorders>
              <w:top w:val="single" w:sz="4" w:space="0" w:color="000000"/>
              <w:left w:val="single" w:sz="4" w:space="0" w:color="000000"/>
              <w:bottom w:val="single" w:sz="4" w:space="0" w:color="000000"/>
              <w:right w:val="single" w:sz="4" w:space="0" w:color="000000"/>
            </w:tcBorders>
            <w:vAlign w:val="center"/>
          </w:tcPr>
          <w:p w14:paraId="6097E62A" w14:textId="77777777" w:rsidR="00FE7472" w:rsidRPr="009D5B83" w:rsidRDefault="00FE7472" w:rsidP="00FE7472">
            <w:pPr>
              <w:widowControl w:val="0"/>
              <w:suppressAutoHyphens/>
              <w:jc w:val="center"/>
              <w:rPr>
                <w:sz w:val="20"/>
                <w:szCs w:val="20"/>
              </w:rPr>
            </w:pPr>
            <w:r w:rsidRPr="009D5B83">
              <w:rPr>
                <w:sz w:val="20"/>
                <w:szCs w:val="20"/>
              </w:rPr>
              <w:t>-2,2</w:t>
            </w:r>
          </w:p>
        </w:tc>
        <w:tc>
          <w:tcPr>
            <w:tcW w:w="906" w:type="dxa"/>
            <w:tcBorders>
              <w:top w:val="single" w:sz="4" w:space="0" w:color="000000"/>
              <w:left w:val="single" w:sz="4" w:space="0" w:color="000000"/>
              <w:bottom w:val="single" w:sz="4" w:space="0" w:color="000000"/>
              <w:right w:val="single" w:sz="4" w:space="0" w:color="000000"/>
            </w:tcBorders>
            <w:vAlign w:val="center"/>
          </w:tcPr>
          <w:p w14:paraId="3E65CCDF" w14:textId="77777777" w:rsidR="00FE7472" w:rsidRPr="00E853B4" w:rsidRDefault="00FE7472" w:rsidP="00FE7472">
            <w:pPr>
              <w:widowControl w:val="0"/>
              <w:suppressAutoHyphens/>
              <w:jc w:val="center"/>
              <w:rPr>
                <w:i/>
                <w:iCs/>
                <w:sz w:val="20"/>
                <w:szCs w:val="20"/>
              </w:rPr>
            </w:pPr>
            <w:r w:rsidRPr="00E853B4">
              <w:rPr>
                <w:i/>
                <w:iCs/>
                <w:sz w:val="20"/>
                <w:szCs w:val="20"/>
              </w:rPr>
              <w:t>-1,0</w:t>
            </w:r>
          </w:p>
        </w:tc>
      </w:tr>
      <w:tr w:rsidR="00FE7472" w:rsidRPr="009D5B83" w14:paraId="60321534"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342CEAE4" w14:textId="77777777" w:rsidR="00FE7472" w:rsidRPr="009D5B83" w:rsidRDefault="00FE7472" w:rsidP="00FE7472">
            <w:pPr>
              <w:widowControl w:val="0"/>
              <w:suppressAutoHyphens/>
              <w:ind w:left="170"/>
              <w:jc w:val="both"/>
            </w:pPr>
            <w:r w:rsidRPr="009D5B83">
              <w:rPr>
                <w:sz w:val="20"/>
              </w:rPr>
              <w:t>Обеспечение деятельности финансовых, налоговых и таможенных органов и органов фин. надзора</w:t>
            </w:r>
          </w:p>
        </w:tc>
        <w:tc>
          <w:tcPr>
            <w:tcW w:w="1239" w:type="dxa"/>
            <w:tcBorders>
              <w:top w:val="single" w:sz="4" w:space="0" w:color="000000"/>
              <w:left w:val="single" w:sz="4" w:space="0" w:color="000000"/>
              <w:bottom w:val="single" w:sz="4" w:space="0" w:color="000000"/>
              <w:right w:val="single" w:sz="4" w:space="0" w:color="000000"/>
            </w:tcBorders>
            <w:vAlign w:val="center"/>
          </w:tcPr>
          <w:p w14:paraId="3A3C08D7" w14:textId="77777777" w:rsidR="00FE7472" w:rsidRPr="009D5B83" w:rsidRDefault="00FE7472" w:rsidP="00FE7472">
            <w:pPr>
              <w:widowControl w:val="0"/>
              <w:suppressAutoHyphens/>
              <w:jc w:val="center"/>
              <w:rPr>
                <w:sz w:val="20"/>
                <w:szCs w:val="20"/>
              </w:rPr>
            </w:pPr>
            <w:r w:rsidRPr="009D5B83">
              <w:rPr>
                <w:sz w:val="20"/>
                <w:szCs w:val="20"/>
              </w:rPr>
              <w:t>358,2</w:t>
            </w:r>
          </w:p>
        </w:tc>
        <w:tc>
          <w:tcPr>
            <w:tcW w:w="909" w:type="dxa"/>
            <w:tcBorders>
              <w:top w:val="single" w:sz="4" w:space="0" w:color="000000"/>
              <w:left w:val="single" w:sz="4" w:space="0" w:color="000000"/>
              <w:bottom w:val="single" w:sz="4" w:space="0" w:color="000000"/>
              <w:right w:val="single" w:sz="4" w:space="0" w:color="000000"/>
            </w:tcBorders>
            <w:vAlign w:val="center"/>
          </w:tcPr>
          <w:p w14:paraId="2C2BFC0B" w14:textId="77777777" w:rsidR="00FE7472" w:rsidRPr="009D5B83" w:rsidRDefault="00FE7472" w:rsidP="00FE7472">
            <w:pPr>
              <w:widowControl w:val="0"/>
              <w:suppressAutoHyphens/>
              <w:jc w:val="center"/>
              <w:rPr>
                <w:sz w:val="20"/>
                <w:szCs w:val="20"/>
              </w:rPr>
            </w:pPr>
            <w:r w:rsidRPr="009D5B83">
              <w:rPr>
                <w:sz w:val="20"/>
                <w:szCs w:val="20"/>
              </w:rPr>
              <w:t>382,4</w:t>
            </w:r>
          </w:p>
        </w:tc>
        <w:tc>
          <w:tcPr>
            <w:tcW w:w="868" w:type="dxa"/>
            <w:tcBorders>
              <w:top w:val="single" w:sz="4" w:space="0" w:color="000000"/>
              <w:left w:val="single" w:sz="4" w:space="0" w:color="000000"/>
              <w:bottom w:val="single" w:sz="4" w:space="0" w:color="000000"/>
              <w:right w:val="single" w:sz="4" w:space="0" w:color="000000"/>
            </w:tcBorders>
            <w:vAlign w:val="center"/>
          </w:tcPr>
          <w:p w14:paraId="2E7106F7" w14:textId="77777777" w:rsidR="00FE7472" w:rsidRPr="009D5B83" w:rsidRDefault="00FE7472" w:rsidP="00FE7472">
            <w:pPr>
              <w:widowControl w:val="0"/>
              <w:suppressAutoHyphens/>
              <w:jc w:val="center"/>
              <w:rPr>
                <w:sz w:val="20"/>
                <w:szCs w:val="20"/>
              </w:rPr>
            </w:pPr>
            <w:r w:rsidRPr="009D5B83">
              <w:rPr>
                <w:sz w:val="20"/>
                <w:szCs w:val="20"/>
              </w:rPr>
              <w:t>316,6</w:t>
            </w:r>
          </w:p>
        </w:tc>
        <w:tc>
          <w:tcPr>
            <w:tcW w:w="945" w:type="dxa"/>
            <w:tcBorders>
              <w:top w:val="single" w:sz="4" w:space="0" w:color="000000"/>
              <w:left w:val="single" w:sz="4" w:space="0" w:color="000000"/>
              <w:bottom w:val="single" w:sz="4" w:space="0" w:color="000000"/>
              <w:right w:val="single" w:sz="4" w:space="0" w:color="000000"/>
            </w:tcBorders>
            <w:vAlign w:val="center"/>
          </w:tcPr>
          <w:p w14:paraId="41250AD2" w14:textId="77777777" w:rsidR="00FE7472" w:rsidRPr="009D5B83" w:rsidRDefault="00FE7472" w:rsidP="00FE7472">
            <w:pPr>
              <w:widowControl w:val="0"/>
              <w:suppressAutoHyphens/>
              <w:jc w:val="center"/>
              <w:rPr>
                <w:sz w:val="20"/>
                <w:szCs w:val="20"/>
              </w:rPr>
            </w:pPr>
            <w:r w:rsidRPr="009D5B83">
              <w:rPr>
                <w:sz w:val="20"/>
                <w:szCs w:val="20"/>
              </w:rPr>
              <w:t>320,2</w:t>
            </w:r>
          </w:p>
        </w:tc>
        <w:tc>
          <w:tcPr>
            <w:tcW w:w="945" w:type="dxa"/>
            <w:tcBorders>
              <w:top w:val="single" w:sz="4" w:space="0" w:color="000000"/>
              <w:left w:val="single" w:sz="4" w:space="0" w:color="000000"/>
              <w:bottom w:val="single" w:sz="4" w:space="0" w:color="000000"/>
              <w:right w:val="single" w:sz="4" w:space="0" w:color="000000"/>
            </w:tcBorders>
            <w:vAlign w:val="center"/>
          </w:tcPr>
          <w:p w14:paraId="451CF301" w14:textId="77777777" w:rsidR="00FE7472" w:rsidRPr="009D5B83" w:rsidRDefault="00FE7472" w:rsidP="00FE7472">
            <w:pPr>
              <w:widowControl w:val="0"/>
              <w:suppressAutoHyphens/>
              <w:jc w:val="center"/>
              <w:rPr>
                <w:sz w:val="20"/>
                <w:szCs w:val="20"/>
              </w:rPr>
            </w:pPr>
            <w:r w:rsidRPr="009D5B83">
              <w:rPr>
                <w:sz w:val="20"/>
                <w:szCs w:val="20"/>
              </w:rPr>
              <w:t>344,8</w:t>
            </w:r>
          </w:p>
        </w:tc>
        <w:tc>
          <w:tcPr>
            <w:tcW w:w="984" w:type="dxa"/>
            <w:tcBorders>
              <w:top w:val="single" w:sz="4" w:space="0" w:color="000000"/>
              <w:left w:val="single" w:sz="4" w:space="0" w:color="000000"/>
              <w:bottom w:val="single" w:sz="4" w:space="0" w:color="000000"/>
              <w:right w:val="single" w:sz="4" w:space="0" w:color="000000"/>
            </w:tcBorders>
            <w:vAlign w:val="center"/>
          </w:tcPr>
          <w:p w14:paraId="02A3499B" w14:textId="77777777" w:rsidR="00FE7472" w:rsidRPr="009D5B83" w:rsidRDefault="00FE7472" w:rsidP="00FE7472">
            <w:pPr>
              <w:widowControl w:val="0"/>
              <w:suppressAutoHyphens/>
              <w:jc w:val="center"/>
              <w:rPr>
                <w:sz w:val="20"/>
                <w:szCs w:val="20"/>
              </w:rPr>
            </w:pPr>
            <w:r w:rsidRPr="009D5B83">
              <w:rPr>
                <w:sz w:val="20"/>
                <w:szCs w:val="20"/>
              </w:rPr>
              <w:t>-13,4</w:t>
            </w:r>
          </w:p>
        </w:tc>
        <w:tc>
          <w:tcPr>
            <w:tcW w:w="906" w:type="dxa"/>
            <w:tcBorders>
              <w:top w:val="single" w:sz="4" w:space="0" w:color="000000"/>
              <w:left w:val="single" w:sz="4" w:space="0" w:color="000000"/>
              <w:bottom w:val="single" w:sz="4" w:space="0" w:color="000000"/>
              <w:right w:val="single" w:sz="4" w:space="0" w:color="000000"/>
            </w:tcBorders>
            <w:vAlign w:val="center"/>
          </w:tcPr>
          <w:p w14:paraId="4D4B636C" w14:textId="77777777" w:rsidR="00FE7472" w:rsidRPr="00E853B4" w:rsidRDefault="00FE7472" w:rsidP="00FE7472">
            <w:pPr>
              <w:widowControl w:val="0"/>
              <w:suppressAutoHyphens/>
              <w:jc w:val="center"/>
              <w:rPr>
                <w:i/>
                <w:iCs/>
                <w:sz w:val="20"/>
                <w:szCs w:val="20"/>
              </w:rPr>
            </w:pPr>
            <w:r w:rsidRPr="00E853B4">
              <w:rPr>
                <w:i/>
                <w:iCs/>
                <w:sz w:val="20"/>
                <w:szCs w:val="20"/>
              </w:rPr>
              <w:t>-3,7</w:t>
            </w:r>
          </w:p>
        </w:tc>
      </w:tr>
      <w:tr w:rsidR="00FE7472" w:rsidRPr="009D5B83" w14:paraId="4E54F843"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7C645D1B" w14:textId="77777777" w:rsidR="00FE7472" w:rsidRPr="009D5B83" w:rsidRDefault="00FE7472" w:rsidP="00FE7472">
            <w:pPr>
              <w:widowControl w:val="0"/>
              <w:suppressAutoHyphens/>
              <w:ind w:left="170"/>
              <w:jc w:val="both"/>
              <w:rPr>
                <w:sz w:val="20"/>
              </w:rPr>
            </w:pPr>
            <w:r w:rsidRPr="009D5B83">
              <w:rPr>
                <w:sz w:val="20"/>
              </w:rPr>
              <w:t>Обеспечение проведения выборов и референдумов</w:t>
            </w:r>
          </w:p>
        </w:tc>
        <w:tc>
          <w:tcPr>
            <w:tcW w:w="1239" w:type="dxa"/>
            <w:tcBorders>
              <w:top w:val="single" w:sz="4" w:space="0" w:color="000000"/>
              <w:left w:val="single" w:sz="4" w:space="0" w:color="000000"/>
              <w:bottom w:val="single" w:sz="4" w:space="0" w:color="000000"/>
              <w:right w:val="single" w:sz="4" w:space="0" w:color="000000"/>
            </w:tcBorders>
            <w:vAlign w:val="center"/>
          </w:tcPr>
          <w:p w14:paraId="3154C042" w14:textId="77777777" w:rsidR="00FE7472" w:rsidRPr="009D5B83" w:rsidRDefault="00FE7472" w:rsidP="00FE7472">
            <w:pPr>
              <w:widowControl w:val="0"/>
              <w:suppressAutoHyphens/>
              <w:jc w:val="center"/>
              <w:rPr>
                <w:sz w:val="20"/>
                <w:szCs w:val="20"/>
              </w:rPr>
            </w:pPr>
            <w:r w:rsidRPr="009D5B83">
              <w:rPr>
                <w:sz w:val="20"/>
                <w:szCs w:val="20"/>
              </w:rPr>
              <w:t>25,2</w:t>
            </w:r>
          </w:p>
        </w:tc>
        <w:tc>
          <w:tcPr>
            <w:tcW w:w="909" w:type="dxa"/>
            <w:tcBorders>
              <w:top w:val="single" w:sz="4" w:space="0" w:color="000000"/>
              <w:left w:val="single" w:sz="4" w:space="0" w:color="000000"/>
              <w:bottom w:val="single" w:sz="4" w:space="0" w:color="000000"/>
              <w:right w:val="single" w:sz="4" w:space="0" w:color="000000"/>
            </w:tcBorders>
            <w:vAlign w:val="center"/>
          </w:tcPr>
          <w:p w14:paraId="1B6069BD" w14:textId="77777777" w:rsidR="00FE7472" w:rsidRPr="009D5B83" w:rsidRDefault="00FE7472" w:rsidP="00FE7472">
            <w:pPr>
              <w:widowControl w:val="0"/>
              <w:suppressAutoHyphens/>
              <w:jc w:val="center"/>
              <w:rPr>
                <w:sz w:val="20"/>
                <w:szCs w:val="20"/>
              </w:rPr>
            </w:pPr>
            <w:r w:rsidRPr="009D5B83">
              <w:rPr>
                <w:sz w:val="20"/>
                <w:szCs w:val="20"/>
              </w:rPr>
              <w:t>8,1</w:t>
            </w:r>
          </w:p>
        </w:tc>
        <w:tc>
          <w:tcPr>
            <w:tcW w:w="868" w:type="dxa"/>
            <w:tcBorders>
              <w:top w:val="single" w:sz="4" w:space="0" w:color="000000"/>
              <w:left w:val="single" w:sz="4" w:space="0" w:color="000000"/>
              <w:bottom w:val="single" w:sz="4" w:space="0" w:color="000000"/>
              <w:right w:val="single" w:sz="4" w:space="0" w:color="000000"/>
            </w:tcBorders>
            <w:vAlign w:val="center"/>
          </w:tcPr>
          <w:p w14:paraId="5CC52F41" w14:textId="77777777" w:rsidR="00FE7472" w:rsidRPr="009D5B83" w:rsidRDefault="00FE7472" w:rsidP="00FE7472">
            <w:pPr>
              <w:widowControl w:val="0"/>
              <w:suppressAutoHyphens/>
              <w:jc w:val="center"/>
              <w:rPr>
                <w:sz w:val="20"/>
                <w:szCs w:val="20"/>
              </w:rPr>
            </w:pPr>
            <w:r w:rsidRPr="009D5B83">
              <w:rPr>
                <w:sz w:val="20"/>
                <w:szCs w:val="20"/>
              </w:rPr>
              <w:t>40,9</w:t>
            </w:r>
          </w:p>
        </w:tc>
        <w:tc>
          <w:tcPr>
            <w:tcW w:w="945" w:type="dxa"/>
            <w:tcBorders>
              <w:top w:val="single" w:sz="4" w:space="0" w:color="000000"/>
              <w:left w:val="single" w:sz="4" w:space="0" w:color="000000"/>
              <w:bottom w:val="single" w:sz="4" w:space="0" w:color="000000"/>
              <w:right w:val="single" w:sz="4" w:space="0" w:color="000000"/>
            </w:tcBorders>
            <w:vAlign w:val="center"/>
          </w:tcPr>
          <w:p w14:paraId="13B2C847" w14:textId="77777777" w:rsidR="00FE7472" w:rsidRPr="009D5B83" w:rsidRDefault="00FE7472" w:rsidP="00FE7472">
            <w:pPr>
              <w:widowControl w:val="0"/>
              <w:suppressAutoHyphens/>
              <w:jc w:val="center"/>
              <w:rPr>
                <w:sz w:val="20"/>
                <w:szCs w:val="20"/>
              </w:rPr>
            </w:pPr>
            <w:r w:rsidRPr="009D5B83">
              <w:rPr>
                <w:sz w:val="20"/>
                <w:szCs w:val="20"/>
              </w:rPr>
              <w:t>5,4</w:t>
            </w:r>
          </w:p>
        </w:tc>
        <w:tc>
          <w:tcPr>
            <w:tcW w:w="945" w:type="dxa"/>
            <w:tcBorders>
              <w:top w:val="single" w:sz="4" w:space="0" w:color="000000"/>
              <w:left w:val="single" w:sz="4" w:space="0" w:color="000000"/>
              <w:bottom w:val="single" w:sz="4" w:space="0" w:color="000000"/>
              <w:right w:val="single" w:sz="4" w:space="0" w:color="000000"/>
            </w:tcBorders>
            <w:vAlign w:val="center"/>
          </w:tcPr>
          <w:p w14:paraId="4CBA0257" w14:textId="77777777" w:rsidR="00FE7472" w:rsidRPr="009D5B83" w:rsidRDefault="00FE7472" w:rsidP="00FE7472">
            <w:pPr>
              <w:widowControl w:val="0"/>
              <w:suppressAutoHyphens/>
              <w:jc w:val="center"/>
              <w:rPr>
                <w:sz w:val="20"/>
                <w:szCs w:val="20"/>
              </w:rPr>
            </w:pPr>
            <w:r w:rsidRPr="009D5B83">
              <w:rPr>
                <w:sz w:val="20"/>
                <w:szCs w:val="20"/>
              </w:rPr>
              <w:t>5,0</w:t>
            </w:r>
          </w:p>
        </w:tc>
        <w:tc>
          <w:tcPr>
            <w:tcW w:w="984" w:type="dxa"/>
            <w:tcBorders>
              <w:top w:val="single" w:sz="4" w:space="0" w:color="000000"/>
              <w:left w:val="single" w:sz="4" w:space="0" w:color="000000"/>
              <w:bottom w:val="single" w:sz="4" w:space="0" w:color="000000"/>
              <w:right w:val="single" w:sz="4" w:space="0" w:color="000000"/>
            </w:tcBorders>
            <w:vAlign w:val="center"/>
          </w:tcPr>
          <w:p w14:paraId="16F8A670" w14:textId="77777777" w:rsidR="00FE7472" w:rsidRPr="009D5B83" w:rsidRDefault="00FE7472" w:rsidP="00FE7472">
            <w:pPr>
              <w:widowControl w:val="0"/>
              <w:suppressAutoHyphens/>
              <w:jc w:val="center"/>
              <w:rPr>
                <w:sz w:val="20"/>
                <w:szCs w:val="20"/>
              </w:rPr>
            </w:pPr>
            <w:r w:rsidRPr="009D5B83">
              <w:rPr>
                <w:sz w:val="20"/>
                <w:szCs w:val="20"/>
              </w:rPr>
              <w:t>-20,2</w:t>
            </w:r>
          </w:p>
        </w:tc>
        <w:tc>
          <w:tcPr>
            <w:tcW w:w="906" w:type="dxa"/>
            <w:tcBorders>
              <w:top w:val="single" w:sz="4" w:space="0" w:color="000000"/>
              <w:left w:val="single" w:sz="4" w:space="0" w:color="000000"/>
              <w:bottom w:val="single" w:sz="4" w:space="0" w:color="000000"/>
              <w:right w:val="single" w:sz="4" w:space="0" w:color="000000"/>
            </w:tcBorders>
            <w:vAlign w:val="center"/>
          </w:tcPr>
          <w:p w14:paraId="5C15E091" w14:textId="77777777" w:rsidR="00FE7472" w:rsidRPr="00E853B4" w:rsidRDefault="00FE7472" w:rsidP="00FE7472">
            <w:pPr>
              <w:widowControl w:val="0"/>
              <w:suppressAutoHyphens/>
              <w:jc w:val="center"/>
              <w:rPr>
                <w:i/>
                <w:iCs/>
                <w:sz w:val="20"/>
                <w:szCs w:val="20"/>
              </w:rPr>
            </w:pPr>
            <w:r w:rsidRPr="00E853B4">
              <w:rPr>
                <w:i/>
                <w:iCs/>
                <w:sz w:val="20"/>
                <w:szCs w:val="20"/>
              </w:rPr>
              <w:t>-80,2</w:t>
            </w:r>
          </w:p>
        </w:tc>
      </w:tr>
      <w:tr w:rsidR="00FE7472" w:rsidRPr="009D5B83" w14:paraId="286208E7"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2CC4F729" w14:textId="77777777" w:rsidR="00FE7472" w:rsidRPr="009D5B83" w:rsidRDefault="00FE7472" w:rsidP="00FE7472">
            <w:pPr>
              <w:widowControl w:val="0"/>
              <w:suppressAutoHyphens/>
              <w:ind w:left="170"/>
              <w:jc w:val="both"/>
              <w:rPr>
                <w:sz w:val="20"/>
              </w:rPr>
            </w:pPr>
            <w:r w:rsidRPr="009D5B83">
              <w:rPr>
                <w:sz w:val="20"/>
              </w:rPr>
              <w:t>Международные отношения и международное сотрудничество</w:t>
            </w:r>
          </w:p>
        </w:tc>
        <w:tc>
          <w:tcPr>
            <w:tcW w:w="1239" w:type="dxa"/>
            <w:tcBorders>
              <w:top w:val="single" w:sz="4" w:space="0" w:color="000000"/>
              <w:left w:val="single" w:sz="4" w:space="0" w:color="000000"/>
              <w:bottom w:val="single" w:sz="4" w:space="0" w:color="000000"/>
              <w:right w:val="single" w:sz="4" w:space="0" w:color="000000"/>
            </w:tcBorders>
            <w:vAlign w:val="center"/>
          </w:tcPr>
          <w:p w14:paraId="1B4AAB0D" w14:textId="77777777" w:rsidR="00FE7472" w:rsidRPr="009D5B83" w:rsidRDefault="00FE7472" w:rsidP="00FE7472">
            <w:pPr>
              <w:widowControl w:val="0"/>
              <w:suppressAutoHyphens/>
              <w:jc w:val="center"/>
              <w:rPr>
                <w:sz w:val="20"/>
                <w:szCs w:val="20"/>
              </w:rPr>
            </w:pPr>
            <w:r w:rsidRPr="009D5B83">
              <w:rPr>
                <w:sz w:val="20"/>
                <w:szCs w:val="20"/>
              </w:rPr>
              <w:t>418,7</w:t>
            </w:r>
          </w:p>
        </w:tc>
        <w:tc>
          <w:tcPr>
            <w:tcW w:w="909" w:type="dxa"/>
            <w:tcBorders>
              <w:top w:val="single" w:sz="4" w:space="0" w:color="000000"/>
              <w:left w:val="single" w:sz="4" w:space="0" w:color="000000"/>
              <w:bottom w:val="single" w:sz="4" w:space="0" w:color="000000"/>
              <w:right w:val="single" w:sz="4" w:space="0" w:color="000000"/>
            </w:tcBorders>
            <w:vAlign w:val="center"/>
          </w:tcPr>
          <w:p w14:paraId="1A90CC52" w14:textId="77777777" w:rsidR="00FE7472" w:rsidRPr="009D5B83" w:rsidRDefault="00FE7472" w:rsidP="00FE7472">
            <w:pPr>
              <w:widowControl w:val="0"/>
              <w:suppressAutoHyphens/>
              <w:jc w:val="center"/>
              <w:rPr>
                <w:sz w:val="20"/>
                <w:szCs w:val="20"/>
              </w:rPr>
            </w:pPr>
            <w:r w:rsidRPr="009D5B83">
              <w:rPr>
                <w:sz w:val="20"/>
                <w:szCs w:val="20"/>
              </w:rPr>
              <w:t>592,7</w:t>
            </w:r>
          </w:p>
        </w:tc>
        <w:tc>
          <w:tcPr>
            <w:tcW w:w="868" w:type="dxa"/>
            <w:tcBorders>
              <w:top w:val="single" w:sz="4" w:space="0" w:color="000000"/>
              <w:left w:val="single" w:sz="4" w:space="0" w:color="000000"/>
              <w:bottom w:val="single" w:sz="4" w:space="0" w:color="000000"/>
              <w:right w:val="single" w:sz="4" w:space="0" w:color="000000"/>
            </w:tcBorders>
            <w:vAlign w:val="center"/>
          </w:tcPr>
          <w:p w14:paraId="3FFB1AEA" w14:textId="77777777" w:rsidR="00FE7472" w:rsidRPr="009D5B83" w:rsidRDefault="00FE7472" w:rsidP="00FE7472">
            <w:pPr>
              <w:widowControl w:val="0"/>
              <w:suppressAutoHyphens/>
              <w:jc w:val="center"/>
              <w:rPr>
                <w:sz w:val="20"/>
                <w:szCs w:val="20"/>
              </w:rPr>
            </w:pPr>
            <w:r w:rsidRPr="009D5B83">
              <w:rPr>
                <w:sz w:val="20"/>
                <w:szCs w:val="20"/>
              </w:rPr>
              <w:t>256,1</w:t>
            </w:r>
          </w:p>
        </w:tc>
        <w:tc>
          <w:tcPr>
            <w:tcW w:w="945" w:type="dxa"/>
            <w:tcBorders>
              <w:top w:val="single" w:sz="4" w:space="0" w:color="000000"/>
              <w:left w:val="single" w:sz="4" w:space="0" w:color="000000"/>
              <w:bottom w:val="single" w:sz="4" w:space="0" w:color="000000"/>
              <w:right w:val="single" w:sz="4" w:space="0" w:color="000000"/>
            </w:tcBorders>
            <w:vAlign w:val="center"/>
          </w:tcPr>
          <w:p w14:paraId="1F445488" w14:textId="77777777" w:rsidR="00FE7472" w:rsidRPr="009D5B83" w:rsidRDefault="00FE7472" w:rsidP="00FE7472">
            <w:pPr>
              <w:widowControl w:val="0"/>
              <w:suppressAutoHyphens/>
              <w:jc w:val="center"/>
              <w:rPr>
                <w:sz w:val="20"/>
                <w:szCs w:val="20"/>
              </w:rPr>
            </w:pPr>
            <w:r w:rsidRPr="009D5B83">
              <w:rPr>
                <w:sz w:val="20"/>
                <w:szCs w:val="20"/>
              </w:rPr>
              <w:t>221,9</w:t>
            </w:r>
          </w:p>
        </w:tc>
        <w:tc>
          <w:tcPr>
            <w:tcW w:w="945" w:type="dxa"/>
            <w:tcBorders>
              <w:top w:val="single" w:sz="4" w:space="0" w:color="000000"/>
              <w:left w:val="single" w:sz="4" w:space="0" w:color="000000"/>
              <w:bottom w:val="single" w:sz="4" w:space="0" w:color="000000"/>
              <w:right w:val="single" w:sz="4" w:space="0" w:color="000000"/>
            </w:tcBorders>
            <w:vAlign w:val="center"/>
          </w:tcPr>
          <w:p w14:paraId="1B6BB0DD" w14:textId="77777777" w:rsidR="00FE7472" w:rsidRPr="009D5B83" w:rsidRDefault="00FE7472" w:rsidP="00FE7472">
            <w:pPr>
              <w:widowControl w:val="0"/>
              <w:suppressAutoHyphens/>
              <w:jc w:val="center"/>
              <w:rPr>
                <w:sz w:val="20"/>
                <w:szCs w:val="20"/>
              </w:rPr>
            </w:pPr>
            <w:r w:rsidRPr="009D5B83">
              <w:rPr>
                <w:sz w:val="20"/>
                <w:szCs w:val="20"/>
              </w:rPr>
              <w:t>226,1</w:t>
            </w:r>
          </w:p>
        </w:tc>
        <w:tc>
          <w:tcPr>
            <w:tcW w:w="984" w:type="dxa"/>
            <w:tcBorders>
              <w:top w:val="single" w:sz="4" w:space="0" w:color="000000"/>
              <w:left w:val="single" w:sz="4" w:space="0" w:color="000000"/>
              <w:bottom w:val="single" w:sz="4" w:space="0" w:color="000000"/>
              <w:right w:val="single" w:sz="4" w:space="0" w:color="000000"/>
            </w:tcBorders>
            <w:vAlign w:val="center"/>
          </w:tcPr>
          <w:p w14:paraId="0D6CBE64" w14:textId="77777777" w:rsidR="00FE7472" w:rsidRPr="009D5B83" w:rsidRDefault="00FE7472" w:rsidP="00FE7472">
            <w:pPr>
              <w:widowControl w:val="0"/>
              <w:suppressAutoHyphens/>
              <w:jc w:val="center"/>
              <w:rPr>
                <w:sz w:val="20"/>
                <w:szCs w:val="20"/>
              </w:rPr>
            </w:pPr>
            <w:r w:rsidRPr="009D5B83">
              <w:rPr>
                <w:sz w:val="20"/>
                <w:szCs w:val="20"/>
              </w:rPr>
              <w:t>-192,6</w:t>
            </w:r>
          </w:p>
        </w:tc>
        <w:tc>
          <w:tcPr>
            <w:tcW w:w="906" w:type="dxa"/>
            <w:tcBorders>
              <w:top w:val="single" w:sz="4" w:space="0" w:color="000000"/>
              <w:left w:val="single" w:sz="4" w:space="0" w:color="000000"/>
              <w:bottom w:val="single" w:sz="4" w:space="0" w:color="000000"/>
              <w:right w:val="single" w:sz="4" w:space="0" w:color="000000"/>
            </w:tcBorders>
            <w:vAlign w:val="center"/>
          </w:tcPr>
          <w:p w14:paraId="1FD0CD55" w14:textId="77777777" w:rsidR="00FE7472" w:rsidRPr="00E853B4" w:rsidRDefault="00FE7472" w:rsidP="00FE7472">
            <w:pPr>
              <w:widowControl w:val="0"/>
              <w:suppressAutoHyphens/>
              <w:jc w:val="center"/>
              <w:rPr>
                <w:i/>
                <w:iCs/>
                <w:sz w:val="20"/>
                <w:szCs w:val="20"/>
              </w:rPr>
            </w:pPr>
            <w:r w:rsidRPr="00E853B4">
              <w:rPr>
                <w:i/>
                <w:iCs/>
                <w:sz w:val="20"/>
                <w:szCs w:val="20"/>
              </w:rPr>
              <w:t>-46,0</w:t>
            </w:r>
          </w:p>
        </w:tc>
      </w:tr>
      <w:tr w:rsidR="00FE7472" w:rsidRPr="009D5B83" w14:paraId="2BA8660A"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53FC4349" w14:textId="77777777" w:rsidR="00FE7472" w:rsidRPr="009D5B83" w:rsidRDefault="00FE7472" w:rsidP="00FE7472">
            <w:pPr>
              <w:widowControl w:val="0"/>
              <w:suppressAutoHyphens/>
              <w:ind w:left="170"/>
              <w:jc w:val="both"/>
              <w:rPr>
                <w:sz w:val="20"/>
              </w:rPr>
            </w:pPr>
            <w:r w:rsidRPr="009D5B83">
              <w:rPr>
                <w:sz w:val="20"/>
              </w:rPr>
              <w:t>Государственный материальный резерв</w:t>
            </w:r>
          </w:p>
        </w:tc>
        <w:tc>
          <w:tcPr>
            <w:tcW w:w="1239" w:type="dxa"/>
            <w:tcBorders>
              <w:top w:val="single" w:sz="4" w:space="0" w:color="000000"/>
              <w:left w:val="single" w:sz="4" w:space="0" w:color="000000"/>
              <w:bottom w:val="single" w:sz="4" w:space="0" w:color="000000"/>
              <w:right w:val="single" w:sz="4" w:space="0" w:color="000000"/>
            </w:tcBorders>
            <w:vAlign w:val="center"/>
          </w:tcPr>
          <w:p w14:paraId="0FAE184C" w14:textId="77777777" w:rsidR="00FE7472" w:rsidRPr="009D5B83" w:rsidRDefault="00FE7472" w:rsidP="00FE7472">
            <w:pPr>
              <w:widowControl w:val="0"/>
              <w:suppressAutoHyphens/>
              <w:jc w:val="center"/>
              <w:rPr>
                <w:sz w:val="20"/>
                <w:szCs w:val="20"/>
              </w:rPr>
            </w:pPr>
            <w:r w:rsidRPr="009D5B83">
              <w:rPr>
                <w:sz w:val="20"/>
                <w:szCs w:val="20"/>
              </w:rPr>
              <w:t>207,4</w:t>
            </w:r>
          </w:p>
        </w:tc>
        <w:tc>
          <w:tcPr>
            <w:tcW w:w="909" w:type="dxa"/>
            <w:tcBorders>
              <w:top w:val="single" w:sz="4" w:space="0" w:color="000000"/>
              <w:left w:val="single" w:sz="4" w:space="0" w:color="000000"/>
              <w:bottom w:val="single" w:sz="4" w:space="0" w:color="000000"/>
              <w:right w:val="single" w:sz="4" w:space="0" w:color="000000"/>
            </w:tcBorders>
            <w:vAlign w:val="center"/>
          </w:tcPr>
          <w:p w14:paraId="24E6C7BE" w14:textId="77777777" w:rsidR="00FE7472" w:rsidRPr="009D5B83" w:rsidRDefault="00FE7472" w:rsidP="00FE7472">
            <w:pPr>
              <w:widowControl w:val="0"/>
              <w:suppressAutoHyphens/>
              <w:jc w:val="center"/>
              <w:rPr>
                <w:sz w:val="20"/>
                <w:szCs w:val="20"/>
              </w:rPr>
            </w:pPr>
            <w:r w:rsidRPr="009D5B83">
              <w:rPr>
                <w:sz w:val="20"/>
                <w:szCs w:val="20"/>
              </w:rPr>
              <w:t>189,5</w:t>
            </w:r>
          </w:p>
        </w:tc>
        <w:tc>
          <w:tcPr>
            <w:tcW w:w="868" w:type="dxa"/>
            <w:tcBorders>
              <w:top w:val="single" w:sz="4" w:space="0" w:color="000000"/>
              <w:left w:val="single" w:sz="4" w:space="0" w:color="000000"/>
              <w:bottom w:val="single" w:sz="4" w:space="0" w:color="000000"/>
              <w:right w:val="single" w:sz="4" w:space="0" w:color="000000"/>
            </w:tcBorders>
            <w:vAlign w:val="center"/>
          </w:tcPr>
          <w:p w14:paraId="44899D57" w14:textId="77777777" w:rsidR="00FE7472" w:rsidRPr="009D5B83" w:rsidRDefault="00FE7472" w:rsidP="00FE7472">
            <w:pPr>
              <w:widowControl w:val="0"/>
              <w:suppressAutoHyphens/>
              <w:jc w:val="center"/>
              <w:rPr>
                <w:sz w:val="20"/>
                <w:szCs w:val="20"/>
              </w:rPr>
            </w:pPr>
            <w:r w:rsidRPr="009D5B83">
              <w:rPr>
                <w:sz w:val="20"/>
                <w:szCs w:val="20"/>
              </w:rPr>
              <w:t>146,7</w:t>
            </w:r>
          </w:p>
        </w:tc>
        <w:tc>
          <w:tcPr>
            <w:tcW w:w="945" w:type="dxa"/>
            <w:tcBorders>
              <w:top w:val="single" w:sz="4" w:space="0" w:color="000000"/>
              <w:left w:val="single" w:sz="4" w:space="0" w:color="000000"/>
              <w:bottom w:val="single" w:sz="4" w:space="0" w:color="000000"/>
              <w:right w:val="single" w:sz="4" w:space="0" w:color="000000"/>
            </w:tcBorders>
            <w:vAlign w:val="center"/>
          </w:tcPr>
          <w:p w14:paraId="6E65D9DC" w14:textId="77777777" w:rsidR="00FE7472" w:rsidRPr="009D5B83" w:rsidRDefault="00FE7472" w:rsidP="00FE7472">
            <w:pPr>
              <w:widowControl w:val="0"/>
              <w:suppressAutoHyphens/>
              <w:jc w:val="center"/>
              <w:rPr>
                <w:sz w:val="20"/>
                <w:szCs w:val="20"/>
              </w:rPr>
            </w:pPr>
            <w:r w:rsidRPr="009D5B83">
              <w:rPr>
                <w:sz w:val="20"/>
                <w:szCs w:val="20"/>
              </w:rPr>
              <w:t>95,6</w:t>
            </w:r>
          </w:p>
        </w:tc>
        <w:tc>
          <w:tcPr>
            <w:tcW w:w="945" w:type="dxa"/>
            <w:tcBorders>
              <w:top w:val="single" w:sz="4" w:space="0" w:color="000000"/>
              <w:left w:val="single" w:sz="4" w:space="0" w:color="000000"/>
              <w:bottom w:val="single" w:sz="4" w:space="0" w:color="000000"/>
              <w:right w:val="single" w:sz="4" w:space="0" w:color="000000"/>
            </w:tcBorders>
            <w:vAlign w:val="center"/>
          </w:tcPr>
          <w:p w14:paraId="5463C328" w14:textId="77777777" w:rsidR="00FE7472" w:rsidRPr="009D5B83" w:rsidRDefault="00FE7472" w:rsidP="00FE7472">
            <w:pPr>
              <w:widowControl w:val="0"/>
              <w:suppressAutoHyphens/>
              <w:jc w:val="center"/>
              <w:rPr>
                <w:sz w:val="20"/>
                <w:szCs w:val="20"/>
              </w:rPr>
            </w:pPr>
            <w:r w:rsidRPr="009D5B83">
              <w:rPr>
                <w:sz w:val="20"/>
                <w:szCs w:val="20"/>
              </w:rPr>
              <w:t>95,9</w:t>
            </w:r>
          </w:p>
        </w:tc>
        <w:tc>
          <w:tcPr>
            <w:tcW w:w="984" w:type="dxa"/>
            <w:tcBorders>
              <w:top w:val="single" w:sz="4" w:space="0" w:color="000000"/>
              <w:left w:val="single" w:sz="4" w:space="0" w:color="000000"/>
              <w:bottom w:val="single" w:sz="4" w:space="0" w:color="000000"/>
              <w:right w:val="single" w:sz="4" w:space="0" w:color="000000"/>
            </w:tcBorders>
            <w:vAlign w:val="center"/>
          </w:tcPr>
          <w:p w14:paraId="1242C7A6" w14:textId="77777777" w:rsidR="00FE7472" w:rsidRPr="009D5B83" w:rsidRDefault="00FE7472" w:rsidP="00FE7472">
            <w:pPr>
              <w:widowControl w:val="0"/>
              <w:suppressAutoHyphens/>
              <w:jc w:val="center"/>
              <w:rPr>
                <w:sz w:val="20"/>
                <w:szCs w:val="20"/>
              </w:rPr>
            </w:pPr>
            <w:r w:rsidRPr="009D5B83">
              <w:rPr>
                <w:sz w:val="20"/>
                <w:szCs w:val="20"/>
              </w:rPr>
              <w:t>-111,5</w:t>
            </w:r>
          </w:p>
        </w:tc>
        <w:tc>
          <w:tcPr>
            <w:tcW w:w="906" w:type="dxa"/>
            <w:tcBorders>
              <w:top w:val="single" w:sz="4" w:space="0" w:color="000000"/>
              <w:left w:val="single" w:sz="4" w:space="0" w:color="000000"/>
              <w:bottom w:val="single" w:sz="4" w:space="0" w:color="000000"/>
              <w:right w:val="single" w:sz="4" w:space="0" w:color="000000"/>
            </w:tcBorders>
            <w:vAlign w:val="center"/>
          </w:tcPr>
          <w:p w14:paraId="26F1F749" w14:textId="77777777" w:rsidR="00FE7472" w:rsidRPr="00E853B4" w:rsidRDefault="00FE7472" w:rsidP="00FE7472">
            <w:pPr>
              <w:widowControl w:val="0"/>
              <w:suppressAutoHyphens/>
              <w:jc w:val="center"/>
              <w:rPr>
                <w:i/>
                <w:iCs/>
                <w:sz w:val="20"/>
                <w:szCs w:val="20"/>
              </w:rPr>
            </w:pPr>
            <w:r w:rsidRPr="00E853B4">
              <w:rPr>
                <w:i/>
                <w:iCs/>
                <w:sz w:val="20"/>
                <w:szCs w:val="20"/>
              </w:rPr>
              <w:t>-53,8</w:t>
            </w:r>
          </w:p>
        </w:tc>
      </w:tr>
      <w:tr w:rsidR="00FE7472" w:rsidRPr="009D5B83" w14:paraId="38BDD3E7"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765F6226" w14:textId="77777777" w:rsidR="00FE7472" w:rsidRPr="009D5B83" w:rsidRDefault="00FE7472" w:rsidP="00FE7472">
            <w:pPr>
              <w:widowControl w:val="0"/>
              <w:suppressAutoHyphens/>
              <w:ind w:left="170"/>
              <w:jc w:val="both"/>
              <w:rPr>
                <w:sz w:val="20"/>
              </w:rPr>
            </w:pPr>
            <w:r w:rsidRPr="009D5B83">
              <w:rPr>
                <w:sz w:val="20"/>
              </w:rPr>
              <w:t>Фундаментальные исследования</w:t>
            </w:r>
          </w:p>
        </w:tc>
        <w:tc>
          <w:tcPr>
            <w:tcW w:w="1239" w:type="dxa"/>
            <w:tcBorders>
              <w:top w:val="single" w:sz="4" w:space="0" w:color="000000"/>
              <w:left w:val="single" w:sz="4" w:space="0" w:color="000000"/>
              <w:bottom w:val="single" w:sz="4" w:space="0" w:color="000000"/>
              <w:right w:val="single" w:sz="4" w:space="0" w:color="000000"/>
            </w:tcBorders>
            <w:vAlign w:val="center"/>
          </w:tcPr>
          <w:p w14:paraId="444547D0" w14:textId="77777777" w:rsidR="00FE7472" w:rsidRPr="009D5B83" w:rsidRDefault="00FE7472" w:rsidP="00FE7472">
            <w:pPr>
              <w:widowControl w:val="0"/>
              <w:suppressAutoHyphens/>
              <w:jc w:val="center"/>
              <w:rPr>
                <w:sz w:val="20"/>
                <w:szCs w:val="20"/>
              </w:rPr>
            </w:pPr>
            <w:r w:rsidRPr="009D5B83">
              <w:rPr>
                <w:sz w:val="20"/>
                <w:szCs w:val="20"/>
              </w:rPr>
              <w:t>225,1</w:t>
            </w:r>
          </w:p>
        </w:tc>
        <w:tc>
          <w:tcPr>
            <w:tcW w:w="909" w:type="dxa"/>
            <w:tcBorders>
              <w:top w:val="single" w:sz="4" w:space="0" w:color="000000"/>
              <w:left w:val="single" w:sz="4" w:space="0" w:color="000000"/>
              <w:bottom w:val="single" w:sz="4" w:space="0" w:color="000000"/>
              <w:right w:val="single" w:sz="4" w:space="0" w:color="000000"/>
            </w:tcBorders>
            <w:vAlign w:val="center"/>
          </w:tcPr>
          <w:p w14:paraId="30E0C1B8" w14:textId="77777777" w:rsidR="00FE7472" w:rsidRPr="009D5B83" w:rsidRDefault="00FE7472" w:rsidP="00FE7472">
            <w:pPr>
              <w:widowControl w:val="0"/>
              <w:suppressAutoHyphens/>
              <w:jc w:val="center"/>
              <w:rPr>
                <w:sz w:val="20"/>
                <w:szCs w:val="20"/>
              </w:rPr>
            </w:pPr>
            <w:r w:rsidRPr="009D5B83">
              <w:rPr>
                <w:sz w:val="20"/>
                <w:szCs w:val="20"/>
              </w:rPr>
              <w:t>235,5</w:t>
            </w:r>
          </w:p>
        </w:tc>
        <w:tc>
          <w:tcPr>
            <w:tcW w:w="868" w:type="dxa"/>
            <w:tcBorders>
              <w:top w:val="single" w:sz="4" w:space="0" w:color="000000"/>
              <w:left w:val="single" w:sz="4" w:space="0" w:color="000000"/>
              <w:bottom w:val="single" w:sz="4" w:space="0" w:color="000000"/>
              <w:right w:val="single" w:sz="4" w:space="0" w:color="000000"/>
            </w:tcBorders>
            <w:vAlign w:val="center"/>
          </w:tcPr>
          <w:p w14:paraId="39746A70" w14:textId="77777777" w:rsidR="00FE7472" w:rsidRPr="009D5B83" w:rsidRDefault="00FE7472" w:rsidP="00FE7472">
            <w:pPr>
              <w:widowControl w:val="0"/>
              <w:suppressAutoHyphens/>
              <w:jc w:val="center"/>
              <w:rPr>
                <w:sz w:val="20"/>
                <w:szCs w:val="20"/>
              </w:rPr>
            </w:pPr>
            <w:r w:rsidRPr="009D5B83">
              <w:rPr>
                <w:sz w:val="20"/>
                <w:szCs w:val="20"/>
              </w:rPr>
              <w:t>255,1</w:t>
            </w:r>
          </w:p>
        </w:tc>
        <w:tc>
          <w:tcPr>
            <w:tcW w:w="945" w:type="dxa"/>
            <w:tcBorders>
              <w:top w:val="single" w:sz="4" w:space="0" w:color="000000"/>
              <w:left w:val="single" w:sz="4" w:space="0" w:color="000000"/>
              <w:bottom w:val="single" w:sz="4" w:space="0" w:color="000000"/>
              <w:right w:val="single" w:sz="4" w:space="0" w:color="000000"/>
            </w:tcBorders>
            <w:vAlign w:val="center"/>
          </w:tcPr>
          <w:p w14:paraId="4224262D" w14:textId="77777777" w:rsidR="00FE7472" w:rsidRPr="009D5B83" w:rsidRDefault="00FE7472" w:rsidP="00FE7472">
            <w:pPr>
              <w:widowControl w:val="0"/>
              <w:suppressAutoHyphens/>
              <w:jc w:val="center"/>
              <w:rPr>
                <w:sz w:val="20"/>
                <w:szCs w:val="20"/>
              </w:rPr>
            </w:pPr>
            <w:r w:rsidRPr="009D5B83">
              <w:rPr>
                <w:sz w:val="20"/>
                <w:szCs w:val="20"/>
              </w:rPr>
              <w:t>256,1</w:t>
            </w:r>
          </w:p>
        </w:tc>
        <w:tc>
          <w:tcPr>
            <w:tcW w:w="945" w:type="dxa"/>
            <w:tcBorders>
              <w:top w:val="single" w:sz="4" w:space="0" w:color="000000"/>
              <w:left w:val="single" w:sz="4" w:space="0" w:color="000000"/>
              <w:bottom w:val="single" w:sz="4" w:space="0" w:color="000000"/>
              <w:right w:val="single" w:sz="4" w:space="0" w:color="000000"/>
            </w:tcBorders>
            <w:vAlign w:val="center"/>
          </w:tcPr>
          <w:p w14:paraId="7FD95DDE" w14:textId="77777777" w:rsidR="00FE7472" w:rsidRPr="009D5B83" w:rsidRDefault="00FE7472" w:rsidP="00FE7472">
            <w:pPr>
              <w:widowControl w:val="0"/>
              <w:suppressAutoHyphens/>
              <w:jc w:val="center"/>
              <w:rPr>
                <w:sz w:val="20"/>
                <w:szCs w:val="20"/>
              </w:rPr>
            </w:pPr>
            <w:r w:rsidRPr="009D5B83">
              <w:rPr>
                <w:sz w:val="20"/>
                <w:szCs w:val="20"/>
              </w:rPr>
              <w:t>234,3</w:t>
            </w:r>
          </w:p>
        </w:tc>
        <w:tc>
          <w:tcPr>
            <w:tcW w:w="984" w:type="dxa"/>
            <w:tcBorders>
              <w:top w:val="single" w:sz="4" w:space="0" w:color="000000"/>
              <w:left w:val="single" w:sz="4" w:space="0" w:color="000000"/>
              <w:bottom w:val="single" w:sz="4" w:space="0" w:color="000000"/>
              <w:right w:val="single" w:sz="4" w:space="0" w:color="000000"/>
            </w:tcBorders>
            <w:vAlign w:val="center"/>
          </w:tcPr>
          <w:p w14:paraId="50F2FF77" w14:textId="77777777" w:rsidR="00FE7472" w:rsidRPr="009D5B83" w:rsidRDefault="00FE7472" w:rsidP="00FE7472">
            <w:pPr>
              <w:widowControl w:val="0"/>
              <w:suppressAutoHyphens/>
              <w:jc w:val="center"/>
              <w:rPr>
                <w:sz w:val="20"/>
                <w:szCs w:val="20"/>
              </w:rPr>
            </w:pPr>
            <w:r w:rsidRPr="009D5B83">
              <w:rPr>
                <w:sz w:val="20"/>
                <w:szCs w:val="20"/>
              </w:rPr>
              <w:t>9,2</w:t>
            </w:r>
          </w:p>
        </w:tc>
        <w:tc>
          <w:tcPr>
            <w:tcW w:w="906" w:type="dxa"/>
            <w:tcBorders>
              <w:top w:val="single" w:sz="4" w:space="0" w:color="000000"/>
              <w:left w:val="single" w:sz="4" w:space="0" w:color="000000"/>
              <w:bottom w:val="single" w:sz="4" w:space="0" w:color="000000"/>
              <w:right w:val="single" w:sz="4" w:space="0" w:color="000000"/>
            </w:tcBorders>
            <w:vAlign w:val="center"/>
          </w:tcPr>
          <w:p w14:paraId="153F4EC7" w14:textId="77777777" w:rsidR="00FE7472" w:rsidRPr="00E853B4" w:rsidRDefault="00FE7472" w:rsidP="00FE7472">
            <w:pPr>
              <w:widowControl w:val="0"/>
              <w:suppressAutoHyphens/>
              <w:jc w:val="center"/>
              <w:rPr>
                <w:i/>
                <w:iCs/>
                <w:sz w:val="20"/>
                <w:szCs w:val="20"/>
              </w:rPr>
            </w:pPr>
            <w:r w:rsidRPr="00E853B4">
              <w:rPr>
                <w:i/>
                <w:iCs/>
                <w:sz w:val="20"/>
                <w:szCs w:val="20"/>
              </w:rPr>
              <w:t>4,1</w:t>
            </w:r>
          </w:p>
        </w:tc>
      </w:tr>
      <w:tr w:rsidR="00FE7472" w:rsidRPr="009D5B83" w14:paraId="0DAC0E28"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657713D1" w14:textId="77777777" w:rsidR="00FE7472" w:rsidRPr="009D5B83" w:rsidRDefault="00FE7472" w:rsidP="00FE7472">
            <w:pPr>
              <w:widowControl w:val="0"/>
              <w:suppressAutoHyphens/>
              <w:ind w:left="170"/>
              <w:jc w:val="both"/>
              <w:rPr>
                <w:sz w:val="20"/>
              </w:rPr>
            </w:pPr>
            <w:r w:rsidRPr="009D5B83">
              <w:rPr>
                <w:sz w:val="20"/>
              </w:rPr>
              <w:t>Резервные фонды</w:t>
            </w:r>
          </w:p>
        </w:tc>
        <w:tc>
          <w:tcPr>
            <w:tcW w:w="1239" w:type="dxa"/>
            <w:tcBorders>
              <w:top w:val="single" w:sz="4" w:space="0" w:color="000000"/>
              <w:left w:val="single" w:sz="4" w:space="0" w:color="000000"/>
              <w:bottom w:val="single" w:sz="4" w:space="0" w:color="000000"/>
              <w:right w:val="single" w:sz="4" w:space="0" w:color="000000"/>
            </w:tcBorders>
            <w:vAlign w:val="center"/>
          </w:tcPr>
          <w:p w14:paraId="24401D08" w14:textId="77777777" w:rsidR="00FE7472" w:rsidRPr="009D5B83" w:rsidRDefault="00FE7472" w:rsidP="00FE7472">
            <w:pPr>
              <w:widowControl w:val="0"/>
              <w:suppressAutoHyphens/>
              <w:jc w:val="center"/>
              <w:rPr>
                <w:sz w:val="20"/>
                <w:szCs w:val="20"/>
              </w:rPr>
            </w:pPr>
            <w:r w:rsidRPr="009D5B83">
              <w:rPr>
                <w:sz w:val="20"/>
                <w:szCs w:val="20"/>
              </w:rPr>
              <w:t>0,0</w:t>
            </w:r>
          </w:p>
        </w:tc>
        <w:tc>
          <w:tcPr>
            <w:tcW w:w="909" w:type="dxa"/>
            <w:tcBorders>
              <w:top w:val="single" w:sz="4" w:space="0" w:color="000000"/>
              <w:left w:val="single" w:sz="4" w:space="0" w:color="000000"/>
              <w:bottom w:val="single" w:sz="4" w:space="0" w:color="000000"/>
              <w:right w:val="single" w:sz="4" w:space="0" w:color="000000"/>
            </w:tcBorders>
            <w:vAlign w:val="center"/>
          </w:tcPr>
          <w:p w14:paraId="4AA68928" w14:textId="77777777" w:rsidR="00FE7472" w:rsidRPr="009D5B83" w:rsidRDefault="00FE7472" w:rsidP="00FE7472">
            <w:pPr>
              <w:widowControl w:val="0"/>
              <w:suppressAutoHyphens/>
              <w:jc w:val="center"/>
              <w:rPr>
                <w:sz w:val="20"/>
                <w:szCs w:val="20"/>
              </w:rPr>
            </w:pPr>
            <w:r w:rsidRPr="009D5B83">
              <w:rPr>
                <w:sz w:val="20"/>
                <w:szCs w:val="20"/>
              </w:rPr>
              <w:t>644,4</w:t>
            </w:r>
          </w:p>
        </w:tc>
        <w:tc>
          <w:tcPr>
            <w:tcW w:w="868" w:type="dxa"/>
            <w:tcBorders>
              <w:top w:val="single" w:sz="4" w:space="0" w:color="000000"/>
              <w:left w:val="single" w:sz="4" w:space="0" w:color="000000"/>
              <w:bottom w:val="single" w:sz="4" w:space="0" w:color="000000"/>
              <w:right w:val="single" w:sz="4" w:space="0" w:color="000000"/>
            </w:tcBorders>
            <w:vAlign w:val="center"/>
          </w:tcPr>
          <w:p w14:paraId="71E8A7C8" w14:textId="77777777" w:rsidR="00FE7472" w:rsidRPr="009D5B83" w:rsidRDefault="00FE7472" w:rsidP="00FE7472">
            <w:pPr>
              <w:widowControl w:val="0"/>
              <w:suppressAutoHyphens/>
              <w:jc w:val="center"/>
              <w:rPr>
                <w:sz w:val="20"/>
                <w:szCs w:val="20"/>
              </w:rPr>
            </w:pPr>
            <w:r w:rsidRPr="009D5B83">
              <w:rPr>
                <w:sz w:val="20"/>
                <w:szCs w:val="20"/>
              </w:rPr>
              <w:t>190,0</w:t>
            </w:r>
          </w:p>
        </w:tc>
        <w:tc>
          <w:tcPr>
            <w:tcW w:w="945" w:type="dxa"/>
            <w:tcBorders>
              <w:top w:val="single" w:sz="4" w:space="0" w:color="000000"/>
              <w:left w:val="single" w:sz="4" w:space="0" w:color="000000"/>
              <w:bottom w:val="single" w:sz="4" w:space="0" w:color="000000"/>
              <w:right w:val="single" w:sz="4" w:space="0" w:color="000000"/>
            </w:tcBorders>
            <w:vAlign w:val="center"/>
          </w:tcPr>
          <w:p w14:paraId="0579A536" w14:textId="77777777" w:rsidR="00FE7472" w:rsidRPr="009D5B83" w:rsidRDefault="00FE7472" w:rsidP="00FE7472">
            <w:pPr>
              <w:widowControl w:val="0"/>
              <w:suppressAutoHyphens/>
              <w:jc w:val="center"/>
              <w:rPr>
                <w:sz w:val="20"/>
                <w:szCs w:val="20"/>
              </w:rPr>
            </w:pPr>
            <w:r w:rsidRPr="009D5B83">
              <w:rPr>
                <w:sz w:val="20"/>
                <w:szCs w:val="20"/>
              </w:rPr>
              <w:t>190,0</w:t>
            </w:r>
          </w:p>
        </w:tc>
        <w:tc>
          <w:tcPr>
            <w:tcW w:w="945" w:type="dxa"/>
            <w:tcBorders>
              <w:top w:val="single" w:sz="4" w:space="0" w:color="000000"/>
              <w:left w:val="single" w:sz="4" w:space="0" w:color="000000"/>
              <w:bottom w:val="single" w:sz="4" w:space="0" w:color="000000"/>
              <w:right w:val="single" w:sz="4" w:space="0" w:color="000000"/>
            </w:tcBorders>
            <w:vAlign w:val="center"/>
          </w:tcPr>
          <w:p w14:paraId="26C3BE58" w14:textId="77777777" w:rsidR="00FE7472" w:rsidRPr="009D5B83" w:rsidRDefault="00FE7472" w:rsidP="00FE7472">
            <w:pPr>
              <w:widowControl w:val="0"/>
              <w:suppressAutoHyphens/>
              <w:jc w:val="center"/>
              <w:rPr>
                <w:sz w:val="20"/>
                <w:szCs w:val="20"/>
              </w:rPr>
            </w:pPr>
            <w:r w:rsidRPr="009D5B83">
              <w:rPr>
                <w:sz w:val="20"/>
                <w:szCs w:val="20"/>
              </w:rPr>
              <w:t>90,0</w:t>
            </w:r>
          </w:p>
        </w:tc>
        <w:tc>
          <w:tcPr>
            <w:tcW w:w="984" w:type="dxa"/>
            <w:tcBorders>
              <w:top w:val="single" w:sz="4" w:space="0" w:color="000000"/>
              <w:left w:val="single" w:sz="4" w:space="0" w:color="000000"/>
              <w:bottom w:val="single" w:sz="4" w:space="0" w:color="000000"/>
              <w:right w:val="single" w:sz="4" w:space="0" w:color="000000"/>
            </w:tcBorders>
            <w:vAlign w:val="center"/>
          </w:tcPr>
          <w:p w14:paraId="3E69F283" w14:textId="77777777" w:rsidR="00FE7472" w:rsidRPr="009D5B83" w:rsidRDefault="00FE7472" w:rsidP="00FE7472">
            <w:pPr>
              <w:widowControl w:val="0"/>
              <w:suppressAutoHyphens/>
              <w:jc w:val="center"/>
              <w:rPr>
                <w:sz w:val="20"/>
                <w:szCs w:val="20"/>
              </w:rPr>
            </w:pPr>
            <w:r w:rsidRPr="009D5B83">
              <w:rPr>
                <w:sz w:val="20"/>
                <w:szCs w:val="20"/>
              </w:rPr>
              <w:t>90</w:t>
            </w:r>
          </w:p>
        </w:tc>
        <w:tc>
          <w:tcPr>
            <w:tcW w:w="906" w:type="dxa"/>
            <w:tcBorders>
              <w:top w:val="single" w:sz="4" w:space="0" w:color="000000"/>
              <w:left w:val="single" w:sz="4" w:space="0" w:color="000000"/>
              <w:bottom w:val="single" w:sz="4" w:space="0" w:color="000000"/>
              <w:right w:val="single" w:sz="4" w:space="0" w:color="000000"/>
            </w:tcBorders>
            <w:vAlign w:val="center"/>
          </w:tcPr>
          <w:p w14:paraId="01895C71" w14:textId="77777777" w:rsidR="00FE7472" w:rsidRPr="00E853B4" w:rsidRDefault="00FE7472" w:rsidP="00FE7472">
            <w:pPr>
              <w:widowControl w:val="0"/>
              <w:suppressAutoHyphens/>
              <w:jc w:val="center"/>
              <w:rPr>
                <w:i/>
                <w:iCs/>
                <w:sz w:val="20"/>
                <w:szCs w:val="20"/>
              </w:rPr>
            </w:pPr>
            <w:r w:rsidRPr="00E853B4">
              <w:rPr>
                <w:i/>
                <w:iCs/>
                <w:sz w:val="20"/>
                <w:szCs w:val="20"/>
              </w:rPr>
              <w:t>0,0</w:t>
            </w:r>
          </w:p>
        </w:tc>
      </w:tr>
      <w:tr w:rsidR="00FE7472" w:rsidRPr="009D5B83" w14:paraId="13032A47"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1CA7C35D" w14:textId="77777777" w:rsidR="00FE7472" w:rsidRPr="009D5B83" w:rsidRDefault="00FE7472" w:rsidP="00FE7472">
            <w:pPr>
              <w:widowControl w:val="0"/>
              <w:suppressAutoHyphens/>
              <w:ind w:left="170"/>
              <w:jc w:val="both"/>
              <w:rPr>
                <w:sz w:val="20"/>
              </w:rPr>
            </w:pPr>
            <w:r w:rsidRPr="009D5B83">
              <w:rPr>
                <w:sz w:val="20"/>
              </w:rPr>
              <w:t>Прикладные научные исследования</w:t>
            </w:r>
          </w:p>
        </w:tc>
        <w:tc>
          <w:tcPr>
            <w:tcW w:w="1239" w:type="dxa"/>
            <w:tcBorders>
              <w:top w:val="single" w:sz="4" w:space="0" w:color="000000"/>
              <w:left w:val="single" w:sz="4" w:space="0" w:color="000000"/>
              <w:bottom w:val="single" w:sz="4" w:space="0" w:color="000000"/>
              <w:right w:val="single" w:sz="4" w:space="0" w:color="000000"/>
            </w:tcBorders>
            <w:vAlign w:val="center"/>
          </w:tcPr>
          <w:p w14:paraId="6AFE99EA" w14:textId="77777777" w:rsidR="00FE7472" w:rsidRPr="009D5B83" w:rsidRDefault="00FE7472" w:rsidP="00FE7472">
            <w:pPr>
              <w:widowControl w:val="0"/>
              <w:suppressAutoHyphens/>
              <w:jc w:val="center"/>
              <w:rPr>
                <w:sz w:val="20"/>
                <w:szCs w:val="20"/>
              </w:rPr>
            </w:pPr>
            <w:r w:rsidRPr="009D5B83">
              <w:rPr>
                <w:sz w:val="20"/>
                <w:szCs w:val="20"/>
              </w:rPr>
              <w:t>51,3</w:t>
            </w:r>
          </w:p>
        </w:tc>
        <w:tc>
          <w:tcPr>
            <w:tcW w:w="909" w:type="dxa"/>
            <w:tcBorders>
              <w:top w:val="single" w:sz="4" w:space="0" w:color="000000"/>
              <w:left w:val="single" w:sz="4" w:space="0" w:color="000000"/>
              <w:bottom w:val="single" w:sz="4" w:space="0" w:color="000000"/>
              <w:right w:val="single" w:sz="4" w:space="0" w:color="000000"/>
            </w:tcBorders>
            <w:vAlign w:val="center"/>
          </w:tcPr>
          <w:p w14:paraId="4463A75F" w14:textId="77777777" w:rsidR="00FE7472" w:rsidRPr="009D5B83" w:rsidRDefault="00FE7472" w:rsidP="00FE7472">
            <w:pPr>
              <w:widowControl w:val="0"/>
              <w:suppressAutoHyphens/>
              <w:jc w:val="center"/>
              <w:rPr>
                <w:sz w:val="20"/>
                <w:szCs w:val="20"/>
              </w:rPr>
            </w:pPr>
            <w:r w:rsidRPr="009D5B83">
              <w:rPr>
                <w:sz w:val="20"/>
                <w:szCs w:val="20"/>
              </w:rPr>
              <w:t>55,8</w:t>
            </w:r>
          </w:p>
        </w:tc>
        <w:tc>
          <w:tcPr>
            <w:tcW w:w="868" w:type="dxa"/>
            <w:tcBorders>
              <w:top w:val="single" w:sz="4" w:space="0" w:color="000000"/>
              <w:left w:val="single" w:sz="4" w:space="0" w:color="000000"/>
              <w:bottom w:val="single" w:sz="4" w:space="0" w:color="000000"/>
              <w:right w:val="single" w:sz="4" w:space="0" w:color="000000"/>
            </w:tcBorders>
            <w:vAlign w:val="center"/>
          </w:tcPr>
          <w:p w14:paraId="3E18C566" w14:textId="77777777" w:rsidR="00FE7472" w:rsidRPr="009D5B83" w:rsidRDefault="00FE7472" w:rsidP="00FE7472">
            <w:pPr>
              <w:widowControl w:val="0"/>
              <w:suppressAutoHyphens/>
              <w:jc w:val="center"/>
              <w:rPr>
                <w:sz w:val="20"/>
                <w:szCs w:val="20"/>
              </w:rPr>
            </w:pPr>
            <w:r w:rsidRPr="009D5B83">
              <w:rPr>
                <w:sz w:val="20"/>
                <w:szCs w:val="20"/>
              </w:rPr>
              <w:t>33,0</w:t>
            </w:r>
          </w:p>
        </w:tc>
        <w:tc>
          <w:tcPr>
            <w:tcW w:w="945" w:type="dxa"/>
            <w:tcBorders>
              <w:top w:val="single" w:sz="4" w:space="0" w:color="000000"/>
              <w:left w:val="single" w:sz="4" w:space="0" w:color="000000"/>
              <w:bottom w:val="single" w:sz="4" w:space="0" w:color="000000"/>
              <w:right w:val="single" w:sz="4" w:space="0" w:color="000000"/>
            </w:tcBorders>
            <w:vAlign w:val="center"/>
          </w:tcPr>
          <w:p w14:paraId="5759A462" w14:textId="77777777" w:rsidR="00FE7472" w:rsidRPr="009D5B83" w:rsidRDefault="00FE7472" w:rsidP="00FE7472">
            <w:pPr>
              <w:widowControl w:val="0"/>
              <w:suppressAutoHyphens/>
              <w:jc w:val="center"/>
              <w:rPr>
                <w:sz w:val="20"/>
                <w:szCs w:val="20"/>
              </w:rPr>
            </w:pPr>
            <w:r w:rsidRPr="009D5B83">
              <w:rPr>
                <w:sz w:val="20"/>
                <w:szCs w:val="20"/>
              </w:rPr>
              <w:t>35,4</w:t>
            </w:r>
          </w:p>
        </w:tc>
        <w:tc>
          <w:tcPr>
            <w:tcW w:w="945" w:type="dxa"/>
            <w:tcBorders>
              <w:top w:val="single" w:sz="4" w:space="0" w:color="000000"/>
              <w:left w:val="single" w:sz="4" w:space="0" w:color="000000"/>
              <w:bottom w:val="single" w:sz="4" w:space="0" w:color="000000"/>
              <w:right w:val="single" w:sz="4" w:space="0" w:color="000000"/>
            </w:tcBorders>
            <w:vAlign w:val="center"/>
          </w:tcPr>
          <w:p w14:paraId="250424A3" w14:textId="77777777" w:rsidR="00FE7472" w:rsidRPr="009D5B83" w:rsidRDefault="00FE7472" w:rsidP="00FE7472">
            <w:pPr>
              <w:widowControl w:val="0"/>
              <w:suppressAutoHyphens/>
              <w:jc w:val="center"/>
              <w:rPr>
                <w:sz w:val="20"/>
                <w:szCs w:val="20"/>
              </w:rPr>
            </w:pPr>
            <w:r w:rsidRPr="009D5B83">
              <w:rPr>
                <w:sz w:val="20"/>
                <w:szCs w:val="20"/>
              </w:rPr>
              <w:t>27,1</w:t>
            </w:r>
          </w:p>
        </w:tc>
        <w:tc>
          <w:tcPr>
            <w:tcW w:w="984" w:type="dxa"/>
            <w:tcBorders>
              <w:top w:val="single" w:sz="4" w:space="0" w:color="000000"/>
              <w:left w:val="single" w:sz="4" w:space="0" w:color="000000"/>
              <w:bottom w:val="single" w:sz="4" w:space="0" w:color="000000"/>
              <w:right w:val="single" w:sz="4" w:space="0" w:color="000000"/>
            </w:tcBorders>
            <w:vAlign w:val="center"/>
          </w:tcPr>
          <w:p w14:paraId="2AFE3D4F" w14:textId="77777777" w:rsidR="00FE7472" w:rsidRPr="009D5B83" w:rsidRDefault="00FE7472" w:rsidP="00FE7472">
            <w:pPr>
              <w:widowControl w:val="0"/>
              <w:suppressAutoHyphens/>
              <w:jc w:val="center"/>
              <w:rPr>
                <w:sz w:val="20"/>
                <w:szCs w:val="20"/>
              </w:rPr>
            </w:pPr>
            <w:r w:rsidRPr="009D5B83">
              <w:rPr>
                <w:sz w:val="20"/>
                <w:szCs w:val="20"/>
              </w:rPr>
              <w:t>-24,2</w:t>
            </w:r>
          </w:p>
        </w:tc>
        <w:tc>
          <w:tcPr>
            <w:tcW w:w="906" w:type="dxa"/>
            <w:tcBorders>
              <w:top w:val="single" w:sz="4" w:space="0" w:color="000000"/>
              <w:left w:val="single" w:sz="4" w:space="0" w:color="000000"/>
              <w:bottom w:val="single" w:sz="4" w:space="0" w:color="000000"/>
              <w:right w:val="single" w:sz="4" w:space="0" w:color="000000"/>
            </w:tcBorders>
            <w:vAlign w:val="center"/>
          </w:tcPr>
          <w:p w14:paraId="7682CD19" w14:textId="77777777" w:rsidR="00FE7472" w:rsidRPr="00E853B4" w:rsidRDefault="00FE7472" w:rsidP="00FE7472">
            <w:pPr>
              <w:widowControl w:val="0"/>
              <w:suppressAutoHyphens/>
              <w:jc w:val="center"/>
              <w:rPr>
                <w:i/>
                <w:iCs/>
                <w:sz w:val="20"/>
                <w:szCs w:val="20"/>
              </w:rPr>
            </w:pPr>
            <w:r w:rsidRPr="00E853B4">
              <w:rPr>
                <w:i/>
                <w:iCs/>
                <w:sz w:val="20"/>
                <w:szCs w:val="20"/>
              </w:rPr>
              <w:t>-47,2</w:t>
            </w:r>
          </w:p>
        </w:tc>
      </w:tr>
      <w:tr w:rsidR="00FE7472" w:rsidRPr="009D5B83" w14:paraId="7A7C9202" w14:textId="77777777" w:rsidTr="001B68A1">
        <w:tc>
          <w:tcPr>
            <w:tcW w:w="2273" w:type="dxa"/>
            <w:tcBorders>
              <w:top w:val="single" w:sz="4" w:space="0" w:color="000000"/>
              <w:left w:val="single" w:sz="4" w:space="0" w:color="000000"/>
              <w:bottom w:val="single" w:sz="4" w:space="0" w:color="000000"/>
              <w:right w:val="single" w:sz="4" w:space="0" w:color="000000"/>
            </w:tcBorders>
            <w:vAlign w:val="center"/>
          </w:tcPr>
          <w:p w14:paraId="7B79925F" w14:textId="77777777" w:rsidR="00FE7472" w:rsidRPr="009D5B83" w:rsidRDefault="00FE7472" w:rsidP="00FE7472">
            <w:pPr>
              <w:widowControl w:val="0"/>
              <w:suppressAutoHyphens/>
              <w:ind w:left="170"/>
              <w:jc w:val="both"/>
              <w:rPr>
                <w:sz w:val="20"/>
              </w:rPr>
            </w:pPr>
            <w:r w:rsidRPr="009D5B83">
              <w:rPr>
                <w:sz w:val="20"/>
              </w:rPr>
              <w:t>Другие общегосударственные вопросы</w:t>
            </w:r>
          </w:p>
        </w:tc>
        <w:tc>
          <w:tcPr>
            <w:tcW w:w="1239" w:type="dxa"/>
            <w:tcBorders>
              <w:top w:val="single" w:sz="4" w:space="0" w:color="000000"/>
              <w:left w:val="single" w:sz="4" w:space="0" w:color="000000"/>
              <w:bottom w:val="single" w:sz="4" w:space="0" w:color="000000"/>
              <w:right w:val="single" w:sz="4" w:space="0" w:color="000000"/>
            </w:tcBorders>
            <w:vAlign w:val="center"/>
          </w:tcPr>
          <w:p w14:paraId="01F149A4" w14:textId="77777777" w:rsidR="00FE7472" w:rsidRPr="009D5B83" w:rsidRDefault="00FE7472" w:rsidP="00FE7472">
            <w:pPr>
              <w:widowControl w:val="0"/>
              <w:suppressAutoHyphens/>
              <w:jc w:val="center"/>
              <w:rPr>
                <w:sz w:val="20"/>
                <w:szCs w:val="20"/>
              </w:rPr>
            </w:pPr>
            <w:r w:rsidRPr="009D5B83">
              <w:rPr>
                <w:sz w:val="20"/>
                <w:szCs w:val="20"/>
              </w:rPr>
              <w:t>195,8</w:t>
            </w:r>
          </w:p>
        </w:tc>
        <w:tc>
          <w:tcPr>
            <w:tcW w:w="909" w:type="dxa"/>
            <w:tcBorders>
              <w:top w:val="single" w:sz="4" w:space="0" w:color="000000"/>
              <w:left w:val="single" w:sz="4" w:space="0" w:color="000000"/>
              <w:bottom w:val="single" w:sz="4" w:space="0" w:color="000000"/>
              <w:right w:val="single" w:sz="4" w:space="0" w:color="000000"/>
            </w:tcBorders>
            <w:vAlign w:val="center"/>
          </w:tcPr>
          <w:p w14:paraId="20A2C743" w14:textId="77777777" w:rsidR="00FE7472" w:rsidRPr="009D5B83" w:rsidRDefault="00FE7472" w:rsidP="00FE7472">
            <w:pPr>
              <w:widowControl w:val="0"/>
              <w:suppressAutoHyphens/>
              <w:jc w:val="center"/>
              <w:rPr>
                <w:sz w:val="20"/>
                <w:szCs w:val="20"/>
              </w:rPr>
            </w:pPr>
            <w:r w:rsidRPr="009D5B83">
              <w:rPr>
                <w:sz w:val="20"/>
                <w:szCs w:val="20"/>
              </w:rPr>
              <w:t>219,5</w:t>
            </w:r>
          </w:p>
        </w:tc>
        <w:tc>
          <w:tcPr>
            <w:tcW w:w="868" w:type="dxa"/>
            <w:tcBorders>
              <w:top w:val="single" w:sz="4" w:space="0" w:color="000000"/>
              <w:left w:val="single" w:sz="4" w:space="0" w:color="000000"/>
              <w:bottom w:val="single" w:sz="4" w:space="0" w:color="000000"/>
              <w:right w:val="single" w:sz="4" w:space="0" w:color="000000"/>
            </w:tcBorders>
            <w:vAlign w:val="center"/>
          </w:tcPr>
          <w:p w14:paraId="1FC30F0A" w14:textId="77777777" w:rsidR="00FE7472" w:rsidRPr="009D5B83" w:rsidRDefault="00FE7472" w:rsidP="00FE7472">
            <w:pPr>
              <w:widowControl w:val="0"/>
              <w:suppressAutoHyphens/>
              <w:jc w:val="center"/>
              <w:rPr>
                <w:sz w:val="20"/>
                <w:szCs w:val="20"/>
              </w:rPr>
            </w:pPr>
            <w:r w:rsidRPr="009D5B83">
              <w:rPr>
                <w:sz w:val="20"/>
                <w:szCs w:val="20"/>
              </w:rPr>
              <w:t>483,8</w:t>
            </w:r>
          </w:p>
        </w:tc>
        <w:tc>
          <w:tcPr>
            <w:tcW w:w="945" w:type="dxa"/>
            <w:tcBorders>
              <w:top w:val="single" w:sz="4" w:space="0" w:color="000000"/>
              <w:left w:val="single" w:sz="4" w:space="0" w:color="000000"/>
              <w:bottom w:val="single" w:sz="4" w:space="0" w:color="000000"/>
              <w:right w:val="single" w:sz="4" w:space="0" w:color="000000"/>
            </w:tcBorders>
            <w:vAlign w:val="center"/>
          </w:tcPr>
          <w:p w14:paraId="1924B7DF" w14:textId="77777777" w:rsidR="00FE7472" w:rsidRPr="009D5B83" w:rsidRDefault="00FE7472" w:rsidP="00FE7472">
            <w:pPr>
              <w:widowControl w:val="0"/>
              <w:suppressAutoHyphens/>
              <w:jc w:val="center"/>
              <w:rPr>
                <w:sz w:val="20"/>
                <w:szCs w:val="20"/>
              </w:rPr>
            </w:pPr>
            <w:r w:rsidRPr="009D5B83">
              <w:rPr>
                <w:sz w:val="20"/>
                <w:szCs w:val="20"/>
              </w:rPr>
              <w:t>586,1</w:t>
            </w:r>
          </w:p>
        </w:tc>
        <w:tc>
          <w:tcPr>
            <w:tcW w:w="945" w:type="dxa"/>
            <w:tcBorders>
              <w:top w:val="single" w:sz="4" w:space="0" w:color="000000"/>
              <w:left w:val="single" w:sz="4" w:space="0" w:color="000000"/>
              <w:bottom w:val="single" w:sz="4" w:space="0" w:color="000000"/>
              <w:right w:val="single" w:sz="4" w:space="0" w:color="000000"/>
            </w:tcBorders>
            <w:vAlign w:val="center"/>
          </w:tcPr>
          <w:p w14:paraId="30AE9332" w14:textId="77777777" w:rsidR="00FE7472" w:rsidRPr="009D5B83" w:rsidRDefault="00FE7472" w:rsidP="00FE7472">
            <w:pPr>
              <w:widowControl w:val="0"/>
              <w:suppressAutoHyphens/>
              <w:jc w:val="center"/>
              <w:rPr>
                <w:sz w:val="20"/>
                <w:szCs w:val="20"/>
              </w:rPr>
            </w:pPr>
            <w:r w:rsidRPr="009D5B83">
              <w:rPr>
                <w:sz w:val="20"/>
                <w:szCs w:val="20"/>
              </w:rPr>
              <w:t>524,0</w:t>
            </w:r>
          </w:p>
        </w:tc>
        <w:tc>
          <w:tcPr>
            <w:tcW w:w="984" w:type="dxa"/>
            <w:tcBorders>
              <w:top w:val="single" w:sz="4" w:space="0" w:color="000000"/>
              <w:left w:val="single" w:sz="4" w:space="0" w:color="000000"/>
              <w:bottom w:val="single" w:sz="4" w:space="0" w:color="000000"/>
              <w:right w:val="single" w:sz="4" w:space="0" w:color="000000"/>
            </w:tcBorders>
            <w:vAlign w:val="center"/>
          </w:tcPr>
          <w:p w14:paraId="3451ACF2" w14:textId="77777777" w:rsidR="00FE7472" w:rsidRPr="009D5B83" w:rsidRDefault="00FE7472" w:rsidP="00FE7472">
            <w:pPr>
              <w:widowControl w:val="0"/>
              <w:suppressAutoHyphens/>
              <w:jc w:val="center"/>
              <w:rPr>
                <w:sz w:val="20"/>
                <w:szCs w:val="20"/>
              </w:rPr>
            </w:pPr>
            <w:r w:rsidRPr="009D5B83">
              <w:rPr>
                <w:sz w:val="20"/>
                <w:szCs w:val="20"/>
              </w:rPr>
              <w:t>328,2</w:t>
            </w:r>
          </w:p>
        </w:tc>
        <w:tc>
          <w:tcPr>
            <w:tcW w:w="906" w:type="dxa"/>
            <w:tcBorders>
              <w:top w:val="single" w:sz="4" w:space="0" w:color="000000"/>
              <w:left w:val="single" w:sz="4" w:space="0" w:color="000000"/>
              <w:bottom w:val="single" w:sz="4" w:space="0" w:color="000000"/>
              <w:right w:val="single" w:sz="4" w:space="0" w:color="000000"/>
            </w:tcBorders>
            <w:vAlign w:val="center"/>
          </w:tcPr>
          <w:p w14:paraId="3C649A34" w14:textId="77777777" w:rsidR="00FE7472" w:rsidRPr="00E853B4" w:rsidRDefault="00FE7472" w:rsidP="00FE7472">
            <w:pPr>
              <w:widowControl w:val="0"/>
              <w:suppressAutoHyphens/>
              <w:jc w:val="center"/>
              <w:rPr>
                <w:i/>
                <w:iCs/>
                <w:sz w:val="20"/>
                <w:szCs w:val="20"/>
              </w:rPr>
            </w:pPr>
            <w:r w:rsidRPr="00E853B4">
              <w:rPr>
                <w:i/>
                <w:iCs/>
                <w:sz w:val="20"/>
                <w:szCs w:val="20"/>
              </w:rPr>
              <w:t>167,6</w:t>
            </w:r>
          </w:p>
        </w:tc>
      </w:tr>
    </w:tbl>
    <w:p w14:paraId="17FA3DC1" w14:textId="77777777" w:rsidR="00FE7472" w:rsidRPr="009D5B83" w:rsidRDefault="00FE7472" w:rsidP="00FE7472">
      <w:pPr>
        <w:keepLines/>
        <w:suppressAutoHyphens/>
        <w:spacing w:after="120"/>
        <w:ind w:firstLine="708"/>
        <w:jc w:val="both"/>
      </w:pPr>
      <w:r w:rsidRPr="009D5B83">
        <w:rPr>
          <w:i/>
          <w:sz w:val="20"/>
        </w:rPr>
        <w:t>Источник:</w:t>
      </w:r>
      <w:r w:rsidRPr="009D5B83">
        <w:rPr>
          <w:sz w:val="20"/>
        </w:rPr>
        <w:t xml:space="preserve"> Пояснительная записка, Федеральное казначейство, расчеты авторов.</w:t>
      </w:r>
    </w:p>
    <w:p w14:paraId="761FE5A9" w14:textId="31DE465E" w:rsidR="00FE7472" w:rsidRPr="00E103B9" w:rsidRDefault="00FE7472" w:rsidP="00FE7472">
      <w:pPr>
        <w:suppressAutoHyphens/>
        <w:spacing w:after="60"/>
        <w:ind w:firstLine="709"/>
        <w:jc w:val="both"/>
        <w:rPr>
          <w:sz w:val="28"/>
        </w:rPr>
      </w:pPr>
      <w:r w:rsidRPr="00E103B9">
        <w:rPr>
          <w:rFonts w:eastAsia="Calibri"/>
          <w:sz w:val="28"/>
          <w:szCs w:val="28"/>
          <w:lang w:eastAsia="en-US"/>
        </w:rPr>
        <w:t xml:space="preserve">Объем зарезервированных бюджетных ассигнований в 2023-2025 гг. составит 488,1-616,4-438,5 </w:t>
      </w:r>
      <w:proofErr w:type="gramStart"/>
      <w:r w:rsidRPr="00E103B9">
        <w:rPr>
          <w:rFonts w:eastAsia="Calibri"/>
          <w:sz w:val="28"/>
          <w:szCs w:val="28"/>
          <w:lang w:eastAsia="en-US"/>
        </w:rPr>
        <w:t>млрд</w:t>
      </w:r>
      <w:proofErr w:type="gramEnd"/>
      <w:r w:rsidRPr="00E103B9">
        <w:rPr>
          <w:rFonts w:eastAsia="Calibri"/>
          <w:sz w:val="28"/>
          <w:szCs w:val="28"/>
          <w:lang w:eastAsia="en-US"/>
        </w:rPr>
        <w:t xml:space="preserve"> руб. соответственно, которые предполагается направить на совершенствование системы материальной мотивации федеральных государственных гражданских служащих, в р</w:t>
      </w:r>
      <w:r w:rsidRPr="00E103B9">
        <w:rPr>
          <w:sz w:val="28"/>
          <w:szCs w:val="28"/>
        </w:rPr>
        <w:t xml:space="preserve">езервный фонд Президента </w:t>
      </w:r>
      <w:r w:rsidR="00924940" w:rsidRPr="00E103B9">
        <w:rPr>
          <w:sz w:val="28"/>
          <w:szCs w:val="28"/>
        </w:rPr>
        <w:t>РФ</w:t>
      </w:r>
      <w:r w:rsidRPr="00E103B9">
        <w:rPr>
          <w:sz w:val="28"/>
          <w:szCs w:val="28"/>
        </w:rPr>
        <w:t xml:space="preserve"> и Правительства </w:t>
      </w:r>
      <w:r w:rsidR="00924940" w:rsidRPr="00E103B9">
        <w:rPr>
          <w:sz w:val="28"/>
          <w:szCs w:val="28"/>
        </w:rPr>
        <w:t>РФ</w:t>
      </w:r>
      <w:r w:rsidRPr="00E103B9">
        <w:rPr>
          <w:sz w:val="28"/>
          <w:szCs w:val="28"/>
        </w:rPr>
        <w:t xml:space="preserve"> и на другие задачи. </w:t>
      </w:r>
    </w:p>
    <w:p w14:paraId="1E48F7C3" w14:textId="50528581" w:rsidR="00310C50" w:rsidRPr="00E103B9" w:rsidRDefault="00310C50" w:rsidP="00890054">
      <w:pPr>
        <w:keepNext/>
        <w:spacing w:before="240" w:after="120"/>
        <w:jc w:val="center"/>
        <w:outlineLvl w:val="2"/>
        <w:rPr>
          <w:b/>
          <w:sz w:val="28"/>
          <w:szCs w:val="20"/>
        </w:rPr>
      </w:pPr>
      <w:bookmarkStart w:id="22" w:name="_Toc465966605"/>
      <w:bookmarkStart w:id="23" w:name="_Toc21436749"/>
      <w:bookmarkStart w:id="24" w:name="_Toc116593938"/>
      <w:r w:rsidRPr="00E103B9">
        <w:rPr>
          <w:b/>
          <w:sz w:val="28"/>
          <w:szCs w:val="20"/>
        </w:rPr>
        <w:t>Расходы на национальную оборону и правоохранительную деятельность</w:t>
      </w:r>
      <w:bookmarkEnd w:id="22"/>
      <w:bookmarkEnd w:id="23"/>
      <w:bookmarkEnd w:id="24"/>
    </w:p>
    <w:p w14:paraId="4EE70356" w14:textId="108842DE" w:rsidR="00924940" w:rsidRPr="00E103B9" w:rsidRDefault="00924940" w:rsidP="00924940">
      <w:pPr>
        <w:suppressAutoHyphens/>
        <w:ind w:firstLine="709"/>
        <w:contextualSpacing/>
        <w:jc w:val="both"/>
        <w:rPr>
          <w:sz w:val="28"/>
        </w:rPr>
      </w:pPr>
      <w:r w:rsidRPr="00E103B9">
        <w:rPr>
          <w:sz w:val="28"/>
        </w:rPr>
        <w:t xml:space="preserve">Бюджетные ассигнования по разделу «Национальная оборона» в 2023 г. составят почти 5,0 </w:t>
      </w:r>
      <w:proofErr w:type="gramStart"/>
      <w:r w:rsidRPr="00E103B9">
        <w:rPr>
          <w:sz w:val="28"/>
        </w:rPr>
        <w:t>трлн</w:t>
      </w:r>
      <w:proofErr w:type="gramEnd"/>
      <w:r w:rsidRPr="00E103B9">
        <w:rPr>
          <w:sz w:val="28"/>
        </w:rPr>
        <w:t xml:space="preserve"> руб. или 3,3% ВВП против 4,7 трлн руб. и 3,2% ВВП в 2022 г. (</w:t>
      </w:r>
      <w:r w:rsidRPr="00E103B9">
        <w:rPr>
          <w:i/>
          <w:iCs/>
          <w:sz w:val="28"/>
        </w:rPr>
        <w:t>таблица</w:t>
      </w:r>
      <w:r w:rsidR="000B02DC" w:rsidRPr="00E103B9">
        <w:rPr>
          <w:sz w:val="28"/>
        </w:rPr>
        <w:t xml:space="preserve"> </w:t>
      </w:r>
      <w:r w:rsidR="000B02DC" w:rsidRPr="00E103B9">
        <w:rPr>
          <w:i/>
          <w:iCs/>
          <w:sz w:val="28"/>
        </w:rPr>
        <w:t>11</w:t>
      </w:r>
      <w:r w:rsidRPr="00E103B9">
        <w:rPr>
          <w:sz w:val="28"/>
        </w:rPr>
        <w:t xml:space="preserve">). На 2024-2025 гг. пока запланировано сокращение данных расходов до 4,6 и 4,2 </w:t>
      </w:r>
      <w:proofErr w:type="gramStart"/>
      <w:r w:rsidRPr="00E103B9">
        <w:rPr>
          <w:sz w:val="28"/>
        </w:rPr>
        <w:t>трлн</w:t>
      </w:r>
      <w:proofErr w:type="gramEnd"/>
      <w:r w:rsidRPr="00E103B9">
        <w:rPr>
          <w:sz w:val="28"/>
        </w:rPr>
        <w:t xml:space="preserve"> руб. или до 2,9 и 2,5% ВВП соответственно. Относительно утвержденного Законом № 390-ФЗ объема бюджетных ассигнований по рассматриваемому разделу наблюдается заметный рост </w:t>
      </w:r>
      <w:proofErr w:type="gramStart"/>
      <w:r w:rsidRPr="00E103B9">
        <w:rPr>
          <w:sz w:val="28"/>
        </w:rPr>
        <w:t>–н</w:t>
      </w:r>
      <w:proofErr w:type="gramEnd"/>
      <w:r w:rsidRPr="00E103B9">
        <w:rPr>
          <w:sz w:val="28"/>
        </w:rPr>
        <w:t xml:space="preserve">а 1,5 трлн руб. в 2023 г. и </w:t>
      </w:r>
      <w:r w:rsidRPr="00E103B9">
        <w:rPr>
          <w:sz w:val="28"/>
        </w:rPr>
        <w:lastRenderedPageBreak/>
        <w:t xml:space="preserve">на 1,0 трлн руб. в 2024 г., в основном по закрытым статьям расходов на другие вопросы в области национальной обороны. </w:t>
      </w:r>
    </w:p>
    <w:p w14:paraId="0F77D270" w14:textId="5072C513" w:rsidR="00924940" w:rsidRPr="00E103B9" w:rsidRDefault="00924940" w:rsidP="00924940">
      <w:pPr>
        <w:suppressAutoHyphens/>
        <w:ind w:firstLine="709"/>
        <w:contextualSpacing/>
        <w:jc w:val="both"/>
        <w:rPr>
          <w:sz w:val="28"/>
        </w:rPr>
      </w:pPr>
      <w:r w:rsidRPr="00E103B9">
        <w:rPr>
          <w:sz w:val="28"/>
        </w:rPr>
        <w:t xml:space="preserve">В сравнение с фактическими объемами 2021 г. расходы на национальную оборону в 2025 г. возрастут на 634,9 </w:t>
      </w:r>
      <w:proofErr w:type="gramStart"/>
      <w:r w:rsidRPr="00E103B9">
        <w:rPr>
          <w:sz w:val="28"/>
        </w:rPr>
        <w:t>млрд</w:t>
      </w:r>
      <w:proofErr w:type="gramEnd"/>
      <w:r w:rsidRPr="00E103B9">
        <w:rPr>
          <w:sz w:val="28"/>
        </w:rPr>
        <w:t xml:space="preserve"> руб. или на 17,8%, что в целом согласуется с динамикой расходной части федерального бюджета за этот же период (+18,1%). </w:t>
      </w:r>
      <w:proofErr w:type="gramStart"/>
      <w:r w:rsidRPr="00E103B9">
        <w:rPr>
          <w:sz w:val="28"/>
        </w:rPr>
        <w:t>Доля расходов на национальную оборону в общем объеме расходов федерального бюджета к 2025 г. сократится до 15,1% против 16,9% в 2022 г. и 17,1% в 2023 г. Основной объем расходов по рассматриваемому разделу направляется на финансирование Вооруженных Сил РФ: их доля в общем объеме расходов может составить 77,1% по итогам 2022 г. К 2025 г. запланировано сокращение данной доли до</w:t>
      </w:r>
      <w:proofErr w:type="gramEnd"/>
      <w:r w:rsidRPr="00E103B9">
        <w:rPr>
          <w:sz w:val="28"/>
        </w:rPr>
        <w:t xml:space="preserve"> 64,8% за счет роста расходов по статье «Другие вопросы в области национальной обороны».</w:t>
      </w:r>
    </w:p>
    <w:p w14:paraId="02D0BE26" w14:textId="5DFF513A" w:rsidR="00924940" w:rsidRPr="00E103B9" w:rsidRDefault="00924940" w:rsidP="00924940">
      <w:pPr>
        <w:suppressAutoHyphens/>
        <w:ind w:firstLine="709"/>
        <w:contextualSpacing/>
        <w:jc w:val="both"/>
        <w:rPr>
          <w:color w:val="000000"/>
          <w:sz w:val="28"/>
        </w:rPr>
      </w:pPr>
      <w:r w:rsidRPr="00E103B9">
        <w:rPr>
          <w:sz w:val="28"/>
        </w:rPr>
        <w:t xml:space="preserve">В общем объеме открытой части раздела «Национальная оборона» расходы на </w:t>
      </w:r>
      <w:r w:rsidR="00205D47" w:rsidRPr="00E103B9">
        <w:rPr>
          <w:sz w:val="28"/>
        </w:rPr>
        <w:t>ГП</w:t>
      </w:r>
      <w:r w:rsidRPr="00E103B9">
        <w:rPr>
          <w:sz w:val="28"/>
        </w:rPr>
        <w:t xml:space="preserve"> «</w:t>
      </w:r>
      <w:r w:rsidRPr="00E103B9">
        <w:rPr>
          <w:color w:val="000000"/>
          <w:sz w:val="28"/>
        </w:rPr>
        <w:t>Обеспечение обороноспособности страны</w:t>
      </w:r>
      <w:r w:rsidRPr="00E103B9">
        <w:rPr>
          <w:sz w:val="28"/>
        </w:rPr>
        <w:t xml:space="preserve">» в 2023-2025 гг. составляют 83% или около 1,2 </w:t>
      </w:r>
      <w:proofErr w:type="gramStart"/>
      <w:r w:rsidRPr="00E103B9">
        <w:rPr>
          <w:sz w:val="28"/>
        </w:rPr>
        <w:t>трлн</w:t>
      </w:r>
      <w:proofErr w:type="gramEnd"/>
      <w:r w:rsidRPr="00E103B9">
        <w:rPr>
          <w:sz w:val="28"/>
        </w:rPr>
        <w:t xml:space="preserve"> руб. ежегодно. По данному разделу финансируется ФП</w:t>
      </w:r>
      <w:r w:rsidRPr="00E103B9">
        <w:rPr>
          <w:color w:val="000000"/>
          <w:sz w:val="28"/>
        </w:rPr>
        <w:t xml:space="preserve"> «Автомобильные дороги Минобороны России» в объеме 850 </w:t>
      </w:r>
      <w:proofErr w:type="gramStart"/>
      <w:r w:rsidRPr="00E103B9">
        <w:rPr>
          <w:color w:val="000000"/>
          <w:sz w:val="28"/>
        </w:rPr>
        <w:t>млрд</w:t>
      </w:r>
      <w:proofErr w:type="gramEnd"/>
      <w:r w:rsidRPr="00E103B9">
        <w:rPr>
          <w:color w:val="000000"/>
          <w:sz w:val="28"/>
        </w:rPr>
        <w:t xml:space="preserve"> руб. ежегодно, а также предусмотрены бюджетные ассигнования по ФП «Информационная инфраструктура», «Поддержание, развитие и использование системы ГЛОНАСС», «Развитие инфраструктуры Министерства обороны Российской Федерации», «Стимулирование развития оборонно-промышленного комплекса».</w:t>
      </w:r>
    </w:p>
    <w:p w14:paraId="1D1B78C5" w14:textId="77777777" w:rsidR="00924940" w:rsidRPr="00E103B9" w:rsidRDefault="00924940" w:rsidP="00924940">
      <w:pPr>
        <w:suppressAutoHyphens/>
        <w:ind w:firstLine="709"/>
        <w:contextualSpacing/>
        <w:jc w:val="both"/>
        <w:rPr>
          <w:sz w:val="28"/>
        </w:rPr>
      </w:pPr>
      <w:r w:rsidRPr="00E103B9">
        <w:rPr>
          <w:sz w:val="28"/>
          <w:szCs w:val="28"/>
        </w:rPr>
        <w:t>Бюджетные ассигнования по разделу «Национальная безопасность и правоохранительная деятельность» запланированы</w:t>
      </w:r>
      <w:r w:rsidRPr="00E103B9">
        <w:rPr>
          <w:i/>
          <w:sz w:val="28"/>
          <w:szCs w:val="28"/>
        </w:rPr>
        <w:t xml:space="preserve"> </w:t>
      </w:r>
      <w:r w:rsidRPr="00E103B9">
        <w:rPr>
          <w:sz w:val="28"/>
          <w:szCs w:val="28"/>
        </w:rPr>
        <w:t xml:space="preserve">в объеме 4,4 </w:t>
      </w:r>
      <w:proofErr w:type="gramStart"/>
      <w:r w:rsidRPr="00E103B9">
        <w:rPr>
          <w:sz w:val="28"/>
          <w:szCs w:val="28"/>
        </w:rPr>
        <w:t>трлн</w:t>
      </w:r>
      <w:proofErr w:type="gramEnd"/>
      <w:r w:rsidRPr="00E103B9">
        <w:rPr>
          <w:sz w:val="28"/>
          <w:szCs w:val="28"/>
        </w:rPr>
        <w:t xml:space="preserve"> руб. в 2023 г. и 4,3 трлн руб. в 2024-2025 гг., что составляет 2,9-2,7-2,5% ВВП соответственно. При этом в предшествующий десятилетний период объем расходов по данному разделу не превышал 2,8% ВВП (в 2013 г.). Р</w:t>
      </w:r>
      <w:r w:rsidRPr="00E103B9">
        <w:rPr>
          <w:sz w:val="28"/>
        </w:rPr>
        <w:t xml:space="preserve">асходы на национальную безопасность в 2025 г. вырастут на 86,0% к уровню 2021 г., что существенно превысит темпы роста расходов федерального бюджета за аналогичный период (+18,1%). Как следствие, возрастет и доля бюджетных ассигнований на национальную безопасность с 9,4% в 2021 г. до 14,9% в 2025 г. </w:t>
      </w:r>
    </w:p>
    <w:p w14:paraId="41F4E38D" w14:textId="72C89EAE" w:rsidR="00924940" w:rsidRPr="00E103B9" w:rsidRDefault="00924940" w:rsidP="00924940">
      <w:pPr>
        <w:suppressAutoHyphens/>
        <w:spacing w:after="60"/>
        <w:ind w:firstLine="709"/>
        <w:jc w:val="both"/>
        <w:rPr>
          <w:sz w:val="28"/>
        </w:rPr>
      </w:pPr>
      <w:r w:rsidRPr="00E103B9">
        <w:rPr>
          <w:sz w:val="28"/>
        </w:rPr>
        <w:t xml:space="preserve">Относительно утвержденных Законом № 390-ФЗ объемов бюджетных ассигнований расходы по данному разделу увеличен в 2023 г. на 1,4 </w:t>
      </w:r>
      <w:proofErr w:type="gramStart"/>
      <w:r w:rsidRPr="00E103B9">
        <w:rPr>
          <w:sz w:val="28"/>
        </w:rPr>
        <w:t>трлн</w:t>
      </w:r>
      <w:proofErr w:type="gramEnd"/>
      <w:r w:rsidRPr="00E103B9">
        <w:rPr>
          <w:sz w:val="28"/>
        </w:rPr>
        <w:t xml:space="preserve"> руб. или 48,9% и в 2024 г. на 1,1 трлн руб. или в 2,8 раза. Можно предположить, что рост расходов в основном по статье «Другие вопросы» связан с фактором неопределенности по финансовому обеспечению правоохранительной деятельности и безопасности на территории новых субъектов РФ и их группировка в данном подразделе позволит уточнить направления и объемы расходов уже в ходе исполнения федерального бюджета. </w:t>
      </w:r>
    </w:p>
    <w:p w14:paraId="6ACA7BBA" w14:textId="77777777" w:rsidR="00924940" w:rsidRPr="00E103B9" w:rsidRDefault="00924940" w:rsidP="00924940">
      <w:pPr>
        <w:suppressAutoHyphens/>
        <w:spacing w:after="60"/>
        <w:ind w:firstLine="709"/>
        <w:jc w:val="both"/>
        <w:rPr>
          <w:sz w:val="28"/>
        </w:rPr>
      </w:pPr>
      <w:r w:rsidRPr="00E103B9">
        <w:rPr>
          <w:sz w:val="28"/>
        </w:rPr>
        <w:t xml:space="preserve">По структуре открытых расходов на правоохранительную деятельность и безопасность объем финансирования органов внутренних дел составляет около 45% от общего объема расходов по данному разделу в 2023-2025 гг. </w:t>
      </w:r>
      <w:r w:rsidRPr="00E103B9">
        <w:rPr>
          <w:color w:val="000000"/>
          <w:sz w:val="28"/>
        </w:rPr>
        <w:t>По разделу «</w:t>
      </w:r>
      <w:r w:rsidRPr="00E103B9">
        <w:rPr>
          <w:color w:val="000000"/>
          <w:sz w:val="28"/>
          <w:szCs w:val="28"/>
        </w:rPr>
        <w:t>Национальная безопасность и правоохранительная деятельность</w:t>
      </w:r>
      <w:r w:rsidRPr="00E103B9">
        <w:rPr>
          <w:color w:val="000000"/>
          <w:sz w:val="28"/>
        </w:rPr>
        <w:t xml:space="preserve">» предусмотрено финансирование нескольких государственных программ, в частности, ГП «Обеспечение общественного порядка и противодействие преступности» (в </w:t>
      </w:r>
      <w:r w:rsidRPr="00E103B9">
        <w:rPr>
          <w:color w:val="000000"/>
          <w:sz w:val="28"/>
        </w:rPr>
        <w:lastRenderedPageBreak/>
        <w:t xml:space="preserve">среднем 850 </w:t>
      </w:r>
      <w:proofErr w:type="gramStart"/>
      <w:r w:rsidRPr="00E103B9">
        <w:rPr>
          <w:color w:val="000000"/>
          <w:sz w:val="28"/>
        </w:rPr>
        <w:t>млрд</w:t>
      </w:r>
      <w:proofErr w:type="gramEnd"/>
      <w:r w:rsidRPr="00E103B9">
        <w:rPr>
          <w:color w:val="000000"/>
          <w:sz w:val="28"/>
        </w:rPr>
        <w:t xml:space="preserve"> руб. в год), ГП «Обеспечение защиты личности, общества и государства» (306 </w:t>
      </w:r>
      <w:proofErr w:type="gramStart"/>
      <w:r w:rsidRPr="00E103B9">
        <w:rPr>
          <w:color w:val="000000"/>
          <w:sz w:val="28"/>
        </w:rPr>
        <w:t>млрд</w:t>
      </w:r>
      <w:proofErr w:type="gramEnd"/>
      <w:r w:rsidRPr="00E103B9">
        <w:rPr>
          <w:color w:val="000000"/>
          <w:sz w:val="28"/>
        </w:rPr>
        <w:t xml:space="preserve"> руб.), ГП «Юстиция» (338 млрд руб.).</w:t>
      </w:r>
    </w:p>
    <w:p w14:paraId="74F970CC" w14:textId="77777777" w:rsidR="00924940" w:rsidRPr="00E103B9" w:rsidRDefault="00924940" w:rsidP="00924940">
      <w:pPr>
        <w:suppressAutoHyphens/>
        <w:spacing w:after="60"/>
        <w:ind w:firstLine="709"/>
        <w:jc w:val="both"/>
        <w:rPr>
          <w:sz w:val="28"/>
        </w:rPr>
      </w:pPr>
      <w:r w:rsidRPr="00E103B9">
        <w:rPr>
          <w:color w:val="000000"/>
          <w:sz w:val="28"/>
        </w:rPr>
        <w:t xml:space="preserve">В целом следует отметить, что динамика и структура открытых расходов федерального бюджета в 2023-2025 гг. по разделам «Национальная оборона» и «Национальная безопасность и правоохранительная деятельность» отвечает задачам безопасности и в условиях высокой </w:t>
      </w:r>
      <w:proofErr w:type="gramStart"/>
      <w:r w:rsidRPr="00E103B9">
        <w:rPr>
          <w:color w:val="000000"/>
          <w:sz w:val="28"/>
        </w:rPr>
        <w:t>неопределенности</w:t>
      </w:r>
      <w:proofErr w:type="gramEnd"/>
      <w:r w:rsidRPr="00E103B9">
        <w:rPr>
          <w:color w:val="000000"/>
          <w:sz w:val="28"/>
        </w:rPr>
        <w:t xml:space="preserve"> заложенные в Законопроекте оценки расходов будут существенно уточнены в рамках исполнения бюджета уже в 2023 г.</w:t>
      </w:r>
    </w:p>
    <w:p w14:paraId="3B58A4DC" w14:textId="35697902" w:rsidR="00C34E1E" w:rsidRPr="00E103B9" w:rsidRDefault="005F1B07" w:rsidP="00C34E1E">
      <w:pPr>
        <w:keepNext/>
        <w:spacing w:before="240" w:after="120"/>
        <w:jc w:val="center"/>
        <w:outlineLvl w:val="2"/>
        <w:rPr>
          <w:b/>
          <w:sz w:val="28"/>
          <w:szCs w:val="20"/>
        </w:rPr>
      </w:pPr>
      <w:bookmarkStart w:id="25" w:name="_Toc526951466"/>
      <w:bookmarkStart w:id="26" w:name="_Toc116593939"/>
      <w:r w:rsidRPr="00E103B9">
        <w:rPr>
          <w:b/>
          <w:sz w:val="28"/>
          <w:szCs w:val="20"/>
        </w:rPr>
        <w:t>Расходы на инфраструктуру</w:t>
      </w:r>
      <w:bookmarkEnd w:id="25"/>
      <w:r w:rsidR="00483F78" w:rsidRPr="00E103B9">
        <w:rPr>
          <w:b/>
          <w:sz w:val="28"/>
          <w:szCs w:val="20"/>
        </w:rPr>
        <w:t xml:space="preserve"> и промышленность</w:t>
      </w:r>
      <w:bookmarkEnd w:id="26"/>
    </w:p>
    <w:p w14:paraId="3DDB62DA" w14:textId="285862D0" w:rsidR="00C34E1E" w:rsidRPr="00E103B9" w:rsidRDefault="00C34E1E" w:rsidP="00AA0954">
      <w:pPr>
        <w:spacing w:after="60"/>
        <w:ind w:firstLine="709"/>
        <w:jc w:val="both"/>
        <w:rPr>
          <w:sz w:val="28"/>
        </w:rPr>
      </w:pPr>
      <w:r w:rsidRPr="00E103B9">
        <w:rPr>
          <w:sz w:val="28"/>
        </w:rPr>
        <w:t>Законопроект предполагает в 2023 г. значительное сокращение в номинальном выражении по сравнению с уровнем 2022 г. общей суммы расходов федерального бюджета на развитие водного хозяйства, транспорта, дорожного хозяйства, а также связь и информатику</w:t>
      </w:r>
      <w:r w:rsidRPr="00E103B9">
        <w:rPr>
          <w:i/>
          <w:sz w:val="28"/>
        </w:rPr>
        <w:t xml:space="preserve"> </w:t>
      </w:r>
      <w:r w:rsidRPr="00E103B9">
        <w:rPr>
          <w:sz w:val="28"/>
        </w:rPr>
        <w:t>(</w:t>
      </w:r>
      <w:r w:rsidRPr="00E103B9">
        <w:rPr>
          <w:i/>
          <w:iCs/>
          <w:sz w:val="28"/>
        </w:rPr>
        <w:t>таблица</w:t>
      </w:r>
      <w:r w:rsidR="000B02DC" w:rsidRPr="00E103B9">
        <w:rPr>
          <w:i/>
          <w:sz w:val="28"/>
        </w:rPr>
        <w:t xml:space="preserve"> 15</w:t>
      </w:r>
      <w:r w:rsidRPr="00E103B9">
        <w:rPr>
          <w:sz w:val="28"/>
        </w:rPr>
        <w:t xml:space="preserve">). Так, общий объем расходов на указанные сферы в 2023 г. должен составить 1 531,7 </w:t>
      </w:r>
      <w:proofErr w:type="gramStart"/>
      <w:r w:rsidRPr="00E103B9">
        <w:rPr>
          <w:sz w:val="28"/>
        </w:rPr>
        <w:t>млрд</w:t>
      </w:r>
      <w:proofErr w:type="gramEnd"/>
      <w:r w:rsidRPr="00E103B9">
        <w:rPr>
          <w:sz w:val="28"/>
        </w:rPr>
        <w:t xml:space="preserve"> руб., что меньше уровня 2022 г. почти на четверть (23,5%). В 2024 и 2025 гг. увеличение расходов на инфраструктуру в номинальном выражении практически отсутствует (+0,03% и +3,4% г/г соответственно). </w:t>
      </w:r>
    </w:p>
    <w:p w14:paraId="246C1BF7" w14:textId="77777777" w:rsidR="00C34E1E" w:rsidRPr="00E103B9" w:rsidRDefault="00C34E1E" w:rsidP="00AA0954">
      <w:pPr>
        <w:spacing w:after="60"/>
        <w:ind w:firstLine="709"/>
        <w:jc w:val="both"/>
        <w:rPr>
          <w:sz w:val="28"/>
        </w:rPr>
      </w:pPr>
      <w:r w:rsidRPr="00E103B9">
        <w:rPr>
          <w:sz w:val="28"/>
        </w:rPr>
        <w:t>Общий объем расходов на инфраструктуру в номинальном выражении в 2025 г. снизится по отношению к уровню 2022 г. на 20,8%, при этом доля расходов на инфраструктуру в общем объеме расходов федерального бюджета за соответствующий период снизится еще более заметно – на 25,2% (с 7,3% до 5,4%).</w:t>
      </w:r>
    </w:p>
    <w:p w14:paraId="6279933E" w14:textId="120665CC" w:rsidR="00C34E1E" w:rsidRPr="009D5B83" w:rsidRDefault="00C34E1E" w:rsidP="00C34E1E">
      <w:pPr>
        <w:pStyle w:val="aff8"/>
        <w:rPr>
          <w:i w:val="0"/>
        </w:rPr>
      </w:pPr>
      <w:r w:rsidRPr="009D5B83">
        <w:t xml:space="preserve">Таблица </w:t>
      </w:r>
      <w:r w:rsidR="000B02DC" w:rsidRPr="009D5B83">
        <w:rPr>
          <w:noProof/>
        </w:rPr>
        <w:t>15</w:t>
      </w:r>
    </w:p>
    <w:p w14:paraId="6D129A6C" w14:textId="77777777" w:rsidR="00C34E1E" w:rsidRPr="009D5B83" w:rsidRDefault="00C34E1E" w:rsidP="00C34E1E">
      <w:pPr>
        <w:spacing w:before="60" w:after="120"/>
        <w:jc w:val="center"/>
        <w:rPr>
          <w:b/>
        </w:rPr>
      </w:pPr>
      <w:r w:rsidRPr="009D5B83">
        <w:rPr>
          <w:b/>
        </w:rPr>
        <w:t>Динамика расходов на инфраструктуру в 2022-2025 гг.</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1254"/>
        <w:gridCol w:w="1276"/>
        <w:gridCol w:w="1276"/>
        <w:gridCol w:w="1276"/>
      </w:tblGrid>
      <w:tr w:rsidR="00C34E1E" w:rsidRPr="009D5B83" w14:paraId="14673AF3" w14:textId="77777777" w:rsidTr="00133B80">
        <w:trPr>
          <w:trHeight w:val="20"/>
          <w:tblHeader/>
          <w:jc w:val="center"/>
        </w:trPr>
        <w:tc>
          <w:tcPr>
            <w:tcW w:w="3864" w:type="dxa"/>
            <w:shd w:val="clear" w:color="auto" w:fill="auto"/>
            <w:noWrap/>
            <w:tcMar>
              <w:left w:w="0" w:type="dxa"/>
              <w:right w:w="0" w:type="dxa"/>
            </w:tcMar>
            <w:vAlign w:val="center"/>
            <w:hideMark/>
          </w:tcPr>
          <w:p w14:paraId="7DBB0676" w14:textId="77777777" w:rsidR="00C34E1E" w:rsidRPr="009D5B83" w:rsidRDefault="00C34E1E" w:rsidP="00133B80">
            <w:pPr>
              <w:pStyle w:val="af4"/>
            </w:pPr>
            <w:r w:rsidRPr="009D5B83">
              <w:t>Показатель</w:t>
            </w:r>
          </w:p>
        </w:tc>
        <w:tc>
          <w:tcPr>
            <w:tcW w:w="1254" w:type="dxa"/>
            <w:shd w:val="clear" w:color="auto" w:fill="auto"/>
            <w:noWrap/>
            <w:vAlign w:val="center"/>
            <w:hideMark/>
          </w:tcPr>
          <w:p w14:paraId="0AF3C5FF" w14:textId="77777777" w:rsidR="00C34E1E" w:rsidRPr="009D5B83" w:rsidRDefault="00C34E1E" w:rsidP="00133B80">
            <w:pPr>
              <w:pStyle w:val="af4"/>
            </w:pPr>
            <w:r w:rsidRPr="009D5B83">
              <w:rPr>
                <w:color w:val="000000"/>
              </w:rPr>
              <w:t>2022 г.</w:t>
            </w:r>
          </w:p>
        </w:tc>
        <w:tc>
          <w:tcPr>
            <w:tcW w:w="1276" w:type="dxa"/>
            <w:shd w:val="clear" w:color="auto" w:fill="auto"/>
            <w:noWrap/>
            <w:vAlign w:val="center"/>
            <w:hideMark/>
          </w:tcPr>
          <w:p w14:paraId="44FF751E" w14:textId="77777777" w:rsidR="00C34E1E" w:rsidRPr="009D5B83" w:rsidRDefault="00C34E1E" w:rsidP="00133B80">
            <w:pPr>
              <w:pStyle w:val="af4"/>
            </w:pPr>
            <w:r w:rsidRPr="009D5B83">
              <w:rPr>
                <w:color w:val="000000"/>
              </w:rPr>
              <w:t>2023 г.</w:t>
            </w:r>
          </w:p>
        </w:tc>
        <w:tc>
          <w:tcPr>
            <w:tcW w:w="1276" w:type="dxa"/>
            <w:shd w:val="clear" w:color="auto" w:fill="auto"/>
            <w:noWrap/>
            <w:vAlign w:val="center"/>
            <w:hideMark/>
          </w:tcPr>
          <w:p w14:paraId="173CE38E" w14:textId="77777777" w:rsidR="00C34E1E" w:rsidRPr="009D5B83" w:rsidRDefault="00C34E1E" w:rsidP="00133B80">
            <w:pPr>
              <w:pStyle w:val="af4"/>
            </w:pPr>
            <w:r w:rsidRPr="009D5B83">
              <w:rPr>
                <w:color w:val="000000"/>
              </w:rPr>
              <w:t>2024 г.</w:t>
            </w:r>
          </w:p>
        </w:tc>
        <w:tc>
          <w:tcPr>
            <w:tcW w:w="1276" w:type="dxa"/>
            <w:shd w:val="clear" w:color="auto" w:fill="auto"/>
            <w:noWrap/>
            <w:vAlign w:val="center"/>
            <w:hideMark/>
          </w:tcPr>
          <w:p w14:paraId="15F28865" w14:textId="77777777" w:rsidR="00C34E1E" w:rsidRPr="009D5B83" w:rsidRDefault="00C34E1E" w:rsidP="00133B80">
            <w:pPr>
              <w:pStyle w:val="af4"/>
            </w:pPr>
            <w:r w:rsidRPr="009D5B83">
              <w:rPr>
                <w:color w:val="000000"/>
              </w:rPr>
              <w:t>2025 г.</w:t>
            </w:r>
          </w:p>
        </w:tc>
      </w:tr>
      <w:tr w:rsidR="00C34E1E" w:rsidRPr="009D5B83" w14:paraId="7045C3CD" w14:textId="77777777" w:rsidTr="00133B80">
        <w:trPr>
          <w:trHeight w:val="20"/>
          <w:jc w:val="center"/>
        </w:trPr>
        <w:tc>
          <w:tcPr>
            <w:tcW w:w="3864" w:type="dxa"/>
            <w:shd w:val="clear" w:color="auto" w:fill="auto"/>
            <w:vAlign w:val="center"/>
            <w:hideMark/>
          </w:tcPr>
          <w:p w14:paraId="574D2EDA" w14:textId="77777777" w:rsidR="00C34E1E" w:rsidRPr="009D5B83" w:rsidRDefault="00C34E1E" w:rsidP="00133B80">
            <w:pPr>
              <w:pStyle w:val="af2"/>
            </w:pPr>
            <w:r w:rsidRPr="009D5B83">
              <w:rPr>
                <w:color w:val="000000"/>
              </w:rPr>
              <w:t xml:space="preserve">Водное хозяйство, </w:t>
            </w:r>
            <w:proofErr w:type="gramStart"/>
            <w:r w:rsidRPr="009D5B83">
              <w:rPr>
                <w:color w:val="000000"/>
              </w:rPr>
              <w:t>млрд</w:t>
            </w:r>
            <w:proofErr w:type="gramEnd"/>
            <w:r w:rsidRPr="009D5B83">
              <w:rPr>
                <w:color w:val="000000"/>
              </w:rPr>
              <w:t xml:space="preserve"> руб.</w:t>
            </w:r>
          </w:p>
        </w:tc>
        <w:tc>
          <w:tcPr>
            <w:tcW w:w="1254" w:type="dxa"/>
            <w:shd w:val="clear" w:color="auto" w:fill="auto"/>
            <w:noWrap/>
            <w:hideMark/>
          </w:tcPr>
          <w:p w14:paraId="470B5256" w14:textId="77777777" w:rsidR="00C34E1E" w:rsidRPr="009D5B83" w:rsidRDefault="00C34E1E" w:rsidP="00133B80">
            <w:pPr>
              <w:pStyle w:val="af3"/>
            </w:pPr>
            <w:r w:rsidRPr="009D5B83">
              <w:t>30,2</w:t>
            </w:r>
          </w:p>
        </w:tc>
        <w:tc>
          <w:tcPr>
            <w:tcW w:w="1276" w:type="dxa"/>
            <w:shd w:val="clear" w:color="auto" w:fill="auto"/>
            <w:noWrap/>
            <w:hideMark/>
          </w:tcPr>
          <w:p w14:paraId="186291B9" w14:textId="77777777" w:rsidR="00C34E1E" w:rsidRPr="009D5B83" w:rsidRDefault="00C34E1E" w:rsidP="00133B80">
            <w:pPr>
              <w:pStyle w:val="af3"/>
            </w:pPr>
            <w:r w:rsidRPr="009D5B83">
              <w:t>26,9</w:t>
            </w:r>
          </w:p>
        </w:tc>
        <w:tc>
          <w:tcPr>
            <w:tcW w:w="1276" w:type="dxa"/>
            <w:shd w:val="clear" w:color="auto" w:fill="auto"/>
            <w:noWrap/>
            <w:hideMark/>
          </w:tcPr>
          <w:p w14:paraId="187D2FF0" w14:textId="77777777" w:rsidR="00C34E1E" w:rsidRPr="009D5B83" w:rsidRDefault="00C34E1E" w:rsidP="00133B80">
            <w:pPr>
              <w:pStyle w:val="af3"/>
            </w:pPr>
            <w:r w:rsidRPr="009D5B83">
              <w:t>23,9</w:t>
            </w:r>
          </w:p>
        </w:tc>
        <w:tc>
          <w:tcPr>
            <w:tcW w:w="1276" w:type="dxa"/>
            <w:shd w:val="clear" w:color="auto" w:fill="auto"/>
            <w:noWrap/>
            <w:hideMark/>
          </w:tcPr>
          <w:p w14:paraId="15A4D9D7" w14:textId="77777777" w:rsidR="00C34E1E" w:rsidRPr="009D5B83" w:rsidRDefault="00C34E1E" w:rsidP="00133B80">
            <w:pPr>
              <w:pStyle w:val="af3"/>
            </w:pPr>
            <w:r w:rsidRPr="009D5B83">
              <w:t>26,4</w:t>
            </w:r>
          </w:p>
        </w:tc>
      </w:tr>
      <w:tr w:rsidR="00C34E1E" w:rsidRPr="009D5B83" w14:paraId="4BA204CE" w14:textId="77777777" w:rsidTr="00133B80">
        <w:trPr>
          <w:trHeight w:val="20"/>
          <w:jc w:val="center"/>
        </w:trPr>
        <w:tc>
          <w:tcPr>
            <w:tcW w:w="3864" w:type="dxa"/>
            <w:shd w:val="clear" w:color="auto" w:fill="auto"/>
            <w:vAlign w:val="center"/>
            <w:hideMark/>
          </w:tcPr>
          <w:p w14:paraId="3F75803D" w14:textId="77777777" w:rsidR="00C34E1E" w:rsidRPr="009D5B83" w:rsidRDefault="00C34E1E" w:rsidP="00133B80">
            <w:pPr>
              <w:pStyle w:val="af2"/>
              <w:jc w:val="right"/>
              <w:rPr>
                <w:i/>
              </w:rPr>
            </w:pPr>
            <w:r w:rsidRPr="009D5B83">
              <w:rPr>
                <w:i/>
                <w:iCs/>
                <w:color w:val="000000"/>
              </w:rPr>
              <w:t>% ВВП</w:t>
            </w:r>
          </w:p>
        </w:tc>
        <w:tc>
          <w:tcPr>
            <w:tcW w:w="1254" w:type="dxa"/>
            <w:shd w:val="clear" w:color="auto" w:fill="auto"/>
            <w:noWrap/>
            <w:hideMark/>
          </w:tcPr>
          <w:p w14:paraId="19C58C3D" w14:textId="77777777" w:rsidR="00C34E1E" w:rsidRPr="009D5B83" w:rsidRDefault="00C34E1E" w:rsidP="00133B80">
            <w:pPr>
              <w:pStyle w:val="af3"/>
              <w:rPr>
                <w:i/>
                <w:iCs/>
              </w:rPr>
            </w:pPr>
            <w:r w:rsidRPr="009D5B83">
              <w:rPr>
                <w:i/>
                <w:iCs/>
              </w:rPr>
              <w:t>0,02</w:t>
            </w:r>
          </w:p>
        </w:tc>
        <w:tc>
          <w:tcPr>
            <w:tcW w:w="1276" w:type="dxa"/>
            <w:shd w:val="clear" w:color="auto" w:fill="auto"/>
            <w:noWrap/>
            <w:hideMark/>
          </w:tcPr>
          <w:p w14:paraId="4AA1BF19" w14:textId="77777777" w:rsidR="00C34E1E" w:rsidRPr="009D5B83" w:rsidRDefault="00C34E1E" w:rsidP="00133B80">
            <w:pPr>
              <w:pStyle w:val="af3"/>
              <w:rPr>
                <w:i/>
                <w:iCs/>
              </w:rPr>
            </w:pPr>
            <w:r w:rsidRPr="009D5B83">
              <w:rPr>
                <w:i/>
                <w:iCs/>
              </w:rPr>
              <w:t>0,02</w:t>
            </w:r>
          </w:p>
        </w:tc>
        <w:tc>
          <w:tcPr>
            <w:tcW w:w="1276" w:type="dxa"/>
            <w:shd w:val="clear" w:color="auto" w:fill="auto"/>
            <w:noWrap/>
            <w:hideMark/>
          </w:tcPr>
          <w:p w14:paraId="3A2D121A" w14:textId="77777777" w:rsidR="00C34E1E" w:rsidRPr="009D5B83" w:rsidRDefault="00C34E1E" w:rsidP="00133B80">
            <w:pPr>
              <w:pStyle w:val="af3"/>
              <w:rPr>
                <w:i/>
                <w:iCs/>
              </w:rPr>
            </w:pPr>
            <w:r w:rsidRPr="009D5B83">
              <w:rPr>
                <w:i/>
                <w:iCs/>
              </w:rPr>
              <w:t>0,01</w:t>
            </w:r>
          </w:p>
        </w:tc>
        <w:tc>
          <w:tcPr>
            <w:tcW w:w="1276" w:type="dxa"/>
            <w:shd w:val="clear" w:color="auto" w:fill="auto"/>
            <w:noWrap/>
            <w:hideMark/>
          </w:tcPr>
          <w:p w14:paraId="6E1C3820" w14:textId="77777777" w:rsidR="00C34E1E" w:rsidRPr="009D5B83" w:rsidRDefault="00C34E1E" w:rsidP="00133B80">
            <w:pPr>
              <w:pStyle w:val="af3"/>
              <w:rPr>
                <w:i/>
                <w:iCs/>
              </w:rPr>
            </w:pPr>
            <w:r w:rsidRPr="009D5B83">
              <w:rPr>
                <w:i/>
                <w:iCs/>
              </w:rPr>
              <w:t>0,02</w:t>
            </w:r>
          </w:p>
        </w:tc>
      </w:tr>
      <w:tr w:rsidR="00C34E1E" w:rsidRPr="009D5B83" w14:paraId="0406B4CE" w14:textId="77777777" w:rsidTr="00133B80">
        <w:trPr>
          <w:trHeight w:val="20"/>
          <w:jc w:val="center"/>
        </w:trPr>
        <w:tc>
          <w:tcPr>
            <w:tcW w:w="3864" w:type="dxa"/>
            <w:shd w:val="clear" w:color="auto" w:fill="auto"/>
            <w:vAlign w:val="center"/>
            <w:hideMark/>
          </w:tcPr>
          <w:p w14:paraId="219F434E" w14:textId="77777777" w:rsidR="00C34E1E" w:rsidRPr="009D5B83" w:rsidRDefault="00C34E1E" w:rsidP="00133B80">
            <w:pPr>
              <w:pStyle w:val="af2"/>
              <w:jc w:val="right"/>
              <w:rPr>
                <w:i/>
              </w:rPr>
            </w:pPr>
            <w:r w:rsidRPr="009D5B83">
              <w:rPr>
                <w:i/>
                <w:iCs/>
                <w:color w:val="000000"/>
              </w:rPr>
              <w:t>доля в общем объеме расходов, %</w:t>
            </w:r>
          </w:p>
        </w:tc>
        <w:tc>
          <w:tcPr>
            <w:tcW w:w="1254" w:type="dxa"/>
            <w:shd w:val="clear" w:color="auto" w:fill="auto"/>
            <w:noWrap/>
            <w:hideMark/>
          </w:tcPr>
          <w:p w14:paraId="75E5D376" w14:textId="77777777" w:rsidR="00C34E1E" w:rsidRPr="009D5B83" w:rsidRDefault="00C34E1E" w:rsidP="00133B80">
            <w:pPr>
              <w:pStyle w:val="af3"/>
              <w:rPr>
                <w:i/>
                <w:iCs/>
              </w:rPr>
            </w:pPr>
            <w:r w:rsidRPr="009D5B83">
              <w:rPr>
                <w:i/>
                <w:iCs/>
              </w:rPr>
              <w:t>0,11</w:t>
            </w:r>
          </w:p>
        </w:tc>
        <w:tc>
          <w:tcPr>
            <w:tcW w:w="1276" w:type="dxa"/>
            <w:shd w:val="clear" w:color="auto" w:fill="auto"/>
            <w:noWrap/>
            <w:hideMark/>
          </w:tcPr>
          <w:p w14:paraId="0CEE44B1" w14:textId="77777777" w:rsidR="00C34E1E" w:rsidRPr="009D5B83" w:rsidRDefault="00C34E1E" w:rsidP="00133B80">
            <w:pPr>
              <w:pStyle w:val="af3"/>
              <w:rPr>
                <w:i/>
                <w:iCs/>
              </w:rPr>
            </w:pPr>
            <w:r w:rsidRPr="009D5B83">
              <w:rPr>
                <w:i/>
                <w:iCs/>
              </w:rPr>
              <w:t>0,09</w:t>
            </w:r>
          </w:p>
        </w:tc>
        <w:tc>
          <w:tcPr>
            <w:tcW w:w="1276" w:type="dxa"/>
            <w:shd w:val="clear" w:color="auto" w:fill="auto"/>
            <w:noWrap/>
            <w:hideMark/>
          </w:tcPr>
          <w:p w14:paraId="2BCDE04A" w14:textId="77777777" w:rsidR="00C34E1E" w:rsidRPr="009D5B83" w:rsidRDefault="00C34E1E" w:rsidP="00133B80">
            <w:pPr>
              <w:pStyle w:val="af3"/>
              <w:rPr>
                <w:i/>
                <w:iCs/>
              </w:rPr>
            </w:pPr>
            <w:r w:rsidRPr="009D5B83">
              <w:rPr>
                <w:i/>
                <w:iCs/>
              </w:rPr>
              <w:t>0,08</w:t>
            </w:r>
          </w:p>
        </w:tc>
        <w:tc>
          <w:tcPr>
            <w:tcW w:w="1276" w:type="dxa"/>
            <w:shd w:val="clear" w:color="auto" w:fill="auto"/>
            <w:noWrap/>
            <w:hideMark/>
          </w:tcPr>
          <w:p w14:paraId="1422543F" w14:textId="77777777" w:rsidR="00C34E1E" w:rsidRPr="009D5B83" w:rsidRDefault="00C34E1E" w:rsidP="00133B80">
            <w:pPr>
              <w:pStyle w:val="af3"/>
              <w:rPr>
                <w:i/>
                <w:iCs/>
              </w:rPr>
            </w:pPr>
            <w:r w:rsidRPr="009D5B83">
              <w:rPr>
                <w:i/>
                <w:iCs/>
              </w:rPr>
              <w:t>0,09</w:t>
            </w:r>
          </w:p>
        </w:tc>
      </w:tr>
      <w:tr w:rsidR="00C34E1E" w:rsidRPr="009D5B83" w14:paraId="5D0AA2F7" w14:textId="77777777" w:rsidTr="00133B80">
        <w:trPr>
          <w:trHeight w:val="20"/>
          <w:jc w:val="center"/>
        </w:trPr>
        <w:tc>
          <w:tcPr>
            <w:tcW w:w="3864" w:type="dxa"/>
            <w:shd w:val="clear" w:color="auto" w:fill="auto"/>
            <w:vAlign w:val="center"/>
            <w:hideMark/>
          </w:tcPr>
          <w:p w14:paraId="1052F3FE" w14:textId="77777777" w:rsidR="00C34E1E" w:rsidRPr="009D5B83" w:rsidRDefault="00C34E1E" w:rsidP="00133B80">
            <w:pPr>
              <w:pStyle w:val="af2"/>
            </w:pPr>
            <w:r w:rsidRPr="009D5B83">
              <w:rPr>
                <w:color w:val="000000"/>
              </w:rPr>
              <w:t xml:space="preserve">Транспорт, </w:t>
            </w:r>
            <w:proofErr w:type="gramStart"/>
            <w:r w:rsidRPr="009D5B83">
              <w:rPr>
                <w:color w:val="000000"/>
              </w:rPr>
              <w:t>млрд</w:t>
            </w:r>
            <w:proofErr w:type="gramEnd"/>
            <w:r w:rsidRPr="009D5B83">
              <w:rPr>
                <w:color w:val="000000"/>
              </w:rPr>
              <w:t xml:space="preserve"> руб.</w:t>
            </w:r>
          </w:p>
        </w:tc>
        <w:tc>
          <w:tcPr>
            <w:tcW w:w="1254" w:type="dxa"/>
            <w:shd w:val="clear" w:color="auto" w:fill="auto"/>
            <w:noWrap/>
            <w:hideMark/>
          </w:tcPr>
          <w:p w14:paraId="596710BE" w14:textId="77777777" w:rsidR="00C34E1E" w:rsidRPr="009D5B83" w:rsidRDefault="00C34E1E" w:rsidP="00133B80">
            <w:pPr>
              <w:pStyle w:val="af3"/>
            </w:pPr>
            <w:r w:rsidRPr="009D5B83">
              <w:t>479,3</w:t>
            </w:r>
          </w:p>
        </w:tc>
        <w:tc>
          <w:tcPr>
            <w:tcW w:w="1276" w:type="dxa"/>
            <w:shd w:val="clear" w:color="auto" w:fill="auto"/>
            <w:noWrap/>
            <w:hideMark/>
          </w:tcPr>
          <w:p w14:paraId="61FA2F13" w14:textId="77777777" w:rsidR="00C34E1E" w:rsidRPr="009D5B83" w:rsidRDefault="00C34E1E" w:rsidP="00133B80">
            <w:pPr>
              <w:pStyle w:val="af3"/>
            </w:pPr>
            <w:r w:rsidRPr="009D5B83">
              <w:t>438,7</w:t>
            </w:r>
          </w:p>
        </w:tc>
        <w:tc>
          <w:tcPr>
            <w:tcW w:w="1276" w:type="dxa"/>
            <w:shd w:val="clear" w:color="auto" w:fill="auto"/>
            <w:noWrap/>
            <w:hideMark/>
          </w:tcPr>
          <w:p w14:paraId="55ECD4E0" w14:textId="77777777" w:rsidR="00C34E1E" w:rsidRPr="009D5B83" w:rsidRDefault="00C34E1E" w:rsidP="00133B80">
            <w:pPr>
              <w:pStyle w:val="af3"/>
            </w:pPr>
            <w:r w:rsidRPr="009D5B83">
              <w:t>351,4</w:t>
            </w:r>
          </w:p>
        </w:tc>
        <w:tc>
          <w:tcPr>
            <w:tcW w:w="1276" w:type="dxa"/>
            <w:shd w:val="clear" w:color="auto" w:fill="auto"/>
            <w:noWrap/>
            <w:hideMark/>
          </w:tcPr>
          <w:p w14:paraId="79AF8191" w14:textId="77777777" w:rsidR="00C34E1E" w:rsidRPr="009D5B83" w:rsidRDefault="00C34E1E" w:rsidP="00133B80">
            <w:pPr>
              <w:pStyle w:val="af3"/>
            </w:pPr>
            <w:r w:rsidRPr="009D5B83">
              <w:t>302,1</w:t>
            </w:r>
          </w:p>
        </w:tc>
      </w:tr>
      <w:tr w:rsidR="00C34E1E" w:rsidRPr="009D5B83" w14:paraId="082B6723" w14:textId="77777777" w:rsidTr="00133B80">
        <w:trPr>
          <w:trHeight w:val="20"/>
          <w:jc w:val="center"/>
        </w:trPr>
        <w:tc>
          <w:tcPr>
            <w:tcW w:w="3864" w:type="dxa"/>
            <w:shd w:val="clear" w:color="auto" w:fill="auto"/>
            <w:vAlign w:val="center"/>
            <w:hideMark/>
          </w:tcPr>
          <w:p w14:paraId="7C1AD157" w14:textId="77777777" w:rsidR="00C34E1E" w:rsidRPr="009D5B83" w:rsidRDefault="00C34E1E" w:rsidP="00133B80">
            <w:pPr>
              <w:pStyle w:val="af2"/>
              <w:jc w:val="right"/>
              <w:rPr>
                <w:i/>
              </w:rPr>
            </w:pPr>
            <w:r w:rsidRPr="009D5B83">
              <w:rPr>
                <w:i/>
                <w:iCs/>
                <w:color w:val="000000"/>
              </w:rPr>
              <w:t>% ВВП</w:t>
            </w:r>
          </w:p>
        </w:tc>
        <w:tc>
          <w:tcPr>
            <w:tcW w:w="1254" w:type="dxa"/>
            <w:shd w:val="clear" w:color="auto" w:fill="auto"/>
            <w:noWrap/>
            <w:hideMark/>
          </w:tcPr>
          <w:p w14:paraId="2BDE0139" w14:textId="77777777" w:rsidR="00C34E1E" w:rsidRPr="009D5B83" w:rsidRDefault="00C34E1E" w:rsidP="00133B80">
            <w:pPr>
              <w:pStyle w:val="af3"/>
              <w:rPr>
                <w:i/>
                <w:iCs/>
              </w:rPr>
            </w:pPr>
            <w:r w:rsidRPr="009D5B83">
              <w:rPr>
                <w:i/>
                <w:iCs/>
              </w:rPr>
              <w:t>0,33</w:t>
            </w:r>
          </w:p>
        </w:tc>
        <w:tc>
          <w:tcPr>
            <w:tcW w:w="1276" w:type="dxa"/>
            <w:shd w:val="clear" w:color="auto" w:fill="auto"/>
            <w:noWrap/>
            <w:hideMark/>
          </w:tcPr>
          <w:p w14:paraId="7EE1C30B" w14:textId="77777777" w:rsidR="00C34E1E" w:rsidRPr="009D5B83" w:rsidRDefault="00C34E1E" w:rsidP="00133B80">
            <w:pPr>
              <w:pStyle w:val="af3"/>
              <w:rPr>
                <w:i/>
                <w:iCs/>
              </w:rPr>
            </w:pPr>
            <w:r w:rsidRPr="009D5B83">
              <w:rPr>
                <w:i/>
                <w:iCs/>
              </w:rPr>
              <w:t>0,29</w:t>
            </w:r>
          </w:p>
        </w:tc>
        <w:tc>
          <w:tcPr>
            <w:tcW w:w="1276" w:type="dxa"/>
            <w:shd w:val="clear" w:color="auto" w:fill="auto"/>
            <w:noWrap/>
            <w:hideMark/>
          </w:tcPr>
          <w:p w14:paraId="360466F2" w14:textId="77777777" w:rsidR="00C34E1E" w:rsidRPr="009D5B83" w:rsidRDefault="00C34E1E" w:rsidP="00133B80">
            <w:pPr>
              <w:pStyle w:val="af3"/>
              <w:rPr>
                <w:i/>
                <w:iCs/>
              </w:rPr>
            </w:pPr>
            <w:r w:rsidRPr="009D5B83">
              <w:rPr>
                <w:i/>
                <w:iCs/>
              </w:rPr>
              <w:t>0,22</w:t>
            </w:r>
          </w:p>
        </w:tc>
        <w:tc>
          <w:tcPr>
            <w:tcW w:w="1276" w:type="dxa"/>
            <w:shd w:val="clear" w:color="auto" w:fill="auto"/>
            <w:noWrap/>
            <w:hideMark/>
          </w:tcPr>
          <w:p w14:paraId="61EE25C2" w14:textId="77777777" w:rsidR="00C34E1E" w:rsidRPr="009D5B83" w:rsidRDefault="00C34E1E" w:rsidP="00133B80">
            <w:pPr>
              <w:pStyle w:val="af3"/>
              <w:rPr>
                <w:i/>
                <w:iCs/>
              </w:rPr>
            </w:pPr>
            <w:r w:rsidRPr="009D5B83">
              <w:rPr>
                <w:i/>
                <w:iCs/>
              </w:rPr>
              <w:t>0,18</w:t>
            </w:r>
          </w:p>
        </w:tc>
      </w:tr>
      <w:tr w:rsidR="00C34E1E" w:rsidRPr="009D5B83" w14:paraId="36944964" w14:textId="77777777" w:rsidTr="00133B80">
        <w:trPr>
          <w:trHeight w:val="20"/>
          <w:jc w:val="center"/>
        </w:trPr>
        <w:tc>
          <w:tcPr>
            <w:tcW w:w="3864" w:type="dxa"/>
            <w:shd w:val="clear" w:color="auto" w:fill="auto"/>
            <w:vAlign w:val="center"/>
            <w:hideMark/>
          </w:tcPr>
          <w:p w14:paraId="04204D29" w14:textId="77777777" w:rsidR="00C34E1E" w:rsidRPr="009D5B83" w:rsidRDefault="00C34E1E" w:rsidP="00133B80">
            <w:pPr>
              <w:pStyle w:val="af2"/>
              <w:jc w:val="right"/>
              <w:rPr>
                <w:i/>
              </w:rPr>
            </w:pPr>
            <w:r w:rsidRPr="009D5B83">
              <w:rPr>
                <w:i/>
                <w:iCs/>
                <w:color w:val="000000"/>
              </w:rPr>
              <w:t>доля в общем объеме расходов, %</w:t>
            </w:r>
          </w:p>
        </w:tc>
        <w:tc>
          <w:tcPr>
            <w:tcW w:w="1254" w:type="dxa"/>
            <w:shd w:val="clear" w:color="auto" w:fill="auto"/>
            <w:noWrap/>
            <w:hideMark/>
          </w:tcPr>
          <w:p w14:paraId="663CCE25" w14:textId="77777777" w:rsidR="00C34E1E" w:rsidRPr="009D5B83" w:rsidRDefault="00C34E1E" w:rsidP="00133B80">
            <w:pPr>
              <w:pStyle w:val="af3"/>
              <w:rPr>
                <w:i/>
                <w:iCs/>
              </w:rPr>
            </w:pPr>
            <w:r w:rsidRPr="009D5B83">
              <w:rPr>
                <w:i/>
                <w:iCs/>
              </w:rPr>
              <w:t>1,74</w:t>
            </w:r>
          </w:p>
        </w:tc>
        <w:tc>
          <w:tcPr>
            <w:tcW w:w="1276" w:type="dxa"/>
            <w:shd w:val="clear" w:color="auto" w:fill="auto"/>
            <w:noWrap/>
            <w:hideMark/>
          </w:tcPr>
          <w:p w14:paraId="45BD60BF" w14:textId="77777777" w:rsidR="00C34E1E" w:rsidRPr="009D5B83" w:rsidRDefault="00C34E1E" w:rsidP="00133B80">
            <w:pPr>
              <w:pStyle w:val="af3"/>
              <w:rPr>
                <w:i/>
                <w:iCs/>
              </w:rPr>
            </w:pPr>
            <w:r w:rsidRPr="009D5B83">
              <w:rPr>
                <w:i/>
                <w:iCs/>
              </w:rPr>
              <w:t>1,51</w:t>
            </w:r>
          </w:p>
        </w:tc>
        <w:tc>
          <w:tcPr>
            <w:tcW w:w="1276" w:type="dxa"/>
            <w:shd w:val="clear" w:color="auto" w:fill="auto"/>
            <w:noWrap/>
            <w:hideMark/>
          </w:tcPr>
          <w:p w14:paraId="0D354A2B" w14:textId="77777777" w:rsidR="00C34E1E" w:rsidRPr="009D5B83" w:rsidRDefault="00C34E1E" w:rsidP="00133B80">
            <w:pPr>
              <w:pStyle w:val="af3"/>
              <w:rPr>
                <w:i/>
                <w:iCs/>
              </w:rPr>
            </w:pPr>
            <w:r w:rsidRPr="009D5B83">
              <w:rPr>
                <w:i/>
                <w:iCs/>
              </w:rPr>
              <w:t>1,19</w:t>
            </w:r>
          </w:p>
        </w:tc>
        <w:tc>
          <w:tcPr>
            <w:tcW w:w="1276" w:type="dxa"/>
            <w:shd w:val="clear" w:color="auto" w:fill="auto"/>
            <w:noWrap/>
            <w:hideMark/>
          </w:tcPr>
          <w:p w14:paraId="506B11BC" w14:textId="77777777" w:rsidR="00C34E1E" w:rsidRPr="009D5B83" w:rsidRDefault="00C34E1E" w:rsidP="00133B80">
            <w:pPr>
              <w:pStyle w:val="af3"/>
              <w:rPr>
                <w:i/>
                <w:iCs/>
              </w:rPr>
            </w:pPr>
            <w:r w:rsidRPr="009D5B83">
              <w:rPr>
                <w:i/>
                <w:iCs/>
              </w:rPr>
              <w:t>1,03</w:t>
            </w:r>
          </w:p>
        </w:tc>
      </w:tr>
      <w:tr w:rsidR="00C34E1E" w:rsidRPr="009D5B83" w14:paraId="30B304F2" w14:textId="77777777" w:rsidTr="00133B80">
        <w:trPr>
          <w:trHeight w:val="20"/>
          <w:jc w:val="center"/>
        </w:trPr>
        <w:tc>
          <w:tcPr>
            <w:tcW w:w="3864" w:type="dxa"/>
            <w:shd w:val="clear" w:color="auto" w:fill="auto"/>
            <w:vAlign w:val="center"/>
            <w:hideMark/>
          </w:tcPr>
          <w:p w14:paraId="71D050F9" w14:textId="61D37D3C" w:rsidR="00C34E1E" w:rsidRPr="009D5B83" w:rsidRDefault="00C34E1E" w:rsidP="00133B80">
            <w:pPr>
              <w:pStyle w:val="af2"/>
            </w:pPr>
            <w:r w:rsidRPr="009D5B83">
              <w:rPr>
                <w:color w:val="000000"/>
              </w:rPr>
              <w:t xml:space="preserve">Дорожное хозяйство (дорожные фонды), </w:t>
            </w:r>
            <w:proofErr w:type="gramStart"/>
            <w:r w:rsidRPr="009D5B83">
              <w:rPr>
                <w:color w:val="000000"/>
              </w:rPr>
              <w:t>млрд</w:t>
            </w:r>
            <w:proofErr w:type="gramEnd"/>
            <w:r w:rsidRPr="009D5B83">
              <w:rPr>
                <w:color w:val="000000"/>
              </w:rPr>
              <w:t xml:space="preserve"> руб</w:t>
            </w:r>
            <w:r w:rsidR="002606E9">
              <w:rPr>
                <w:color w:val="000000"/>
              </w:rPr>
              <w:t>.</w:t>
            </w:r>
          </w:p>
        </w:tc>
        <w:tc>
          <w:tcPr>
            <w:tcW w:w="1254" w:type="dxa"/>
            <w:shd w:val="clear" w:color="auto" w:fill="auto"/>
            <w:noWrap/>
            <w:hideMark/>
          </w:tcPr>
          <w:p w14:paraId="5FBF63E1" w14:textId="77777777" w:rsidR="00C34E1E" w:rsidRPr="009D5B83" w:rsidRDefault="00C34E1E" w:rsidP="00133B80">
            <w:pPr>
              <w:pStyle w:val="af3"/>
            </w:pPr>
            <w:r w:rsidRPr="009D5B83">
              <w:t>1 289,9</w:t>
            </w:r>
          </w:p>
        </w:tc>
        <w:tc>
          <w:tcPr>
            <w:tcW w:w="1276" w:type="dxa"/>
            <w:shd w:val="clear" w:color="auto" w:fill="auto"/>
            <w:noWrap/>
            <w:hideMark/>
          </w:tcPr>
          <w:p w14:paraId="4C679FA8" w14:textId="77777777" w:rsidR="00C34E1E" w:rsidRPr="009D5B83" w:rsidRDefault="00C34E1E" w:rsidP="00133B80">
            <w:pPr>
              <w:pStyle w:val="af3"/>
            </w:pPr>
            <w:r w:rsidRPr="009D5B83">
              <w:t>958,8</w:t>
            </w:r>
          </w:p>
        </w:tc>
        <w:tc>
          <w:tcPr>
            <w:tcW w:w="1276" w:type="dxa"/>
            <w:shd w:val="clear" w:color="auto" w:fill="auto"/>
            <w:noWrap/>
            <w:hideMark/>
          </w:tcPr>
          <w:p w14:paraId="3E64BF9B" w14:textId="77777777" w:rsidR="00C34E1E" w:rsidRPr="009D5B83" w:rsidRDefault="00C34E1E" w:rsidP="00133B80">
            <w:pPr>
              <w:pStyle w:val="af3"/>
            </w:pPr>
            <w:r w:rsidRPr="009D5B83">
              <w:t>1 051,2</w:t>
            </w:r>
          </w:p>
        </w:tc>
        <w:tc>
          <w:tcPr>
            <w:tcW w:w="1276" w:type="dxa"/>
            <w:shd w:val="clear" w:color="auto" w:fill="auto"/>
            <w:noWrap/>
            <w:hideMark/>
          </w:tcPr>
          <w:p w14:paraId="3A177367" w14:textId="77777777" w:rsidR="00C34E1E" w:rsidRPr="009D5B83" w:rsidRDefault="00C34E1E" w:rsidP="00133B80">
            <w:pPr>
              <w:pStyle w:val="af3"/>
            </w:pPr>
            <w:r w:rsidRPr="009D5B83">
              <w:t>1 198,4</w:t>
            </w:r>
          </w:p>
        </w:tc>
      </w:tr>
      <w:tr w:rsidR="00C34E1E" w:rsidRPr="009D5B83" w14:paraId="5B91E75E" w14:textId="77777777" w:rsidTr="00133B80">
        <w:trPr>
          <w:trHeight w:val="20"/>
          <w:jc w:val="center"/>
        </w:trPr>
        <w:tc>
          <w:tcPr>
            <w:tcW w:w="3864" w:type="dxa"/>
            <w:shd w:val="clear" w:color="auto" w:fill="auto"/>
            <w:vAlign w:val="center"/>
            <w:hideMark/>
          </w:tcPr>
          <w:p w14:paraId="5ED1792D" w14:textId="77777777" w:rsidR="00C34E1E" w:rsidRPr="009D5B83" w:rsidRDefault="00C34E1E" w:rsidP="00133B80">
            <w:pPr>
              <w:pStyle w:val="af2"/>
              <w:jc w:val="right"/>
              <w:rPr>
                <w:i/>
              </w:rPr>
            </w:pPr>
            <w:r w:rsidRPr="009D5B83">
              <w:rPr>
                <w:i/>
                <w:iCs/>
                <w:color w:val="000000"/>
              </w:rPr>
              <w:t>% ВВП</w:t>
            </w:r>
          </w:p>
        </w:tc>
        <w:tc>
          <w:tcPr>
            <w:tcW w:w="1254" w:type="dxa"/>
            <w:shd w:val="clear" w:color="auto" w:fill="auto"/>
            <w:noWrap/>
            <w:hideMark/>
          </w:tcPr>
          <w:p w14:paraId="25229535" w14:textId="77777777" w:rsidR="00C34E1E" w:rsidRPr="009D5B83" w:rsidRDefault="00C34E1E" w:rsidP="00133B80">
            <w:pPr>
              <w:pStyle w:val="af3"/>
              <w:rPr>
                <w:i/>
                <w:iCs/>
              </w:rPr>
            </w:pPr>
            <w:r w:rsidRPr="009D5B83">
              <w:rPr>
                <w:i/>
                <w:iCs/>
              </w:rPr>
              <w:t>0,88</w:t>
            </w:r>
          </w:p>
        </w:tc>
        <w:tc>
          <w:tcPr>
            <w:tcW w:w="1276" w:type="dxa"/>
            <w:shd w:val="clear" w:color="auto" w:fill="auto"/>
            <w:noWrap/>
            <w:hideMark/>
          </w:tcPr>
          <w:p w14:paraId="3AC2CE46" w14:textId="77777777" w:rsidR="00C34E1E" w:rsidRPr="009D5B83" w:rsidRDefault="00C34E1E" w:rsidP="00133B80">
            <w:pPr>
              <w:pStyle w:val="af3"/>
              <w:rPr>
                <w:i/>
                <w:iCs/>
              </w:rPr>
            </w:pPr>
            <w:r w:rsidRPr="009D5B83">
              <w:rPr>
                <w:i/>
                <w:iCs/>
              </w:rPr>
              <w:t>0,64</w:t>
            </w:r>
          </w:p>
        </w:tc>
        <w:tc>
          <w:tcPr>
            <w:tcW w:w="1276" w:type="dxa"/>
            <w:shd w:val="clear" w:color="auto" w:fill="auto"/>
            <w:noWrap/>
            <w:hideMark/>
          </w:tcPr>
          <w:p w14:paraId="5E7019DC" w14:textId="77777777" w:rsidR="00C34E1E" w:rsidRPr="009D5B83" w:rsidRDefault="00C34E1E" w:rsidP="00133B80">
            <w:pPr>
              <w:pStyle w:val="af3"/>
              <w:rPr>
                <w:i/>
                <w:iCs/>
              </w:rPr>
            </w:pPr>
            <w:r w:rsidRPr="009D5B83">
              <w:rPr>
                <w:i/>
                <w:iCs/>
              </w:rPr>
              <w:t>0,66</w:t>
            </w:r>
          </w:p>
        </w:tc>
        <w:tc>
          <w:tcPr>
            <w:tcW w:w="1276" w:type="dxa"/>
            <w:shd w:val="clear" w:color="auto" w:fill="auto"/>
            <w:noWrap/>
            <w:hideMark/>
          </w:tcPr>
          <w:p w14:paraId="0D9D033D" w14:textId="77777777" w:rsidR="00C34E1E" w:rsidRPr="009D5B83" w:rsidRDefault="00C34E1E" w:rsidP="00133B80">
            <w:pPr>
              <w:pStyle w:val="af3"/>
              <w:rPr>
                <w:i/>
                <w:iCs/>
              </w:rPr>
            </w:pPr>
            <w:r w:rsidRPr="009D5B83">
              <w:rPr>
                <w:i/>
                <w:iCs/>
              </w:rPr>
              <w:t>0,70</w:t>
            </w:r>
          </w:p>
        </w:tc>
      </w:tr>
      <w:tr w:rsidR="00C34E1E" w:rsidRPr="009D5B83" w14:paraId="6AC9F72E" w14:textId="77777777" w:rsidTr="00133B80">
        <w:trPr>
          <w:trHeight w:val="20"/>
          <w:jc w:val="center"/>
        </w:trPr>
        <w:tc>
          <w:tcPr>
            <w:tcW w:w="3864" w:type="dxa"/>
            <w:shd w:val="clear" w:color="auto" w:fill="auto"/>
            <w:vAlign w:val="center"/>
            <w:hideMark/>
          </w:tcPr>
          <w:p w14:paraId="0765E16F" w14:textId="77777777" w:rsidR="00C34E1E" w:rsidRPr="009D5B83" w:rsidRDefault="00C34E1E" w:rsidP="00133B80">
            <w:pPr>
              <w:pStyle w:val="af2"/>
              <w:jc w:val="right"/>
              <w:rPr>
                <w:i/>
              </w:rPr>
            </w:pPr>
            <w:r w:rsidRPr="009D5B83">
              <w:rPr>
                <w:i/>
                <w:iCs/>
                <w:color w:val="000000"/>
              </w:rPr>
              <w:t>доля в общем объеме расходов, %</w:t>
            </w:r>
          </w:p>
        </w:tc>
        <w:tc>
          <w:tcPr>
            <w:tcW w:w="1254" w:type="dxa"/>
            <w:shd w:val="clear" w:color="auto" w:fill="auto"/>
            <w:noWrap/>
            <w:hideMark/>
          </w:tcPr>
          <w:p w14:paraId="6A862275" w14:textId="77777777" w:rsidR="00C34E1E" w:rsidRPr="009D5B83" w:rsidRDefault="00C34E1E" w:rsidP="00133B80">
            <w:pPr>
              <w:pStyle w:val="af3"/>
              <w:rPr>
                <w:i/>
                <w:iCs/>
              </w:rPr>
            </w:pPr>
            <w:r w:rsidRPr="009D5B83">
              <w:rPr>
                <w:i/>
                <w:iCs/>
              </w:rPr>
              <w:t>4,67</w:t>
            </w:r>
          </w:p>
        </w:tc>
        <w:tc>
          <w:tcPr>
            <w:tcW w:w="1276" w:type="dxa"/>
            <w:shd w:val="clear" w:color="auto" w:fill="auto"/>
            <w:noWrap/>
            <w:hideMark/>
          </w:tcPr>
          <w:p w14:paraId="36E4D91E" w14:textId="77777777" w:rsidR="00C34E1E" w:rsidRPr="009D5B83" w:rsidRDefault="00C34E1E" w:rsidP="00133B80">
            <w:pPr>
              <w:pStyle w:val="af3"/>
              <w:rPr>
                <w:i/>
                <w:iCs/>
              </w:rPr>
            </w:pPr>
            <w:r w:rsidRPr="009D5B83">
              <w:rPr>
                <w:i/>
                <w:iCs/>
              </w:rPr>
              <w:t>3,30</w:t>
            </w:r>
          </w:p>
        </w:tc>
        <w:tc>
          <w:tcPr>
            <w:tcW w:w="1276" w:type="dxa"/>
            <w:shd w:val="clear" w:color="auto" w:fill="auto"/>
            <w:noWrap/>
            <w:hideMark/>
          </w:tcPr>
          <w:p w14:paraId="046A1BFC" w14:textId="77777777" w:rsidR="00C34E1E" w:rsidRPr="009D5B83" w:rsidRDefault="00C34E1E" w:rsidP="00133B80">
            <w:pPr>
              <w:pStyle w:val="af3"/>
              <w:rPr>
                <w:i/>
                <w:iCs/>
              </w:rPr>
            </w:pPr>
            <w:r w:rsidRPr="009D5B83">
              <w:rPr>
                <w:i/>
                <w:iCs/>
              </w:rPr>
              <w:t>3,57</w:t>
            </w:r>
          </w:p>
        </w:tc>
        <w:tc>
          <w:tcPr>
            <w:tcW w:w="1276" w:type="dxa"/>
            <w:shd w:val="clear" w:color="auto" w:fill="auto"/>
            <w:noWrap/>
            <w:hideMark/>
          </w:tcPr>
          <w:p w14:paraId="75C03BFB" w14:textId="77777777" w:rsidR="00C34E1E" w:rsidRPr="009D5B83" w:rsidRDefault="00C34E1E" w:rsidP="00133B80">
            <w:pPr>
              <w:pStyle w:val="af3"/>
              <w:rPr>
                <w:i/>
                <w:iCs/>
              </w:rPr>
            </w:pPr>
            <w:r w:rsidRPr="009D5B83">
              <w:rPr>
                <w:i/>
                <w:iCs/>
              </w:rPr>
              <w:t>4,10</w:t>
            </w:r>
          </w:p>
        </w:tc>
      </w:tr>
      <w:tr w:rsidR="00C34E1E" w:rsidRPr="009D5B83" w14:paraId="0DC0F972" w14:textId="77777777" w:rsidTr="00133B80">
        <w:trPr>
          <w:trHeight w:val="20"/>
          <w:jc w:val="center"/>
        </w:trPr>
        <w:tc>
          <w:tcPr>
            <w:tcW w:w="3864" w:type="dxa"/>
            <w:shd w:val="clear" w:color="auto" w:fill="auto"/>
            <w:vAlign w:val="center"/>
            <w:hideMark/>
          </w:tcPr>
          <w:p w14:paraId="611C883C" w14:textId="77777777" w:rsidR="00C34E1E" w:rsidRPr="009D5B83" w:rsidRDefault="00C34E1E" w:rsidP="00133B80">
            <w:pPr>
              <w:pStyle w:val="af2"/>
            </w:pPr>
            <w:r w:rsidRPr="009D5B83">
              <w:rPr>
                <w:color w:val="000000"/>
              </w:rPr>
              <w:t xml:space="preserve">Связь и информатика, </w:t>
            </w:r>
            <w:proofErr w:type="gramStart"/>
            <w:r w:rsidRPr="009D5B83">
              <w:rPr>
                <w:color w:val="000000"/>
              </w:rPr>
              <w:t>млрд</w:t>
            </w:r>
            <w:proofErr w:type="gramEnd"/>
            <w:r w:rsidRPr="009D5B83">
              <w:rPr>
                <w:color w:val="000000"/>
              </w:rPr>
              <w:t xml:space="preserve"> руб.</w:t>
            </w:r>
          </w:p>
        </w:tc>
        <w:tc>
          <w:tcPr>
            <w:tcW w:w="1254" w:type="dxa"/>
            <w:shd w:val="clear" w:color="auto" w:fill="auto"/>
            <w:noWrap/>
            <w:hideMark/>
          </w:tcPr>
          <w:p w14:paraId="1EA34EA0" w14:textId="77777777" w:rsidR="00C34E1E" w:rsidRPr="009D5B83" w:rsidRDefault="00C34E1E" w:rsidP="00133B80">
            <w:pPr>
              <w:pStyle w:val="af3"/>
            </w:pPr>
            <w:r w:rsidRPr="009D5B83">
              <w:t>201,5</w:t>
            </w:r>
          </w:p>
        </w:tc>
        <w:tc>
          <w:tcPr>
            <w:tcW w:w="1276" w:type="dxa"/>
            <w:shd w:val="clear" w:color="auto" w:fill="auto"/>
            <w:noWrap/>
            <w:hideMark/>
          </w:tcPr>
          <w:p w14:paraId="7A0C0805" w14:textId="77777777" w:rsidR="00C34E1E" w:rsidRPr="009D5B83" w:rsidRDefault="00C34E1E" w:rsidP="00133B80">
            <w:pPr>
              <w:pStyle w:val="af3"/>
            </w:pPr>
            <w:r w:rsidRPr="009D5B83">
              <w:t>107,3</w:t>
            </w:r>
          </w:p>
        </w:tc>
        <w:tc>
          <w:tcPr>
            <w:tcW w:w="1276" w:type="dxa"/>
            <w:shd w:val="clear" w:color="auto" w:fill="auto"/>
            <w:noWrap/>
            <w:hideMark/>
          </w:tcPr>
          <w:p w14:paraId="3A9C94FD" w14:textId="77777777" w:rsidR="00C34E1E" w:rsidRPr="009D5B83" w:rsidRDefault="00C34E1E" w:rsidP="00133B80">
            <w:pPr>
              <w:pStyle w:val="af3"/>
            </w:pPr>
            <w:r w:rsidRPr="009D5B83">
              <w:t>105,7</w:t>
            </w:r>
          </w:p>
        </w:tc>
        <w:tc>
          <w:tcPr>
            <w:tcW w:w="1276" w:type="dxa"/>
            <w:shd w:val="clear" w:color="auto" w:fill="auto"/>
            <w:noWrap/>
            <w:hideMark/>
          </w:tcPr>
          <w:p w14:paraId="240C7A6A" w14:textId="77777777" w:rsidR="00C34E1E" w:rsidRPr="009D5B83" w:rsidRDefault="00C34E1E" w:rsidP="00133B80">
            <w:pPr>
              <w:pStyle w:val="af3"/>
            </w:pPr>
            <w:r w:rsidRPr="009D5B83">
              <w:t>57,8</w:t>
            </w:r>
          </w:p>
        </w:tc>
      </w:tr>
      <w:tr w:rsidR="00C34E1E" w:rsidRPr="009D5B83" w14:paraId="0A3BBDBD" w14:textId="77777777" w:rsidTr="00133B80">
        <w:trPr>
          <w:trHeight w:val="20"/>
          <w:jc w:val="center"/>
        </w:trPr>
        <w:tc>
          <w:tcPr>
            <w:tcW w:w="3864" w:type="dxa"/>
            <w:shd w:val="clear" w:color="auto" w:fill="auto"/>
            <w:vAlign w:val="center"/>
            <w:hideMark/>
          </w:tcPr>
          <w:p w14:paraId="3F2E4216" w14:textId="77777777" w:rsidR="00C34E1E" w:rsidRPr="009D5B83" w:rsidRDefault="00C34E1E" w:rsidP="00133B80">
            <w:pPr>
              <w:pStyle w:val="af2"/>
              <w:jc w:val="right"/>
              <w:rPr>
                <w:i/>
              </w:rPr>
            </w:pPr>
            <w:r w:rsidRPr="009D5B83">
              <w:rPr>
                <w:i/>
                <w:iCs/>
                <w:color w:val="000000"/>
              </w:rPr>
              <w:t>% ВВП</w:t>
            </w:r>
          </w:p>
        </w:tc>
        <w:tc>
          <w:tcPr>
            <w:tcW w:w="1254" w:type="dxa"/>
            <w:shd w:val="clear" w:color="auto" w:fill="auto"/>
            <w:noWrap/>
            <w:hideMark/>
          </w:tcPr>
          <w:p w14:paraId="6CAA1E41" w14:textId="77777777" w:rsidR="00C34E1E" w:rsidRPr="009D5B83" w:rsidRDefault="00C34E1E" w:rsidP="00133B80">
            <w:pPr>
              <w:pStyle w:val="af3"/>
              <w:rPr>
                <w:i/>
                <w:iCs/>
              </w:rPr>
            </w:pPr>
            <w:r w:rsidRPr="009D5B83">
              <w:rPr>
                <w:i/>
                <w:iCs/>
              </w:rPr>
              <w:t>0,14</w:t>
            </w:r>
          </w:p>
        </w:tc>
        <w:tc>
          <w:tcPr>
            <w:tcW w:w="1276" w:type="dxa"/>
            <w:shd w:val="clear" w:color="auto" w:fill="auto"/>
            <w:noWrap/>
            <w:hideMark/>
          </w:tcPr>
          <w:p w14:paraId="5557A2C4" w14:textId="77777777" w:rsidR="00C34E1E" w:rsidRPr="009D5B83" w:rsidRDefault="00C34E1E" w:rsidP="00133B80">
            <w:pPr>
              <w:pStyle w:val="af3"/>
              <w:rPr>
                <w:i/>
                <w:iCs/>
              </w:rPr>
            </w:pPr>
            <w:r w:rsidRPr="009D5B83">
              <w:rPr>
                <w:i/>
                <w:iCs/>
              </w:rPr>
              <w:t>0,07</w:t>
            </w:r>
          </w:p>
        </w:tc>
        <w:tc>
          <w:tcPr>
            <w:tcW w:w="1276" w:type="dxa"/>
            <w:shd w:val="clear" w:color="auto" w:fill="auto"/>
            <w:noWrap/>
            <w:hideMark/>
          </w:tcPr>
          <w:p w14:paraId="1E0C1C7C" w14:textId="77777777" w:rsidR="00C34E1E" w:rsidRPr="009D5B83" w:rsidRDefault="00C34E1E" w:rsidP="00133B80">
            <w:pPr>
              <w:pStyle w:val="af3"/>
              <w:rPr>
                <w:i/>
                <w:iCs/>
              </w:rPr>
            </w:pPr>
            <w:r w:rsidRPr="009D5B83">
              <w:rPr>
                <w:i/>
                <w:iCs/>
              </w:rPr>
              <w:t>0,07</w:t>
            </w:r>
          </w:p>
        </w:tc>
        <w:tc>
          <w:tcPr>
            <w:tcW w:w="1276" w:type="dxa"/>
            <w:shd w:val="clear" w:color="auto" w:fill="auto"/>
            <w:noWrap/>
            <w:hideMark/>
          </w:tcPr>
          <w:p w14:paraId="51AD8E5F" w14:textId="77777777" w:rsidR="00C34E1E" w:rsidRPr="009D5B83" w:rsidRDefault="00C34E1E" w:rsidP="00133B80">
            <w:pPr>
              <w:pStyle w:val="af3"/>
              <w:rPr>
                <w:i/>
                <w:iCs/>
              </w:rPr>
            </w:pPr>
            <w:r w:rsidRPr="009D5B83">
              <w:rPr>
                <w:i/>
                <w:iCs/>
              </w:rPr>
              <w:t>0,03</w:t>
            </w:r>
          </w:p>
        </w:tc>
      </w:tr>
      <w:tr w:rsidR="00C34E1E" w:rsidRPr="009D5B83" w14:paraId="754300BD" w14:textId="77777777" w:rsidTr="00133B80">
        <w:trPr>
          <w:trHeight w:val="20"/>
          <w:jc w:val="center"/>
        </w:trPr>
        <w:tc>
          <w:tcPr>
            <w:tcW w:w="3864" w:type="dxa"/>
            <w:shd w:val="clear" w:color="auto" w:fill="auto"/>
            <w:vAlign w:val="center"/>
            <w:hideMark/>
          </w:tcPr>
          <w:p w14:paraId="30EAAC5D" w14:textId="77777777" w:rsidR="00C34E1E" w:rsidRPr="009D5B83" w:rsidRDefault="00C34E1E" w:rsidP="00133B80">
            <w:pPr>
              <w:pStyle w:val="af2"/>
              <w:jc w:val="right"/>
              <w:rPr>
                <w:i/>
              </w:rPr>
            </w:pPr>
            <w:r w:rsidRPr="009D5B83">
              <w:rPr>
                <w:i/>
                <w:iCs/>
                <w:color w:val="000000"/>
              </w:rPr>
              <w:t>доля в общем объеме расходов, %</w:t>
            </w:r>
          </w:p>
        </w:tc>
        <w:tc>
          <w:tcPr>
            <w:tcW w:w="1254" w:type="dxa"/>
            <w:shd w:val="clear" w:color="auto" w:fill="auto"/>
            <w:noWrap/>
            <w:hideMark/>
          </w:tcPr>
          <w:p w14:paraId="35E3482C" w14:textId="77777777" w:rsidR="00C34E1E" w:rsidRPr="009D5B83" w:rsidRDefault="00C34E1E" w:rsidP="00133B80">
            <w:pPr>
              <w:pStyle w:val="af3"/>
              <w:rPr>
                <w:i/>
                <w:iCs/>
              </w:rPr>
            </w:pPr>
            <w:r w:rsidRPr="009D5B83">
              <w:rPr>
                <w:i/>
                <w:iCs/>
              </w:rPr>
              <w:t>0,73</w:t>
            </w:r>
          </w:p>
        </w:tc>
        <w:tc>
          <w:tcPr>
            <w:tcW w:w="1276" w:type="dxa"/>
            <w:shd w:val="clear" w:color="auto" w:fill="auto"/>
            <w:noWrap/>
            <w:hideMark/>
          </w:tcPr>
          <w:p w14:paraId="6B549866" w14:textId="77777777" w:rsidR="00C34E1E" w:rsidRPr="009D5B83" w:rsidRDefault="00C34E1E" w:rsidP="00133B80">
            <w:pPr>
              <w:pStyle w:val="af3"/>
              <w:rPr>
                <w:i/>
                <w:iCs/>
              </w:rPr>
            </w:pPr>
            <w:r w:rsidRPr="009D5B83">
              <w:rPr>
                <w:i/>
                <w:iCs/>
              </w:rPr>
              <w:t>0,37</w:t>
            </w:r>
          </w:p>
        </w:tc>
        <w:tc>
          <w:tcPr>
            <w:tcW w:w="1276" w:type="dxa"/>
            <w:shd w:val="clear" w:color="auto" w:fill="auto"/>
            <w:noWrap/>
            <w:hideMark/>
          </w:tcPr>
          <w:p w14:paraId="276767C9" w14:textId="77777777" w:rsidR="00C34E1E" w:rsidRPr="009D5B83" w:rsidRDefault="00C34E1E" w:rsidP="00133B80">
            <w:pPr>
              <w:pStyle w:val="af3"/>
              <w:rPr>
                <w:i/>
                <w:iCs/>
              </w:rPr>
            </w:pPr>
            <w:r w:rsidRPr="009D5B83">
              <w:rPr>
                <w:i/>
                <w:iCs/>
              </w:rPr>
              <w:t>0,36</w:t>
            </w:r>
          </w:p>
        </w:tc>
        <w:tc>
          <w:tcPr>
            <w:tcW w:w="1276" w:type="dxa"/>
            <w:shd w:val="clear" w:color="auto" w:fill="auto"/>
            <w:noWrap/>
            <w:hideMark/>
          </w:tcPr>
          <w:p w14:paraId="45053EB2" w14:textId="77777777" w:rsidR="00C34E1E" w:rsidRPr="009D5B83" w:rsidRDefault="00C34E1E" w:rsidP="00133B80">
            <w:pPr>
              <w:pStyle w:val="af3"/>
              <w:rPr>
                <w:i/>
                <w:iCs/>
              </w:rPr>
            </w:pPr>
            <w:r w:rsidRPr="009D5B83">
              <w:rPr>
                <w:i/>
                <w:iCs/>
              </w:rPr>
              <w:t>0,20</w:t>
            </w:r>
          </w:p>
        </w:tc>
      </w:tr>
      <w:tr w:rsidR="00C34E1E" w:rsidRPr="009D5B83" w14:paraId="6F740FF6" w14:textId="77777777" w:rsidTr="00133B80">
        <w:trPr>
          <w:trHeight w:val="20"/>
          <w:jc w:val="center"/>
        </w:trPr>
        <w:tc>
          <w:tcPr>
            <w:tcW w:w="3864" w:type="dxa"/>
            <w:shd w:val="clear" w:color="auto" w:fill="auto"/>
            <w:vAlign w:val="center"/>
            <w:hideMark/>
          </w:tcPr>
          <w:p w14:paraId="268036D7" w14:textId="77777777" w:rsidR="00C34E1E" w:rsidRPr="009D5B83" w:rsidRDefault="00C34E1E" w:rsidP="00133B80">
            <w:pPr>
              <w:pStyle w:val="af2"/>
              <w:rPr>
                <w:b/>
              </w:rPr>
            </w:pPr>
            <w:r w:rsidRPr="009D5B83">
              <w:rPr>
                <w:b/>
                <w:color w:val="000000"/>
              </w:rPr>
              <w:t xml:space="preserve">ВСЕГО, </w:t>
            </w:r>
            <w:proofErr w:type="gramStart"/>
            <w:r w:rsidRPr="009D5B83">
              <w:rPr>
                <w:b/>
                <w:color w:val="000000"/>
              </w:rPr>
              <w:t>млрд</w:t>
            </w:r>
            <w:proofErr w:type="gramEnd"/>
            <w:r w:rsidRPr="009D5B83">
              <w:rPr>
                <w:b/>
                <w:color w:val="000000"/>
              </w:rPr>
              <w:t xml:space="preserve"> руб.</w:t>
            </w:r>
          </w:p>
        </w:tc>
        <w:tc>
          <w:tcPr>
            <w:tcW w:w="1254" w:type="dxa"/>
            <w:shd w:val="clear" w:color="auto" w:fill="auto"/>
            <w:noWrap/>
            <w:hideMark/>
          </w:tcPr>
          <w:p w14:paraId="1FC4AA67" w14:textId="77777777" w:rsidR="00C34E1E" w:rsidRPr="009D5B83" w:rsidRDefault="00C34E1E" w:rsidP="00133B80">
            <w:pPr>
              <w:pStyle w:val="af3"/>
              <w:rPr>
                <w:b/>
                <w:bCs/>
              </w:rPr>
            </w:pPr>
            <w:r w:rsidRPr="009D5B83">
              <w:rPr>
                <w:b/>
                <w:bCs/>
              </w:rPr>
              <w:t>2 000,9</w:t>
            </w:r>
          </w:p>
        </w:tc>
        <w:tc>
          <w:tcPr>
            <w:tcW w:w="1276" w:type="dxa"/>
            <w:shd w:val="clear" w:color="auto" w:fill="auto"/>
            <w:noWrap/>
            <w:hideMark/>
          </w:tcPr>
          <w:p w14:paraId="56C9F228" w14:textId="77777777" w:rsidR="00C34E1E" w:rsidRPr="009D5B83" w:rsidRDefault="00C34E1E" w:rsidP="00133B80">
            <w:pPr>
              <w:pStyle w:val="af3"/>
              <w:rPr>
                <w:b/>
                <w:bCs/>
              </w:rPr>
            </w:pPr>
            <w:r w:rsidRPr="009D5B83">
              <w:rPr>
                <w:b/>
                <w:bCs/>
              </w:rPr>
              <w:t>1 531,7</w:t>
            </w:r>
          </w:p>
        </w:tc>
        <w:tc>
          <w:tcPr>
            <w:tcW w:w="1276" w:type="dxa"/>
            <w:shd w:val="clear" w:color="auto" w:fill="auto"/>
            <w:noWrap/>
            <w:hideMark/>
          </w:tcPr>
          <w:p w14:paraId="1C5BBFFA" w14:textId="77777777" w:rsidR="00C34E1E" w:rsidRPr="009D5B83" w:rsidRDefault="00C34E1E" w:rsidP="00133B80">
            <w:pPr>
              <w:pStyle w:val="af3"/>
              <w:rPr>
                <w:b/>
                <w:bCs/>
              </w:rPr>
            </w:pPr>
            <w:r w:rsidRPr="009D5B83">
              <w:rPr>
                <w:b/>
                <w:bCs/>
              </w:rPr>
              <w:t>1 532,1</w:t>
            </w:r>
          </w:p>
        </w:tc>
        <w:tc>
          <w:tcPr>
            <w:tcW w:w="1276" w:type="dxa"/>
            <w:shd w:val="clear" w:color="auto" w:fill="auto"/>
            <w:noWrap/>
            <w:hideMark/>
          </w:tcPr>
          <w:p w14:paraId="06E08C53" w14:textId="77777777" w:rsidR="00C34E1E" w:rsidRPr="009D5B83" w:rsidRDefault="00C34E1E" w:rsidP="00133B80">
            <w:pPr>
              <w:pStyle w:val="af3"/>
              <w:rPr>
                <w:b/>
                <w:bCs/>
              </w:rPr>
            </w:pPr>
            <w:r w:rsidRPr="009D5B83">
              <w:rPr>
                <w:b/>
                <w:bCs/>
              </w:rPr>
              <w:t>1 584,7</w:t>
            </w:r>
          </w:p>
        </w:tc>
      </w:tr>
      <w:tr w:rsidR="00C34E1E" w:rsidRPr="009D5B83" w14:paraId="382A70A4" w14:textId="77777777" w:rsidTr="00133B80">
        <w:trPr>
          <w:trHeight w:val="20"/>
          <w:jc w:val="center"/>
        </w:trPr>
        <w:tc>
          <w:tcPr>
            <w:tcW w:w="3864" w:type="dxa"/>
            <w:shd w:val="clear" w:color="auto" w:fill="auto"/>
            <w:vAlign w:val="center"/>
            <w:hideMark/>
          </w:tcPr>
          <w:p w14:paraId="529538F7" w14:textId="77777777" w:rsidR="00C34E1E" w:rsidRPr="009D5B83" w:rsidRDefault="00C34E1E" w:rsidP="00133B80">
            <w:pPr>
              <w:pStyle w:val="af2"/>
              <w:jc w:val="right"/>
              <w:rPr>
                <w:i/>
              </w:rPr>
            </w:pPr>
            <w:r w:rsidRPr="009D5B83">
              <w:rPr>
                <w:i/>
                <w:iCs/>
                <w:color w:val="000000"/>
              </w:rPr>
              <w:t>% ВВП</w:t>
            </w:r>
          </w:p>
        </w:tc>
        <w:tc>
          <w:tcPr>
            <w:tcW w:w="1254" w:type="dxa"/>
            <w:shd w:val="clear" w:color="auto" w:fill="auto"/>
            <w:noWrap/>
            <w:hideMark/>
          </w:tcPr>
          <w:p w14:paraId="41B74B73" w14:textId="77777777" w:rsidR="00C34E1E" w:rsidRPr="009D5B83" w:rsidRDefault="00C34E1E" w:rsidP="00133B80">
            <w:pPr>
              <w:pStyle w:val="af3"/>
              <w:rPr>
                <w:i/>
                <w:iCs/>
              </w:rPr>
            </w:pPr>
            <w:r w:rsidRPr="009D5B83">
              <w:rPr>
                <w:i/>
                <w:iCs/>
              </w:rPr>
              <w:t>1,37</w:t>
            </w:r>
          </w:p>
        </w:tc>
        <w:tc>
          <w:tcPr>
            <w:tcW w:w="1276" w:type="dxa"/>
            <w:shd w:val="clear" w:color="auto" w:fill="auto"/>
            <w:noWrap/>
            <w:hideMark/>
          </w:tcPr>
          <w:p w14:paraId="2FD64DF3" w14:textId="77777777" w:rsidR="00C34E1E" w:rsidRPr="009D5B83" w:rsidRDefault="00C34E1E" w:rsidP="00133B80">
            <w:pPr>
              <w:pStyle w:val="af3"/>
              <w:rPr>
                <w:i/>
                <w:iCs/>
              </w:rPr>
            </w:pPr>
            <w:r w:rsidRPr="009D5B83">
              <w:rPr>
                <w:i/>
                <w:iCs/>
              </w:rPr>
              <w:t>1,02</w:t>
            </w:r>
          </w:p>
        </w:tc>
        <w:tc>
          <w:tcPr>
            <w:tcW w:w="1276" w:type="dxa"/>
            <w:shd w:val="clear" w:color="auto" w:fill="auto"/>
            <w:noWrap/>
            <w:hideMark/>
          </w:tcPr>
          <w:p w14:paraId="4B792E94" w14:textId="77777777" w:rsidR="00C34E1E" w:rsidRPr="009D5B83" w:rsidRDefault="00C34E1E" w:rsidP="00133B80">
            <w:pPr>
              <w:pStyle w:val="af3"/>
              <w:rPr>
                <w:i/>
                <w:iCs/>
              </w:rPr>
            </w:pPr>
            <w:r w:rsidRPr="009D5B83">
              <w:rPr>
                <w:i/>
                <w:iCs/>
              </w:rPr>
              <w:t>0,96</w:t>
            </w:r>
          </w:p>
        </w:tc>
        <w:tc>
          <w:tcPr>
            <w:tcW w:w="1276" w:type="dxa"/>
            <w:shd w:val="clear" w:color="auto" w:fill="auto"/>
            <w:noWrap/>
            <w:hideMark/>
          </w:tcPr>
          <w:p w14:paraId="02FCD2AA" w14:textId="77777777" w:rsidR="00C34E1E" w:rsidRPr="009D5B83" w:rsidRDefault="00C34E1E" w:rsidP="00133B80">
            <w:pPr>
              <w:pStyle w:val="af3"/>
              <w:rPr>
                <w:i/>
                <w:iCs/>
              </w:rPr>
            </w:pPr>
            <w:r w:rsidRPr="009D5B83">
              <w:rPr>
                <w:i/>
                <w:iCs/>
              </w:rPr>
              <w:t>0,93</w:t>
            </w:r>
          </w:p>
        </w:tc>
      </w:tr>
      <w:tr w:rsidR="00C34E1E" w:rsidRPr="009D5B83" w14:paraId="12381E18" w14:textId="77777777" w:rsidTr="00133B80">
        <w:trPr>
          <w:trHeight w:val="20"/>
          <w:jc w:val="center"/>
        </w:trPr>
        <w:tc>
          <w:tcPr>
            <w:tcW w:w="3864" w:type="dxa"/>
            <w:shd w:val="clear" w:color="auto" w:fill="auto"/>
            <w:vAlign w:val="center"/>
            <w:hideMark/>
          </w:tcPr>
          <w:p w14:paraId="4F3015DA" w14:textId="77777777" w:rsidR="00C34E1E" w:rsidRPr="009D5B83" w:rsidRDefault="00C34E1E" w:rsidP="00133B80">
            <w:pPr>
              <w:pStyle w:val="af2"/>
              <w:jc w:val="right"/>
              <w:rPr>
                <w:i/>
              </w:rPr>
            </w:pPr>
            <w:r w:rsidRPr="009D5B83">
              <w:rPr>
                <w:i/>
                <w:iCs/>
                <w:color w:val="000000"/>
              </w:rPr>
              <w:t>доля в общем объеме расходов, %</w:t>
            </w:r>
          </w:p>
        </w:tc>
        <w:tc>
          <w:tcPr>
            <w:tcW w:w="1254" w:type="dxa"/>
            <w:shd w:val="clear" w:color="auto" w:fill="auto"/>
            <w:noWrap/>
            <w:hideMark/>
          </w:tcPr>
          <w:p w14:paraId="02C3279D" w14:textId="77777777" w:rsidR="00C34E1E" w:rsidRPr="009D5B83" w:rsidRDefault="00C34E1E" w:rsidP="00133B80">
            <w:pPr>
              <w:pStyle w:val="af3"/>
              <w:rPr>
                <w:i/>
                <w:iCs/>
              </w:rPr>
            </w:pPr>
            <w:r w:rsidRPr="009D5B83">
              <w:rPr>
                <w:i/>
                <w:iCs/>
              </w:rPr>
              <w:t>7,25</w:t>
            </w:r>
          </w:p>
        </w:tc>
        <w:tc>
          <w:tcPr>
            <w:tcW w:w="1276" w:type="dxa"/>
            <w:shd w:val="clear" w:color="auto" w:fill="auto"/>
            <w:noWrap/>
            <w:hideMark/>
          </w:tcPr>
          <w:p w14:paraId="13D3563B" w14:textId="77777777" w:rsidR="00C34E1E" w:rsidRPr="009D5B83" w:rsidRDefault="00C34E1E" w:rsidP="00133B80">
            <w:pPr>
              <w:pStyle w:val="af3"/>
              <w:rPr>
                <w:i/>
                <w:iCs/>
              </w:rPr>
            </w:pPr>
            <w:r w:rsidRPr="009D5B83">
              <w:rPr>
                <w:i/>
                <w:iCs/>
              </w:rPr>
              <w:t>5,27</w:t>
            </w:r>
          </w:p>
        </w:tc>
        <w:tc>
          <w:tcPr>
            <w:tcW w:w="1276" w:type="dxa"/>
            <w:shd w:val="clear" w:color="auto" w:fill="auto"/>
            <w:noWrap/>
            <w:hideMark/>
          </w:tcPr>
          <w:p w14:paraId="2D9FBEA6" w14:textId="77777777" w:rsidR="00C34E1E" w:rsidRPr="009D5B83" w:rsidRDefault="00C34E1E" w:rsidP="00133B80">
            <w:pPr>
              <w:pStyle w:val="af3"/>
              <w:rPr>
                <w:i/>
                <w:iCs/>
              </w:rPr>
            </w:pPr>
            <w:r w:rsidRPr="009D5B83">
              <w:rPr>
                <w:i/>
                <w:iCs/>
              </w:rPr>
              <w:t>5,21</w:t>
            </w:r>
          </w:p>
        </w:tc>
        <w:tc>
          <w:tcPr>
            <w:tcW w:w="1276" w:type="dxa"/>
            <w:shd w:val="clear" w:color="auto" w:fill="auto"/>
            <w:noWrap/>
            <w:hideMark/>
          </w:tcPr>
          <w:p w14:paraId="6461AD09" w14:textId="77777777" w:rsidR="00C34E1E" w:rsidRPr="009D5B83" w:rsidRDefault="00C34E1E" w:rsidP="00133B80">
            <w:pPr>
              <w:pStyle w:val="af3"/>
              <w:rPr>
                <w:i/>
                <w:iCs/>
              </w:rPr>
            </w:pPr>
            <w:r w:rsidRPr="009D5B83">
              <w:rPr>
                <w:i/>
                <w:iCs/>
              </w:rPr>
              <w:t>5,42</w:t>
            </w:r>
          </w:p>
        </w:tc>
      </w:tr>
    </w:tbl>
    <w:p w14:paraId="0DE740CF" w14:textId="77777777" w:rsidR="00C34E1E" w:rsidRPr="009D5B83" w:rsidRDefault="00C34E1E" w:rsidP="00C34E1E">
      <w:pPr>
        <w:spacing w:after="60"/>
        <w:ind w:firstLine="709"/>
        <w:jc w:val="both"/>
        <w:rPr>
          <w:sz w:val="20"/>
        </w:rPr>
      </w:pPr>
      <w:r w:rsidRPr="009D5B83">
        <w:rPr>
          <w:i/>
          <w:sz w:val="20"/>
        </w:rPr>
        <w:t>Источник</w:t>
      </w:r>
      <w:r w:rsidRPr="009D5B83">
        <w:rPr>
          <w:sz w:val="20"/>
        </w:rPr>
        <w:t xml:space="preserve">: Приложение № 11 к Законопроекту. </w:t>
      </w:r>
    </w:p>
    <w:p w14:paraId="7BAE009D" w14:textId="09783F11" w:rsidR="00C34E1E" w:rsidRPr="00E103B9" w:rsidRDefault="00C34E1E" w:rsidP="00AA0954">
      <w:pPr>
        <w:spacing w:after="60"/>
        <w:ind w:firstLine="709"/>
        <w:jc w:val="both"/>
        <w:rPr>
          <w:sz w:val="28"/>
        </w:rPr>
      </w:pPr>
      <w:bookmarkStart w:id="27" w:name="_Hlk526757591"/>
      <w:proofErr w:type="gramStart"/>
      <w:r w:rsidRPr="00E103B9">
        <w:rPr>
          <w:sz w:val="28"/>
        </w:rPr>
        <w:t>Основное снижение расходов на инфраструктуру будет происходить в 2023 г. (на 23,5% по отношению к 2022 г.) и связано с существенным снижение расходов на связь и информатику, а также дорожное хозяйство по отношению к уровню 2022 г. В 2024 и 2025 годах предполагается незначительный рост совокупных расходов на инфраструктуру в номинальном выражение, однако динамика расходов по видам инфраструктуры будет разнонаправленной</w:t>
      </w:r>
      <w:proofErr w:type="gramEnd"/>
      <w:r w:rsidRPr="00E103B9">
        <w:rPr>
          <w:sz w:val="28"/>
        </w:rPr>
        <w:t xml:space="preserve">. Так, восстановительный рост </w:t>
      </w:r>
      <w:r w:rsidRPr="00E103B9">
        <w:rPr>
          <w:sz w:val="28"/>
        </w:rPr>
        <w:lastRenderedPageBreak/>
        <w:t xml:space="preserve">расходов в 2024 и 2025 гг. предполагается в сфере дорожного хозяйства (прирост на 9,6% и 14,0% соответственно), при этом расходы на связь и информатику в 2024 г. почти не изменятся к предыдущему года, а в 2025 г. снизятся на 45,4%. </w:t>
      </w:r>
    </w:p>
    <w:p w14:paraId="5D5A88CF" w14:textId="77777777" w:rsidR="00C34E1E" w:rsidRPr="00E103B9" w:rsidRDefault="00C34E1E" w:rsidP="00AA0954">
      <w:pPr>
        <w:spacing w:after="60"/>
        <w:ind w:firstLine="709"/>
        <w:jc w:val="both"/>
        <w:rPr>
          <w:sz w:val="28"/>
        </w:rPr>
      </w:pPr>
      <w:r w:rsidRPr="00E103B9">
        <w:rPr>
          <w:sz w:val="28"/>
        </w:rPr>
        <w:t xml:space="preserve">По итогам рассматриваемого периода предполагается снижение расходов на </w:t>
      </w:r>
      <w:proofErr w:type="gramStart"/>
      <w:r w:rsidRPr="00E103B9">
        <w:rPr>
          <w:sz w:val="28"/>
        </w:rPr>
        <w:t>инфраструктуру</w:t>
      </w:r>
      <w:proofErr w:type="gramEnd"/>
      <w:r w:rsidRPr="00E103B9">
        <w:rPr>
          <w:sz w:val="28"/>
        </w:rPr>
        <w:t xml:space="preserve"> как в долях ВВП, так и по доле в общем объеме расходов федерального бюджета, что связано с резким снижением номинальных расходов в 2023 г. и, как следствие, снижением обеих долей (более чем на 20%) с последующим </w:t>
      </w:r>
      <w:proofErr w:type="spellStart"/>
      <w:r w:rsidRPr="00E103B9">
        <w:rPr>
          <w:sz w:val="28"/>
        </w:rPr>
        <w:t>околонулевым</w:t>
      </w:r>
      <w:proofErr w:type="spellEnd"/>
      <w:r w:rsidRPr="00E103B9">
        <w:rPr>
          <w:sz w:val="28"/>
        </w:rPr>
        <w:t xml:space="preserve"> ростом в 2024 и 2025 гг. В 2025 г. доля инфраструктурных расходов в ВВП снизится на 32,2% (с 1,37 до 0,93% ВВП) по сравнению с 2022 г. </w:t>
      </w:r>
    </w:p>
    <w:p w14:paraId="753F5E1D" w14:textId="77777777" w:rsidR="00C34E1E" w:rsidRPr="00E103B9" w:rsidRDefault="00C34E1E" w:rsidP="00AA0954">
      <w:pPr>
        <w:spacing w:after="60"/>
        <w:ind w:firstLine="709"/>
        <w:jc w:val="both"/>
        <w:rPr>
          <w:sz w:val="28"/>
        </w:rPr>
      </w:pPr>
      <w:r w:rsidRPr="00E103B9">
        <w:rPr>
          <w:sz w:val="28"/>
        </w:rPr>
        <w:t>Таким образом, в 2023-2025 гг. запланировано сокращение инфраструктурных расходов на фоне роста ВВП и общего объема бюджетных расходов, п</w:t>
      </w:r>
      <w:bookmarkEnd w:id="27"/>
      <w:r w:rsidRPr="00E103B9">
        <w:rPr>
          <w:sz w:val="28"/>
        </w:rPr>
        <w:t>ри этом снижение расходов на инфраструктуру в сравнении с ростом номинальных расходов федерального бюджета к 2025 г. по отношению к 2022 г. запланировано по всем видам инфраструктуры.</w:t>
      </w:r>
    </w:p>
    <w:p w14:paraId="1B0A747A" w14:textId="77777777" w:rsidR="00C34E1E" w:rsidRPr="00E103B9" w:rsidRDefault="00C34E1E" w:rsidP="00AA0954">
      <w:pPr>
        <w:spacing w:after="60"/>
        <w:ind w:firstLine="709"/>
        <w:jc w:val="both"/>
        <w:rPr>
          <w:sz w:val="28"/>
        </w:rPr>
      </w:pPr>
      <w:r w:rsidRPr="00E103B9">
        <w:rPr>
          <w:sz w:val="28"/>
        </w:rPr>
        <w:t xml:space="preserve">Наибольшие вопросы с точки зрения относительных изменений вызывают расходы на связь и информатику, запланированное снижение которых в 2023 и 2025 г. на 46,8% и 45,4% г/г соответственно при отсутствии изменений в 2024 г. идет вразрез с решением высоко приоритетной задачи </w:t>
      </w:r>
      <w:proofErr w:type="spellStart"/>
      <w:r w:rsidRPr="00E103B9">
        <w:rPr>
          <w:sz w:val="28"/>
        </w:rPr>
        <w:t>цифровизации</w:t>
      </w:r>
      <w:proofErr w:type="spellEnd"/>
      <w:r w:rsidRPr="00E103B9">
        <w:rPr>
          <w:sz w:val="28"/>
        </w:rPr>
        <w:t xml:space="preserve"> российской экономики. </w:t>
      </w:r>
      <w:proofErr w:type="gramStart"/>
      <w:r w:rsidRPr="00E103B9">
        <w:rPr>
          <w:sz w:val="28"/>
        </w:rPr>
        <w:t xml:space="preserve">В условиях такого резкого снижения за рассматриваемый период в 2025 г. расходы федерального бюджета на связь и информатику в номинальном выражении сократятся на 71,3% к уровню 2022 г. при росте расходов федерального бюджета за аналогичный период на 5,9%. На наш взгляд, подобное сокращение может привести к заметному торможению достигнутых темпов </w:t>
      </w:r>
      <w:proofErr w:type="spellStart"/>
      <w:r w:rsidRPr="00E103B9">
        <w:rPr>
          <w:sz w:val="28"/>
        </w:rPr>
        <w:t>цифровизации</w:t>
      </w:r>
      <w:proofErr w:type="spellEnd"/>
      <w:r w:rsidRPr="00E103B9">
        <w:rPr>
          <w:sz w:val="28"/>
        </w:rPr>
        <w:t xml:space="preserve"> отраслей российской экономики.</w:t>
      </w:r>
      <w:proofErr w:type="gramEnd"/>
    </w:p>
    <w:p w14:paraId="7B231C32" w14:textId="77777777" w:rsidR="00C34E1E" w:rsidRPr="00E103B9" w:rsidRDefault="00C34E1E" w:rsidP="00AA0954">
      <w:pPr>
        <w:spacing w:after="60"/>
        <w:ind w:firstLine="709"/>
        <w:jc w:val="both"/>
        <w:rPr>
          <w:sz w:val="28"/>
        </w:rPr>
      </w:pPr>
      <w:r w:rsidRPr="00E103B9">
        <w:rPr>
          <w:sz w:val="28"/>
        </w:rPr>
        <w:t xml:space="preserve">На протяжении предстоящей трехлетки предполагается также непрерывно снижать расходы на транспорт (на 8,5%, 19,9%, 14,0% соответственно). </w:t>
      </w:r>
      <w:proofErr w:type="gramStart"/>
      <w:r w:rsidRPr="00E103B9">
        <w:rPr>
          <w:sz w:val="28"/>
        </w:rPr>
        <w:t xml:space="preserve">В результате в 2025 г. расходы на транспорт составят только 63% от уровня 2022 г., а их доля в общем объеме расходов федерального бюджета снизится на 40,5%. С учетом необходимости обеспечения </w:t>
      </w:r>
      <w:proofErr w:type="spellStart"/>
      <w:r w:rsidRPr="00E103B9">
        <w:rPr>
          <w:sz w:val="28"/>
        </w:rPr>
        <w:t>внутристрановой</w:t>
      </w:r>
      <w:proofErr w:type="spellEnd"/>
      <w:r w:rsidRPr="00E103B9">
        <w:rPr>
          <w:sz w:val="28"/>
        </w:rPr>
        <w:t xml:space="preserve"> мобильности населения такое значительное снижение расходов на транспорт представляется избыточным и может привести к дефициту услуг пассажирских перевозок внутри страны различной дальности.</w:t>
      </w:r>
      <w:proofErr w:type="gramEnd"/>
    </w:p>
    <w:p w14:paraId="0CFDACFE" w14:textId="77777777" w:rsidR="00C34E1E" w:rsidRPr="00E103B9" w:rsidRDefault="00C34E1E" w:rsidP="00AA0954">
      <w:pPr>
        <w:spacing w:after="60"/>
        <w:ind w:firstLine="709"/>
        <w:jc w:val="both"/>
        <w:rPr>
          <w:sz w:val="28"/>
        </w:rPr>
      </w:pPr>
      <w:r w:rsidRPr="00E103B9">
        <w:rPr>
          <w:sz w:val="28"/>
        </w:rPr>
        <w:t xml:space="preserve">Несмотря на предполагаемое значительное уменьшение </w:t>
      </w:r>
      <w:proofErr w:type="gramStart"/>
      <w:r w:rsidRPr="00E103B9">
        <w:rPr>
          <w:sz w:val="28"/>
        </w:rPr>
        <w:t>расходов</w:t>
      </w:r>
      <w:proofErr w:type="gramEnd"/>
      <w:r w:rsidRPr="00E103B9">
        <w:rPr>
          <w:sz w:val="28"/>
        </w:rPr>
        <w:t xml:space="preserve"> на дорожное хозяйство в 2023 г. на 25,7% г/г, в 2024-2025 гг. запланировано их увеличение на 9,6% и 14,0% соответственно. Таким образом, к 2025 г. расходы на дорожное хозяйство в номинальном выражении снизятся относительно 2022 г. только на 7,1%, однако даже такое снижение на фоне роста общих расходов федерального бюджета вызывает опасение с точки зрения выполнения целей по развитию автодорожной инфраструктуры.</w:t>
      </w:r>
    </w:p>
    <w:p w14:paraId="7AE24571" w14:textId="77777777" w:rsidR="00C34E1E" w:rsidRPr="00E103B9" w:rsidRDefault="00C34E1E" w:rsidP="00AA0954">
      <w:pPr>
        <w:spacing w:after="60"/>
        <w:ind w:firstLine="709"/>
        <w:jc w:val="both"/>
        <w:rPr>
          <w:sz w:val="28"/>
        </w:rPr>
      </w:pPr>
      <w:r w:rsidRPr="00E103B9">
        <w:rPr>
          <w:sz w:val="28"/>
        </w:rPr>
        <w:t xml:space="preserve">Расходы на водное хозяйство имеют схожую динамику с расходами на дорожное хозяйство. Различие заключается в более мягком снижении расходов в 2023 г. (на 11,0% г/г) и дополнительном снижении в 2024 г. еще на 11,2% г/г.  В </w:t>
      </w:r>
      <w:r w:rsidRPr="00E103B9">
        <w:rPr>
          <w:sz w:val="28"/>
        </w:rPr>
        <w:lastRenderedPageBreak/>
        <w:t>2025 г. предполагается компенсаторный рост, таким образом, что по итогам 2025 г. расходы снизятся к уровню 2022 г. на 12,6%.</w:t>
      </w:r>
    </w:p>
    <w:p w14:paraId="558EF098" w14:textId="77777777" w:rsidR="00C34E1E" w:rsidRPr="00E103B9" w:rsidRDefault="00C34E1E" w:rsidP="00AA0954">
      <w:pPr>
        <w:spacing w:after="60"/>
        <w:ind w:firstLine="709"/>
        <w:jc w:val="both"/>
        <w:rPr>
          <w:sz w:val="28"/>
        </w:rPr>
      </w:pPr>
      <w:proofErr w:type="gramStart"/>
      <w:r w:rsidRPr="00E103B9">
        <w:rPr>
          <w:sz w:val="28"/>
        </w:rPr>
        <w:t>В целом анализ Законопроекта и Пояснительной записки показывает, что имеет место значительное сокращение производительных расходов в номинальном выражении в 2023 и 2025 гг., которое составит 8,3% и 4,2% соответственно при минимальном росте (на 0,7%) в 2024 г. Для непроизводительных расходов после роста на 3,5% в 2023 году предполагается небольшое снижение на 2,5% и 3,8% в 2024 и 2025 гг. соответственно</w:t>
      </w:r>
      <w:proofErr w:type="gramEnd"/>
      <w:r w:rsidRPr="00E103B9">
        <w:rPr>
          <w:sz w:val="28"/>
        </w:rPr>
        <w:t xml:space="preserve">. В </w:t>
      </w:r>
      <w:proofErr w:type="gramStart"/>
      <w:r w:rsidRPr="00E103B9">
        <w:rPr>
          <w:sz w:val="28"/>
        </w:rPr>
        <w:t>результате</w:t>
      </w:r>
      <w:proofErr w:type="gramEnd"/>
      <w:r w:rsidRPr="00E103B9">
        <w:rPr>
          <w:sz w:val="28"/>
        </w:rPr>
        <w:t xml:space="preserve"> общий объем производительных расходов в 2025 году в номинальном выражении снизится на 11,5% по отношению к уровню 2022 года, в то время как общий объем непроизводительных расходов за соответствующий период снизится лишь на 3,0%.</w:t>
      </w:r>
    </w:p>
    <w:p w14:paraId="67B0CA76" w14:textId="77777777" w:rsidR="00C34E1E" w:rsidRPr="00E103B9" w:rsidRDefault="00C34E1E" w:rsidP="00AA0954">
      <w:pPr>
        <w:spacing w:after="60"/>
        <w:ind w:firstLine="709"/>
        <w:jc w:val="both"/>
        <w:rPr>
          <w:sz w:val="28"/>
        </w:rPr>
      </w:pPr>
      <w:r w:rsidRPr="00E103B9">
        <w:rPr>
          <w:sz w:val="28"/>
        </w:rPr>
        <w:t xml:space="preserve">По результатам анализа расходов на инфраструктуру в рассматриваемом Законопроекте можно сделать </w:t>
      </w:r>
      <w:r w:rsidRPr="00E103B9">
        <w:rPr>
          <w:bCs/>
          <w:iCs/>
          <w:sz w:val="28"/>
        </w:rPr>
        <w:t>следующие выводы</w:t>
      </w:r>
      <w:r w:rsidRPr="00E103B9">
        <w:rPr>
          <w:sz w:val="28"/>
        </w:rPr>
        <w:t xml:space="preserve">. </w:t>
      </w:r>
    </w:p>
    <w:p w14:paraId="04540981" w14:textId="77777777" w:rsidR="00C34E1E" w:rsidRPr="00E103B9" w:rsidRDefault="00C34E1E" w:rsidP="00AA0954">
      <w:pPr>
        <w:spacing w:after="60"/>
        <w:ind w:firstLine="709"/>
        <w:jc w:val="both"/>
        <w:rPr>
          <w:sz w:val="28"/>
        </w:rPr>
      </w:pPr>
      <w:proofErr w:type="gramStart"/>
      <w:r w:rsidRPr="00E103B9">
        <w:rPr>
          <w:sz w:val="28"/>
        </w:rPr>
        <w:t>При росте общих объемов расходов федерального бюджета в номинальном выражении на трехлетний период, за исключением последнего года (рост год к году 5,2%, 1,3%, -0,6% в 2023-2025 гг. соответственно) запланировано значительное снижение расходов на инфраструктуру по всем ее видам (от -7,1% до -71,3%), особенно в части расходов на связь и информатику и транспорт, что будет негативно сказываться на реализации НП «Цифровая</w:t>
      </w:r>
      <w:proofErr w:type="gramEnd"/>
      <w:r w:rsidRPr="00E103B9">
        <w:rPr>
          <w:sz w:val="28"/>
        </w:rPr>
        <w:t xml:space="preserve"> </w:t>
      </w:r>
      <w:proofErr w:type="gramStart"/>
      <w:r w:rsidRPr="00E103B9">
        <w:rPr>
          <w:sz w:val="28"/>
        </w:rPr>
        <w:t xml:space="preserve">экономика», достижении целевых показателей национальной цели «Цифровая трансформация», а также инфраструктурных показателей НП «Безопасные качественные дороги» и Комплексного плана модернизации и расширения магистральной транспортной инфраструктуры. </w:t>
      </w:r>
      <w:proofErr w:type="gramEnd"/>
    </w:p>
    <w:p w14:paraId="26FD5E46" w14:textId="528E02DF" w:rsidR="00C34E1E" w:rsidRPr="00E103B9" w:rsidRDefault="00C34E1E" w:rsidP="00AA0954">
      <w:pPr>
        <w:spacing w:after="60"/>
        <w:ind w:firstLine="709"/>
        <w:jc w:val="both"/>
        <w:rPr>
          <w:sz w:val="28"/>
        </w:rPr>
      </w:pPr>
      <w:proofErr w:type="gramStart"/>
      <w:r w:rsidRPr="00E103B9">
        <w:rPr>
          <w:sz w:val="28"/>
        </w:rPr>
        <w:t>При этом наибольшие вопросы вызывает резкое и значительное снижение расходов на связь и информатику, а также на транспорт: в 2025 г. расходы на эти направления соответственно снизятся на 71% и 37% по отношению к 2022 г. в сравнении с общим ростом расходов бюджета на 5,9%. Это может существенно осложнить достижение значений целевых показателей в рамках системы стратегических и программных документов</w:t>
      </w:r>
      <w:proofErr w:type="gramEnd"/>
      <w:r w:rsidRPr="00E103B9">
        <w:rPr>
          <w:sz w:val="28"/>
        </w:rPr>
        <w:t xml:space="preserve"> в сфере развития транспортной отрасли и информационно-коммуникационных технологий (далее – ИКТ) России. </w:t>
      </w:r>
    </w:p>
    <w:p w14:paraId="6116770C" w14:textId="77777777" w:rsidR="00C34E1E" w:rsidRPr="00E103B9" w:rsidRDefault="00C34E1E" w:rsidP="00AA0954">
      <w:pPr>
        <w:spacing w:after="60"/>
        <w:ind w:firstLine="709"/>
        <w:jc w:val="both"/>
        <w:rPr>
          <w:sz w:val="28"/>
        </w:rPr>
      </w:pPr>
      <w:r w:rsidRPr="00E103B9">
        <w:rPr>
          <w:sz w:val="28"/>
        </w:rPr>
        <w:t xml:space="preserve">В </w:t>
      </w:r>
      <w:proofErr w:type="gramStart"/>
      <w:r w:rsidRPr="00E103B9">
        <w:rPr>
          <w:sz w:val="28"/>
        </w:rPr>
        <w:t>условиях</w:t>
      </w:r>
      <w:proofErr w:type="gramEnd"/>
      <w:r w:rsidRPr="00E103B9">
        <w:rPr>
          <w:sz w:val="28"/>
        </w:rPr>
        <w:t xml:space="preserve"> завершающейся пандемии </w:t>
      </w:r>
      <w:proofErr w:type="spellStart"/>
      <w:r w:rsidRPr="00E103B9">
        <w:rPr>
          <w:sz w:val="28"/>
        </w:rPr>
        <w:t>коронавируса</w:t>
      </w:r>
      <w:proofErr w:type="spellEnd"/>
      <w:r w:rsidRPr="00E103B9">
        <w:rPr>
          <w:sz w:val="28"/>
        </w:rPr>
        <w:t xml:space="preserve"> и внешних </w:t>
      </w:r>
      <w:proofErr w:type="spellStart"/>
      <w:r w:rsidRPr="00E103B9">
        <w:rPr>
          <w:sz w:val="28"/>
        </w:rPr>
        <w:t>санкционных</w:t>
      </w:r>
      <w:proofErr w:type="spellEnd"/>
      <w:r w:rsidRPr="00E103B9">
        <w:rPr>
          <w:sz w:val="28"/>
        </w:rPr>
        <w:t xml:space="preserve"> ограничений продолжается усиление спроса на развитие сектора ИКТ в связи с необходимостью </w:t>
      </w:r>
      <w:proofErr w:type="spellStart"/>
      <w:r w:rsidRPr="00E103B9">
        <w:rPr>
          <w:sz w:val="28"/>
        </w:rPr>
        <w:t>импортозамещения</w:t>
      </w:r>
      <w:proofErr w:type="spellEnd"/>
      <w:r w:rsidRPr="00E103B9">
        <w:rPr>
          <w:sz w:val="28"/>
        </w:rPr>
        <w:t xml:space="preserve"> и активным внедрением дистанционного формата работы и взаимодействия между экономическими агентами. </w:t>
      </w:r>
      <w:proofErr w:type="gramStart"/>
      <w:r w:rsidRPr="00E103B9">
        <w:rPr>
          <w:sz w:val="28"/>
        </w:rPr>
        <w:t>Развитие цифровых технологий и в ближайшие годы продолжит оставаться драйвером не только непосредственного цифровой сферы, но и отраслей реального сектора – сельского хозяйства, промышленности, финансовой сфера, розничной торговли и др.</w:t>
      </w:r>
      <w:r w:rsidRPr="00E103B9">
        <w:rPr>
          <w:rStyle w:val="aa"/>
          <w:sz w:val="28"/>
        </w:rPr>
        <w:footnoteReference w:id="42"/>
      </w:r>
      <w:r w:rsidRPr="00E103B9">
        <w:rPr>
          <w:sz w:val="28"/>
        </w:rPr>
        <w:t xml:space="preserve"> Серьезное снижение расходов на связь и информатику может представлять определенные риски для достижения целевых показателей национальной цели по цифровой трансформации, сформулированной в Указе Президента РФ № 474.</w:t>
      </w:r>
      <w:proofErr w:type="gramEnd"/>
    </w:p>
    <w:p w14:paraId="35E1FC79" w14:textId="77777777" w:rsidR="00C34E1E" w:rsidRPr="00E103B9" w:rsidRDefault="00C34E1E" w:rsidP="00AA0954">
      <w:pPr>
        <w:spacing w:after="60"/>
        <w:ind w:firstLine="709"/>
        <w:jc w:val="both"/>
        <w:rPr>
          <w:sz w:val="28"/>
        </w:rPr>
      </w:pPr>
      <w:r w:rsidRPr="00E103B9">
        <w:rPr>
          <w:sz w:val="28"/>
        </w:rPr>
        <w:lastRenderedPageBreak/>
        <w:t xml:space="preserve">В </w:t>
      </w:r>
      <w:proofErr w:type="gramStart"/>
      <w:r w:rsidRPr="00E103B9">
        <w:rPr>
          <w:sz w:val="28"/>
        </w:rPr>
        <w:t>мае</w:t>
      </w:r>
      <w:proofErr w:type="gramEnd"/>
      <w:r w:rsidRPr="00E103B9">
        <w:rPr>
          <w:sz w:val="28"/>
        </w:rPr>
        <w:t xml:space="preserve"> 2022 года Президент РФ отмечал, что развитие инфраструктуры является одним из основных драйверов экономики</w:t>
      </w:r>
      <w:r w:rsidRPr="00E103B9">
        <w:rPr>
          <w:rStyle w:val="aa"/>
          <w:sz w:val="28"/>
        </w:rPr>
        <w:footnoteReference w:id="43"/>
      </w:r>
      <w:r w:rsidRPr="00E103B9">
        <w:rPr>
          <w:sz w:val="28"/>
        </w:rPr>
        <w:t>. Важность сохранения и наращивания инвестиций в инфраструктуру, особенно в периоды кризисов, отмечается и в большом числе исследований</w:t>
      </w:r>
      <w:r w:rsidRPr="00E103B9">
        <w:rPr>
          <w:rStyle w:val="aa"/>
          <w:sz w:val="28"/>
        </w:rPr>
        <w:footnoteReference w:id="44"/>
      </w:r>
      <w:r w:rsidRPr="00E103B9">
        <w:rPr>
          <w:sz w:val="28"/>
        </w:rPr>
        <w:t xml:space="preserve">. Изменение геополитической обстановки уже привело к переориентации торговых потоков на восток. </w:t>
      </w:r>
      <w:proofErr w:type="gramStart"/>
      <w:r w:rsidRPr="00E103B9">
        <w:rPr>
          <w:sz w:val="28"/>
        </w:rPr>
        <w:t>В дальнейшем этот тренд, вероятно, будет усиливаться, что потребует ускоренного развития соответствующей инфраструктуры, включая, например, развитие международного транспортного коридора «Север – Юг» на Иран, декларация о развитии которого была подписана в сентябре 2022 г.</w:t>
      </w:r>
      <w:r w:rsidRPr="00E103B9">
        <w:rPr>
          <w:rStyle w:val="aa"/>
          <w:sz w:val="28"/>
        </w:rPr>
        <w:footnoteReference w:id="45"/>
      </w:r>
      <w:r w:rsidRPr="00E103B9">
        <w:rPr>
          <w:sz w:val="28"/>
        </w:rPr>
        <w:t>, а также расширение пропускной способности Восточного полигона, планы по развитию которого прорабатывались и ранее</w:t>
      </w:r>
      <w:r w:rsidRPr="00E103B9">
        <w:rPr>
          <w:rStyle w:val="aa"/>
          <w:sz w:val="28"/>
        </w:rPr>
        <w:footnoteReference w:id="46"/>
      </w:r>
      <w:r w:rsidRPr="00E103B9">
        <w:rPr>
          <w:sz w:val="28"/>
        </w:rPr>
        <w:t>, а в нынешних условиях отмечается потенциальный рост дефицита пропускной способности</w:t>
      </w:r>
      <w:r w:rsidRPr="00E103B9">
        <w:rPr>
          <w:rStyle w:val="aa"/>
          <w:sz w:val="28"/>
        </w:rPr>
        <w:footnoteReference w:id="47"/>
      </w:r>
      <w:r w:rsidRPr="00E103B9">
        <w:rPr>
          <w:sz w:val="28"/>
        </w:rPr>
        <w:t xml:space="preserve">. </w:t>
      </w:r>
      <w:proofErr w:type="gramEnd"/>
    </w:p>
    <w:p w14:paraId="399F8420" w14:textId="2D1104EC" w:rsidR="00C34E1E" w:rsidRPr="00E103B9" w:rsidRDefault="00C34E1E" w:rsidP="00AA0954">
      <w:pPr>
        <w:spacing w:after="60"/>
        <w:ind w:firstLine="709"/>
        <w:jc w:val="both"/>
        <w:rPr>
          <w:sz w:val="28"/>
        </w:rPr>
      </w:pPr>
      <w:r w:rsidRPr="00E103B9">
        <w:rPr>
          <w:sz w:val="28"/>
        </w:rPr>
        <w:t xml:space="preserve">Важно отметить, что ряд развивающихся стран вкладывают существенные (в долях ВВП) объемы средств в ускоренное развитие транспортной инфраструктуры. </w:t>
      </w:r>
      <w:proofErr w:type="gramStart"/>
      <w:r w:rsidRPr="00E103B9">
        <w:rPr>
          <w:sz w:val="28"/>
        </w:rPr>
        <w:t>Так, расходы развивающихся стран на инфраструктуру составляют около 5,5% ВВП, развитых – 2,6-3,1% ВВП</w:t>
      </w:r>
      <w:r w:rsidRPr="00E103B9">
        <w:rPr>
          <w:rStyle w:val="aa"/>
          <w:sz w:val="28"/>
        </w:rPr>
        <w:footnoteReference w:id="48"/>
      </w:r>
      <w:r w:rsidRPr="00E103B9">
        <w:rPr>
          <w:sz w:val="28"/>
        </w:rPr>
        <w:t>. При этом для России это значение колеблется только около 1%. Важно отметить, что снижение расходов на транспорт в 2025 г. более чем на треть по отношению к 2022 г., а также расходов на дорожное хозяйство на 7% за аналогичный период может создать значительные трудности для развития</w:t>
      </w:r>
      <w:proofErr w:type="gramEnd"/>
      <w:r w:rsidRPr="00E103B9">
        <w:rPr>
          <w:sz w:val="28"/>
        </w:rPr>
        <w:t xml:space="preserve"> транспортной отрасли в ближайшей перспективе.  Кроме того, такая бюджетная политика может оказывать негативное влияние на развитие внутреннего туризма, которому планируется уделять особое внимание в связи с введенными внешними ограничениями. </w:t>
      </w:r>
    </w:p>
    <w:p w14:paraId="379C951E" w14:textId="5A602A97" w:rsidR="00C34E1E" w:rsidRPr="00E103B9" w:rsidRDefault="00C34E1E" w:rsidP="00C34E1E">
      <w:pPr>
        <w:spacing w:after="120"/>
        <w:ind w:firstLine="709"/>
        <w:jc w:val="both"/>
        <w:rPr>
          <w:b/>
          <w:bCs/>
          <w:i/>
          <w:sz w:val="28"/>
        </w:rPr>
      </w:pPr>
      <w:r w:rsidRPr="00E103B9">
        <w:rPr>
          <w:b/>
          <w:bCs/>
          <w:i/>
          <w:sz w:val="28"/>
        </w:rPr>
        <w:t>Промышленность</w:t>
      </w:r>
    </w:p>
    <w:p w14:paraId="0D118368" w14:textId="77777777" w:rsidR="00C34E1E" w:rsidRPr="00E103B9" w:rsidRDefault="00C34E1E" w:rsidP="00AA0954">
      <w:pPr>
        <w:spacing w:after="60"/>
        <w:ind w:firstLine="709"/>
        <w:jc w:val="both"/>
        <w:rPr>
          <w:color w:val="000000" w:themeColor="text1"/>
          <w:sz w:val="28"/>
        </w:rPr>
      </w:pPr>
      <w:r w:rsidRPr="00E103B9">
        <w:rPr>
          <w:color w:val="000000" w:themeColor="text1"/>
          <w:sz w:val="28"/>
        </w:rPr>
        <w:t xml:space="preserve">Основные направления развития промышленного комплекса России, порядок финансового обеспечения и механизмы реализации </w:t>
      </w:r>
      <w:r w:rsidRPr="00E103B9">
        <w:rPr>
          <w:sz w:val="28"/>
        </w:rPr>
        <w:t>мероприятий</w:t>
      </w:r>
      <w:r w:rsidRPr="00E103B9">
        <w:rPr>
          <w:color w:val="000000" w:themeColor="text1"/>
          <w:sz w:val="28"/>
        </w:rPr>
        <w:t xml:space="preserve"> государственной поддержки определены в ГП «Развитие промышленности и повышение ее конкурентоспособности». </w:t>
      </w:r>
    </w:p>
    <w:p w14:paraId="73EAE8A5" w14:textId="0F41192F" w:rsidR="00C34E1E" w:rsidRPr="00E103B9" w:rsidRDefault="00C34E1E" w:rsidP="00AA0954">
      <w:pPr>
        <w:spacing w:after="60"/>
        <w:ind w:firstLine="709"/>
        <w:jc w:val="both"/>
        <w:rPr>
          <w:color w:val="000000" w:themeColor="text1"/>
          <w:sz w:val="28"/>
          <w:shd w:val="clear" w:color="auto" w:fill="FFFFFF"/>
        </w:rPr>
      </w:pPr>
      <w:r w:rsidRPr="00E103B9">
        <w:rPr>
          <w:color w:val="000000" w:themeColor="text1"/>
          <w:sz w:val="28"/>
        </w:rPr>
        <w:t xml:space="preserve">Из Законопроекта следует, что общий объем бюджетных ассигнований на </w:t>
      </w:r>
      <w:r w:rsidRPr="00E103B9">
        <w:rPr>
          <w:color w:val="000000" w:themeColor="text1"/>
          <w:sz w:val="28"/>
          <w:shd w:val="clear" w:color="auto" w:fill="FFFFFF"/>
        </w:rPr>
        <w:t xml:space="preserve">2023 г. ниже заложенного в бюджет 2022 г. объема на 18,5%. Основные мероприятия госпрограммы на период 2023-2025 гг. в Законопроекте структурированы по федеральным проектам и отдельным субсидиям по различным направлениям. Обращает на себя внимание снижение финансового обеспечения </w:t>
      </w:r>
      <w:r w:rsidRPr="00E103B9">
        <w:rPr>
          <w:color w:val="000000" w:themeColor="text1"/>
          <w:sz w:val="28"/>
          <w:shd w:val="clear" w:color="auto" w:fill="FFFFFF"/>
        </w:rPr>
        <w:lastRenderedPageBreak/>
        <w:t xml:space="preserve">федеральных проектов, связанных с </w:t>
      </w:r>
      <w:proofErr w:type="spellStart"/>
      <w:r w:rsidRPr="00E103B9">
        <w:rPr>
          <w:color w:val="000000" w:themeColor="text1"/>
          <w:sz w:val="28"/>
          <w:shd w:val="clear" w:color="auto" w:fill="FFFFFF"/>
        </w:rPr>
        <w:t>цифровизацией</w:t>
      </w:r>
      <w:proofErr w:type="spellEnd"/>
      <w:r w:rsidRPr="00E103B9">
        <w:rPr>
          <w:color w:val="000000" w:themeColor="text1"/>
          <w:sz w:val="28"/>
          <w:shd w:val="clear" w:color="auto" w:fill="FFFFFF"/>
        </w:rPr>
        <w:t xml:space="preserve"> – «Информационная безопасность», «Искусственный интеллект» и «Цифровые технологии». Однако данное снижение финансирования не соответствует ранее принятым решениям. В частности, в 2021 г. Президент России утвердил стратегию национальной безопасности РФ, в которой впервые значимое место отведено информационной безопасности</w:t>
      </w:r>
      <w:r w:rsidRPr="00E103B9">
        <w:rPr>
          <w:rStyle w:val="aa"/>
          <w:color w:val="000000" w:themeColor="text1"/>
          <w:sz w:val="28"/>
          <w:shd w:val="clear" w:color="auto" w:fill="FFFFFF"/>
        </w:rPr>
        <w:footnoteReference w:id="49"/>
      </w:r>
      <w:r w:rsidRPr="00E103B9">
        <w:rPr>
          <w:color w:val="000000" w:themeColor="text1"/>
          <w:sz w:val="28"/>
          <w:shd w:val="clear" w:color="auto" w:fill="FFFFFF"/>
        </w:rPr>
        <w:t xml:space="preserve">. Это одно из ключевых направлений концентрации усилий на ближайшие годы с учетом усложнения геополитической обстановки. </w:t>
      </w:r>
      <w:proofErr w:type="gramStart"/>
      <w:r w:rsidRPr="00E103B9">
        <w:rPr>
          <w:color w:val="000000" w:themeColor="text1"/>
          <w:sz w:val="28"/>
          <w:shd w:val="clear" w:color="auto" w:fill="FFFFFF"/>
        </w:rPr>
        <w:t>Развитие сферы искусственного интеллекта и цифровых технологий является ключевым драйвером не только для цифровой сферы, но и для других прикладных отраслей</w:t>
      </w:r>
      <w:r w:rsidRPr="00E103B9">
        <w:rPr>
          <w:rStyle w:val="aa"/>
          <w:color w:val="000000" w:themeColor="text1"/>
          <w:sz w:val="28"/>
          <w:shd w:val="clear" w:color="auto" w:fill="FFFFFF"/>
        </w:rPr>
        <w:footnoteReference w:id="50"/>
      </w:r>
      <w:r w:rsidRPr="00E103B9">
        <w:rPr>
          <w:color w:val="000000" w:themeColor="text1"/>
          <w:sz w:val="28"/>
          <w:shd w:val="clear" w:color="auto" w:fill="FFFFFF"/>
        </w:rPr>
        <w:t xml:space="preserve">. Согласно исследованию </w:t>
      </w:r>
      <w:r w:rsidRPr="00E103B9">
        <w:rPr>
          <w:color w:val="000000" w:themeColor="text1"/>
          <w:sz w:val="28"/>
          <w:shd w:val="clear" w:color="auto" w:fill="FFFFFF"/>
          <w:lang w:val="en-US"/>
        </w:rPr>
        <w:t>Gartner</w:t>
      </w:r>
      <w:r w:rsidRPr="00E103B9">
        <w:rPr>
          <w:color w:val="000000" w:themeColor="text1"/>
          <w:sz w:val="28"/>
          <w:shd w:val="clear" w:color="auto" w:fill="FFFFFF"/>
        </w:rPr>
        <w:t>, все, что касается применения искусственного интеллекта, выделено в одну из трех групп наиболее перспективных технологий в 2022 г.</w:t>
      </w:r>
      <w:r w:rsidRPr="00E103B9">
        <w:rPr>
          <w:rStyle w:val="aa"/>
          <w:color w:val="000000" w:themeColor="text1"/>
          <w:sz w:val="28"/>
          <w:shd w:val="clear" w:color="auto" w:fill="FFFFFF"/>
        </w:rPr>
        <w:footnoteReference w:id="51"/>
      </w:r>
      <w:r w:rsidRPr="00E103B9">
        <w:rPr>
          <w:color w:val="000000" w:themeColor="text1"/>
          <w:sz w:val="28"/>
          <w:shd w:val="clear" w:color="auto" w:fill="FFFFFF"/>
        </w:rPr>
        <w:t>. По указанным причинам отставание в указанных сферах может формировать негативные эффекты в будущем.</w:t>
      </w:r>
      <w:proofErr w:type="gramEnd"/>
      <w:r w:rsidRPr="00E103B9">
        <w:rPr>
          <w:color w:val="000000" w:themeColor="text1"/>
          <w:sz w:val="28"/>
          <w:shd w:val="clear" w:color="auto" w:fill="FFFFFF"/>
        </w:rPr>
        <w:t xml:space="preserve"> Важно отметить, что даже если такое снижение расходов связано с </w:t>
      </w:r>
      <w:proofErr w:type="spellStart"/>
      <w:r w:rsidRPr="00E103B9">
        <w:rPr>
          <w:color w:val="000000" w:themeColor="text1"/>
          <w:sz w:val="28"/>
          <w:shd w:val="clear" w:color="auto" w:fill="FFFFFF"/>
        </w:rPr>
        <w:t>переструктуризацией</w:t>
      </w:r>
      <w:proofErr w:type="spellEnd"/>
      <w:r w:rsidRPr="00E103B9">
        <w:rPr>
          <w:color w:val="000000" w:themeColor="text1"/>
          <w:sz w:val="28"/>
          <w:shd w:val="clear" w:color="auto" w:fill="FFFFFF"/>
        </w:rPr>
        <w:t xml:space="preserve"> мероприятий в рамках ФП и, например, прикреплению их к другим проектам, важно обеспечить сохранение расходов по указанным направлениям.</w:t>
      </w:r>
    </w:p>
    <w:p w14:paraId="1ADBAE9A" w14:textId="12E24511" w:rsidR="00C34E1E" w:rsidRPr="00E103B9" w:rsidRDefault="00C34E1E" w:rsidP="00AA0954">
      <w:pPr>
        <w:spacing w:after="60"/>
        <w:ind w:firstLine="709"/>
        <w:jc w:val="both"/>
        <w:rPr>
          <w:color w:val="000000" w:themeColor="text1"/>
          <w:sz w:val="28"/>
        </w:rPr>
      </w:pPr>
      <w:r w:rsidRPr="00E103B9">
        <w:rPr>
          <w:color w:val="000000" w:themeColor="text1"/>
          <w:sz w:val="28"/>
        </w:rPr>
        <w:t xml:space="preserve">В </w:t>
      </w:r>
      <w:proofErr w:type="gramStart"/>
      <w:r w:rsidRPr="00E103B9">
        <w:rPr>
          <w:color w:val="000000" w:themeColor="text1"/>
          <w:sz w:val="28"/>
        </w:rPr>
        <w:t>целом</w:t>
      </w:r>
      <w:proofErr w:type="gramEnd"/>
      <w:r w:rsidRPr="00E103B9">
        <w:rPr>
          <w:color w:val="000000" w:themeColor="text1"/>
          <w:sz w:val="28"/>
        </w:rPr>
        <w:t xml:space="preserve"> снижение финансирования ГП «Развитие промышленности и повышение ее конкурентоспособности» в 2023 г. на 29,4%, а в 2025 г. – на 47% к уровню 2022 г., вызывает значительные вопросы. Значительное сокращение расходов на федеральные проекты, связанные с </w:t>
      </w:r>
      <w:proofErr w:type="spellStart"/>
      <w:r w:rsidRPr="00E103B9">
        <w:rPr>
          <w:color w:val="000000" w:themeColor="text1"/>
          <w:sz w:val="28"/>
        </w:rPr>
        <w:t>цифровизацией</w:t>
      </w:r>
      <w:proofErr w:type="spellEnd"/>
      <w:r w:rsidRPr="00E103B9">
        <w:rPr>
          <w:color w:val="000000" w:themeColor="text1"/>
          <w:sz w:val="28"/>
        </w:rPr>
        <w:t xml:space="preserve">, может привести к </w:t>
      </w:r>
      <w:proofErr w:type="spellStart"/>
      <w:r w:rsidRPr="00E103B9">
        <w:rPr>
          <w:color w:val="000000" w:themeColor="text1"/>
          <w:sz w:val="28"/>
        </w:rPr>
        <w:t>недостижению</w:t>
      </w:r>
      <w:proofErr w:type="spellEnd"/>
      <w:r w:rsidRPr="00E103B9">
        <w:rPr>
          <w:color w:val="000000" w:themeColor="text1"/>
          <w:sz w:val="28"/>
        </w:rPr>
        <w:t xml:space="preserve"> целевых показателей Национальной программы «Цифровая экономика», а также индикаторов национальной цели «Цифровая трансформация».</w:t>
      </w:r>
    </w:p>
    <w:p w14:paraId="554B2A16" w14:textId="77777777" w:rsidR="004800BF" w:rsidRPr="00E103B9" w:rsidRDefault="004800BF" w:rsidP="00DE7F52">
      <w:pPr>
        <w:keepNext/>
        <w:spacing w:before="240" w:after="120"/>
        <w:jc w:val="center"/>
        <w:outlineLvl w:val="2"/>
        <w:rPr>
          <w:b/>
          <w:sz w:val="28"/>
          <w:szCs w:val="20"/>
        </w:rPr>
      </w:pPr>
      <w:bookmarkStart w:id="28" w:name="_Toc116593940"/>
      <w:r w:rsidRPr="00E103B9">
        <w:rPr>
          <w:b/>
          <w:sz w:val="28"/>
          <w:szCs w:val="20"/>
        </w:rPr>
        <w:t>Расходы на поддержку сельского хозяйства</w:t>
      </w:r>
      <w:bookmarkEnd w:id="28"/>
    </w:p>
    <w:p w14:paraId="2F450C17" w14:textId="462B3799" w:rsidR="00CC5D86" w:rsidRPr="00E103B9" w:rsidRDefault="00CC5D86" w:rsidP="00426529">
      <w:pPr>
        <w:ind w:firstLine="709"/>
        <w:jc w:val="both"/>
        <w:rPr>
          <w:rFonts w:eastAsia="Calibri"/>
          <w:sz w:val="28"/>
          <w:lang w:eastAsia="en-US"/>
        </w:rPr>
      </w:pPr>
      <w:r w:rsidRPr="00E103B9">
        <w:rPr>
          <w:rFonts w:eastAsia="Calibri"/>
          <w:sz w:val="28"/>
          <w:lang w:eastAsia="en-US"/>
        </w:rPr>
        <w:t xml:space="preserve">В системе взаимоотношений сельского хозяйства и федерального бюджета произошли кардинальные изменения, суть которых в состоявшемся переходе сельского хозяйства из субсидируемой отрасли в </w:t>
      </w:r>
      <w:proofErr w:type="spellStart"/>
      <w:r w:rsidRPr="00E103B9">
        <w:rPr>
          <w:rFonts w:eastAsia="Calibri"/>
          <w:sz w:val="28"/>
          <w:lang w:eastAsia="en-US"/>
        </w:rPr>
        <w:t>профицитную</w:t>
      </w:r>
      <w:proofErr w:type="spellEnd"/>
      <w:r w:rsidRPr="00E103B9">
        <w:rPr>
          <w:rFonts w:eastAsia="Calibri"/>
          <w:sz w:val="28"/>
          <w:lang w:eastAsia="en-US"/>
        </w:rPr>
        <w:t xml:space="preserve"> за счет развития отдельных конкурентных </w:t>
      </w:r>
      <w:proofErr w:type="spellStart"/>
      <w:r w:rsidRPr="00E103B9">
        <w:rPr>
          <w:rFonts w:eastAsia="Calibri"/>
          <w:sz w:val="28"/>
          <w:lang w:eastAsia="en-US"/>
        </w:rPr>
        <w:t>подотраслей</w:t>
      </w:r>
      <w:proofErr w:type="spellEnd"/>
      <w:r w:rsidRPr="00E103B9">
        <w:rPr>
          <w:rFonts w:eastAsia="Calibri"/>
          <w:sz w:val="28"/>
          <w:lang w:eastAsia="en-US"/>
        </w:rPr>
        <w:t xml:space="preserve">. А </w:t>
      </w:r>
      <w:proofErr w:type="gramStart"/>
      <w:r w:rsidRPr="00E103B9">
        <w:rPr>
          <w:rFonts w:eastAsia="Calibri"/>
          <w:sz w:val="28"/>
          <w:lang w:eastAsia="en-US"/>
        </w:rPr>
        <w:t>значит</w:t>
      </w:r>
      <w:proofErr w:type="gramEnd"/>
      <w:r w:rsidRPr="00E103B9">
        <w:rPr>
          <w:rFonts w:eastAsia="Calibri"/>
          <w:sz w:val="28"/>
          <w:lang w:eastAsia="en-US"/>
        </w:rPr>
        <w:t xml:space="preserve"> направления и механизмы бюджетной поддержки сельского хозяйства должны быть модифицированы с учетом данного обстоятельства. Именно с этой позиции представлен анализ Законопроекта.</w:t>
      </w:r>
    </w:p>
    <w:p w14:paraId="06ED8DC0" w14:textId="0D80645C" w:rsidR="00CC5D86" w:rsidRPr="00E103B9" w:rsidRDefault="00CC5D86" w:rsidP="00AA0954">
      <w:pPr>
        <w:spacing w:before="120" w:after="120"/>
        <w:ind w:firstLine="709"/>
        <w:jc w:val="both"/>
        <w:rPr>
          <w:rFonts w:eastAsia="Calibri"/>
          <w:szCs w:val="22"/>
          <w:lang w:eastAsia="en-US"/>
        </w:rPr>
      </w:pPr>
      <w:r w:rsidRPr="00E103B9">
        <w:rPr>
          <w:rFonts w:eastAsia="Calibri"/>
          <w:b/>
          <w:bCs/>
          <w:sz w:val="28"/>
          <w:lang w:eastAsia="en-US"/>
        </w:rPr>
        <w:t>1.  Значительное сокращение объемов финансирования сельского хозяйства</w:t>
      </w:r>
    </w:p>
    <w:p w14:paraId="72A77C6A" w14:textId="7E737F6F" w:rsidR="00B30599" w:rsidRPr="00E103B9" w:rsidRDefault="00CC5D86" w:rsidP="00426529">
      <w:pPr>
        <w:ind w:firstLine="709"/>
        <w:jc w:val="both"/>
        <w:rPr>
          <w:rFonts w:eastAsia="Calibri"/>
          <w:sz w:val="28"/>
          <w:lang w:eastAsia="en-US"/>
        </w:rPr>
      </w:pPr>
      <w:r w:rsidRPr="00E103B9">
        <w:rPr>
          <w:rFonts w:eastAsia="Calibri"/>
          <w:sz w:val="28"/>
          <w:lang w:eastAsia="en-US"/>
        </w:rPr>
        <w:t xml:space="preserve">Законопроектом на 2023 г. предусмотрены расходы федерального бюджета на реализацию государственных программ, составляющих финансовую основу аграрной политики, в размере 432,2 </w:t>
      </w:r>
      <w:proofErr w:type="gramStart"/>
      <w:r w:rsidRPr="00E103B9">
        <w:rPr>
          <w:rFonts w:eastAsia="Calibri"/>
          <w:sz w:val="28"/>
          <w:lang w:eastAsia="en-US"/>
        </w:rPr>
        <w:t>млрд</w:t>
      </w:r>
      <w:proofErr w:type="gramEnd"/>
      <w:r w:rsidRPr="00E103B9">
        <w:rPr>
          <w:rFonts w:eastAsia="Calibri"/>
          <w:sz w:val="28"/>
          <w:lang w:eastAsia="en-US"/>
        </w:rPr>
        <w:t xml:space="preserve"> руб. (</w:t>
      </w:r>
      <w:r w:rsidRPr="00E103B9">
        <w:rPr>
          <w:rFonts w:eastAsia="Calibri"/>
          <w:i/>
          <w:iCs/>
          <w:sz w:val="28"/>
          <w:lang w:eastAsia="en-US"/>
        </w:rPr>
        <w:t>таблица 1</w:t>
      </w:r>
      <w:r w:rsidR="000B02DC" w:rsidRPr="00E103B9">
        <w:rPr>
          <w:rFonts w:eastAsia="Calibri"/>
          <w:i/>
          <w:iCs/>
          <w:sz w:val="28"/>
          <w:lang w:eastAsia="en-US"/>
        </w:rPr>
        <w:t>6</w:t>
      </w:r>
      <w:r w:rsidRPr="00E103B9">
        <w:rPr>
          <w:rFonts w:eastAsia="Calibri"/>
          <w:sz w:val="28"/>
          <w:lang w:eastAsia="en-US"/>
        </w:rPr>
        <w:t xml:space="preserve">). Планируемая величина расходов на 19,3 </w:t>
      </w:r>
      <w:proofErr w:type="gramStart"/>
      <w:r w:rsidRPr="00E103B9">
        <w:rPr>
          <w:rFonts w:eastAsia="Calibri"/>
          <w:sz w:val="28"/>
          <w:lang w:eastAsia="en-US"/>
        </w:rPr>
        <w:t>млрд</w:t>
      </w:r>
      <w:proofErr w:type="gramEnd"/>
      <w:r w:rsidRPr="00E103B9">
        <w:rPr>
          <w:rFonts w:eastAsia="Calibri"/>
          <w:sz w:val="28"/>
          <w:lang w:eastAsia="en-US"/>
        </w:rPr>
        <w:t xml:space="preserve"> руб. или на 4,3% меньше расходов 2022 г. (по данным </w:t>
      </w:r>
      <w:r w:rsidRPr="00E103B9">
        <w:rPr>
          <w:rFonts w:eastAsia="Calibri"/>
          <w:sz w:val="28"/>
          <w:lang w:eastAsia="en-US"/>
        </w:rPr>
        <w:lastRenderedPageBreak/>
        <w:t>сводной бюджетной росписи). С учетом прогнозируемой инфляции в 2022 г. сокращение финансирования аграрного сектора в реальном исчислении составит порядка 15%.</w:t>
      </w:r>
    </w:p>
    <w:p w14:paraId="2402490C" w14:textId="77777777" w:rsidR="00B30599" w:rsidRPr="00E103B9" w:rsidRDefault="00B30599" w:rsidP="00B30599">
      <w:pPr>
        <w:ind w:firstLine="709"/>
        <w:jc w:val="both"/>
        <w:rPr>
          <w:rFonts w:eastAsia="Calibri"/>
          <w:sz w:val="28"/>
          <w:lang w:eastAsia="en-US"/>
        </w:rPr>
      </w:pPr>
    </w:p>
    <w:p w14:paraId="4B482941" w14:textId="70DD655D" w:rsidR="00CC5D86" w:rsidRPr="009D5B83" w:rsidRDefault="00CC5D86" w:rsidP="00426529">
      <w:pPr>
        <w:jc w:val="right"/>
        <w:rPr>
          <w:rFonts w:eastAsia="Calibri"/>
          <w:i/>
          <w:iCs/>
          <w:lang w:eastAsia="en-US"/>
        </w:rPr>
      </w:pPr>
      <w:r w:rsidRPr="009D5B83">
        <w:rPr>
          <w:rFonts w:eastAsia="Calibri"/>
          <w:i/>
          <w:iCs/>
          <w:lang w:eastAsia="en-US"/>
        </w:rPr>
        <w:t xml:space="preserve">Таблица </w:t>
      </w:r>
      <w:r w:rsidR="000B02DC" w:rsidRPr="009D5B83">
        <w:rPr>
          <w:rFonts w:eastAsia="Calibri"/>
          <w:i/>
          <w:iCs/>
          <w:lang w:eastAsia="en-US"/>
        </w:rPr>
        <w:t>16</w:t>
      </w:r>
    </w:p>
    <w:p w14:paraId="23D082BB" w14:textId="1196E655" w:rsidR="00CC5D86" w:rsidRPr="00E853B4" w:rsidRDefault="00CC5D86" w:rsidP="00E853B4">
      <w:pPr>
        <w:jc w:val="center"/>
        <w:rPr>
          <w:rFonts w:eastAsia="Calibri"/>
          <w:b/>
          <w:bCs/>
          <w:lang w:eastAsia="en-US"/>
        </w:rPr>
      </w:pPr>
      <w:r w:rsidRPr="00E853B4">
        <w:rPr>
          <w:rFonts w:eastAsia="Calibri"/>
          <w:b/>
          <w:bCs/>
          <w:lang w:eastAsia="en-US"/>
        </w:rPr>
        <w:t xml:space="preserve">Расходы федерального бюджета в 2022-2023 гг. на реализацию программ аграрной политики (наиболее существенные изменения к 2022 г.), </w:t>
      </w:r>
      <w:proofErr w:type="gramStart"/>
      <w:r w:rsidRPr="00E853B4">
        <w:rPr>
          <w:rFonts w:eastAsia="Calibri"/>
          <w:b/>
          <w:bCs/>
          <w:lang w:eastAsia="en-US"/>
        </w:rPr>
        <w:t>мл</w:t>
      </w:r>
      <w:r w:rsidR="00EF562D" w:rsidRPr="00E853B4">
        <w:rPr>
          <w:rFonts w:eastAsia="Calibri"/>
          <w:b/>
          <w:bCs/>
          <w:lang w:eastAsia="en-US"/>
        </w:rPr>
        <w:t>рд</w:t>
      </w:r>
      <w:proofErr w:type="gramEnd"/>
      <w:r w:rsidRPr="00E853B4">
        <w:rPr>
          <w:rFonts w:eastAsia="Calibri"/>
          <w:b/>
          <w:bCs/>
          <w:lang w:eastAsia="en-US"/>
        </w:rPr>
        <w:t xml:space="preserve"> руб.</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992"/>
        <w:gridCol w:w="992"/>
        <w:gridCol w:w="1134"/>
        <w:gridCol w:w="703"/>
      </w:tblGrid>
      <w:tr w:rsidR="00CC5D86" w:rsidRPr="009D5B83" w14:paraId="5CB8F5A7" w14:textId="77777777" w:rsidTr="00E853B4">
        <w:trPr>
          <w:trHeight w:val="20"/>
          <w:tblHeader/>
        </w:trPr>
        <w:tc>
          <w:tcPr>
            <w:tcW w:w="5524" w:type="dxa"/>
            <w:vMerge w:val="restart"/>
            <w:shd w:val="clear" w:color="auto" w:fill="auto"/>
            <w:noWrap/>
          </w:tcPr>
          <w:p w14:paraId="1133FD01" w14:textId="77777777" w:rsidR="00CC5D86" w:rsidRPr="009D5B83" w:rsidRDefault="00CC5D86" w:rsidP="00CC5D86">
            <w:pPr>
              <w:jc w:val="center"/>
              <w:rPr>
                <w:b/>
                <w:bCs/>
                <w:sz w:val="20"/>
                <w:szCs w:val="20"/>
              </w:rPr>
            </w:pPr>
            <w:r w:rsidRPr="009D5B83">
              <w:rPr>
                <w:b/>
                <w:bCs/>
                <w:sz w:val="20"/>
                <w:szCs w:val="20"/>
              </w:rPr>
              <w:t>Направления расходов</w:t>
            </w:r>
          </w:p>
        </w:tc>
        <w:tc>
          <w:tcPr>
            <w:tcW w:w="992" w:type="dxa"/>
            <w:vMerge w:val="restart"/>
            <w:shd w:val="clear" w:color="auto" w:fill="auto"/>
            <w:noWrap/>
          </w:tcPr>
          <w:p w14:paraId="127DC444" w14:textId="086F92B3" w:rsidR="00CC5D86" w:rsidRPr="009D5B83" w:rsidRDefault="00CC5D86" w:rsidP="00CC5D86">
            <w:pPr>
              <w:jc w:val="center"/>
              <w:rPr>
                <w:b/>
                <w:bCs/>
                <w:sz w:val="20"/>
                <w:szCs w:val="20"/>
              </w:rPr>
            </w:pPr>
            <w:r w:rsidRPr="009D5B83">
              <w:rPr>
                <w:b/>
                <w:bCs/>
                <w:sz w:val="20"/>
                <w:szCs w:val="20"/>
              </w:rPr>
              <w:t>2022</w:t>
            </w:r>
            <w:r w:rsidR="00A35722" w:rsidRPr="009D5B83">
              <w:rPr>
                <w:b/>
                <w:bCs/>
                <w:sz w:val="20"/>
                <w:szCs w:val="20"/>
              </w:rPr>
              <w:t xml:space="preserve"> г.</w:t>
            </w:r>
            <w:r w:rsidRPr="009D5B83">
              <w:rPr>
                <w:b/>
                <w:bCs/>
                <w:sz w:val="20"/>
                <w:szCs w:val="20"/>
              </w:rPr>
              <w:t>*</w:t>
            </w:r>
          </w:p>
        </w:tc>
        <w:tc>
          <w:tcPr>
            <w:tcW w:w="992" w:type="dxa"/>
            <w:vMerge w:val="restart"/>
            <w:shd w:val="clear" w:color="auto" w:fill="auto"/>
            <w:noWrap/>
          </w:tcPr>
          <w:p w14:paraId="7DDF2151" w14:textId="62B06162" w:rsidR="00CC5D86" w:rsidRPr="009D5B83" w:rsidRDefault="00CC5D86" w:rsidP="00CC5D86">
            <w:pPr>
              <w:jc w:val="center"/>
              <w:rPr>
                <w:b/>
                <w:bCs/>
                <w:sz w:val="20"/>
                <w:szCs w:val="20"/>
              </w:rPr>
            </w:pPr>
            <w:r w:rsidRPr="009D5B83">
              <w:rPr>
                <w:b/>
                <w:bCs/>
                <w:sz w:val="20"/>
                <w:szCs w:val="20"/>
              </w:rPr>
              <w:t>2023</w:t>
            </w:r>
            <w:r w:rsidR="00A35722" w:rsidRPr="009D5B83">
              <w:rPr>
                <w:b/>
                <w:bCs/>
                <w:sz w:val="20"/>
                <w:szCs w:val="20"/>
              </w:rPr>
              <w:t xml:space="preserve"> г.</w:t>
            </w:r>
          </w:p>
        </w:tc>
        <w:tc>
          <w:tcPr>
            <w:tcW w:w="1837" w:type="dxa"/>
            <w:gridSpan w:val="2"/>
            <w:shd w:val="clear" w:color="auto" w:fill="auto"/>
            <w:noWrap/>
          </w:tcPr>
          <w:p w14:paraId="740E1E9A" w14:textId="77777777" w:rsidR="00CC5D86" w:rsidRPr="009D5B83" w:rsidRDefault="00CC5D86" w:rsidP="00CC5D86">
            <w:pPr>
              <w:jc w:val="center"/>
              <w:rPr>
                <w:b/>
                <w:bCs/>
                <w:sz w:val="20"/>
                <w:szCs w:val="20"/>
              </w:rPr>
            </w:pPr>
            <w:r w:rsidRPr="009D5B83">
              <w:rPr>
                <w:b/>
                <w:bCs/>
                <w:sz w:val="20"/>
                <w:szCs w:val="20"/>
              </w:rPr>
              <w:t>Прирост</w:t>
            </w:r>
          </w:p>
        </w:tc>
      </w:tr>
      <w:tr w:rsidR="00CC5D86" w:rsidRPr="009D5B83" w14:paraId="32698F99" w14:textId="77777777" w:rsidTr="00E853B4">
        <w:trPr>
          <w:trHeight w:val="20"/>
          <w:tblHeader/>
        </w:trPr>
        <w:tc>
          <w:tcPr>
            <w:tcW w:w="5524" w:type="dxa"/>
            <w:vMerge/>
            <w:shd w:val="clear" w:color="auto" w:fill="auto"/>
            <w:noWrap/>
            <w:hideMark/>
          </w:tcPr>
          <w:p w14:paraId="3EB4DD50" w14:textId="77777777" w:rsidR="00CC5D86" w:rsidRPr="009D5B83" w:rsidRDefault="00CC5D86" w:rsidP="00CC5D86">
            <w:pPr>
              <w:rPr>
                <w:sz w:val="20"/>
                <w:szCs w:val="20"/>
              </w:rPr>
            </w:pPr>
          </w:p>
        </w:tc>
        <w:tc>
          <w:tcPr>
            <w:tcW w:w="992" w:type="dxa"/>
            <w:vMerge/>
            <w:shd w:val="clear" w:color="auto" w:fill="auto"/>
            <w:noWrap/>
            <w:hideMark/>
          </w:tcPr>
          <w:p w14:paraId="3B9B1124" w14:textId="77777777" w:rsidR="00CC5D86" w:rsidRPr="009D5B83" w:rsidRDefault="00CC5D86" w:rsidP="00CC5D86">
            <w:pPr>
              <w:rPr>
                <w:sz w:val="20"/>
                <w:szCs w:val="20"/>
              </w:rPr>
            </w:pPr>
          </w:p>
        </w:tc>
        <w:tc>
          <w:tcPr>
            <w:tcW w:w="992" w:type="dxa"/>
            <w:vMerge/>
            <w:shd w:val="clear" w:color="auto" w:fill="auto"/>
            <w:noWrap/>
            <w:hideMark/>
          </w:tcPr>
          <w:p w14:paraId="46ED6C11" w14:textId="77777777" w:rsidR="00CC5D86" w:rsidRPr="009D5B83" w:rsidRDefault="00CC5D86" w:rsidP="00CC5D86">
            <w:pPr>
              <w:rPr>
                <w:sz w:val="20"/>
                <w:szCs w:val="20"/>
              </w:rPr>
            </w:pPr>
          </w:p>
        </w:tc>
        <w:tc>
          <w:tcPr>
            <w:tcW w:w="1134" w:type="dxa"/>
            <w:shd w:val="clear" w:color="auto" w:fill="auto"/>
            <w:noWrap/>
            <w:hideMark/>
          </w:tcPr>
          <w:p w14:paraId="1D57A7C9" w14:textId="650EF43D" w:rsidR="00CC5D86" w:rsidRPr="009D5B83" w:rsidRDefault="00CC5D86" w:rsidP="00CC5D86">
            <w:pPr>
              <w:jc w:val="center"/>
              <w:rPr>
                <w:b/>
                <w:bCs/>
                <w:sz w:val="20"/>
                <w:szCs w:val="20"/>
              </w:rPr>
            </w:pPr>
            <w:proofErr w:type="gramStart"/>
            <w:r w:rsidRPr="009D5B83">
              <w:rPr>
                <w:b/>
                <w:bCs/>
                <w:sz w:val="20"/>
                <w:szCs w:val="20"/>
              </w:rPr>
              <w:t>мл</w:t>
            </w:r>
            <w:r w:rsidR="00EF562D" w:rsidRPr="009D5B83">
              <w:rPr>
                <w:b/>
                <w:bCs/>
                <w:sz w:val="20"/>
                <w:szCs w:val="20"/>
              </w:rPr>
              <w:t>рд</w:t>
            </w:r>
            <w:proofErr w:type="gramEnd"/>
            <w:r w:rsidRPr="009D5B83">
              <w:rPr>
                <w:b/>
                <w:bCs/>
                <w:sz w:val="20"/>
                <w:szCs w:val="20"/>
              </w:rPr>
              <w:t xml:space="preserve"> руб.</w:t>
            </w:r>
          </w:p>
        </w:tc>
        <w:tc>
          <w:tcPr>
            <w:tcW w:w="703" w:type="dxa"/>
            <w:shd w:val="clear" w:color="auto" w:fill="auto"/>
            <w:noWrap/>
            <w:hideMark/>
          </w:tcPr>
          <w:p w14:paraId="46CC9B2B" w14:textId="77777777" w:rsidR="00CC5D86" w:rsidRPr="009D5B83" w:rsidRDefault="00CC5D86" w:rsidP="00CC5D86">
            <w:pPr>
              <w:jc w:val="center"/>
              <w:rPr>
                <w:b/>
                <w:bCs/>
                <w:sz w:val="20"/>
                <w:szCs w:val="20"/>
              </w:rPr>
            </w:pPr>
            <w:r w:rsidRPr="009D5B83">
              <w:rPr>
                <w:b/>
                <w:bCs/>
                <w:sz w:val="20"/>
                <w:szCs w:val="20"/>
              </w:rPr>
              <w:t>%</w:t>
            </w:r>
          </w:p>
        </w:tc>
      </w:tr>
      <w:tr w:rsidR="00CC5D86" w:rsidRPr="009D5B83" w14:paraId="64769143" w14:textId="77777777" w:rsidTr="00E853B4">
        <w:trPr>
          <w:trHeight w:val="20"/>
        </w:trPr>
        <w:tc>
          <w:tcPr>
            <w:tcW w:w="5524" w:type="dxa"/>
            <w:shd w:val="clear" w:color="auto" w:fill="auto"/>
            <w:noWrap/>
            <w:vAlign w:val="bottom"/>
            <w:hideMark/>
          </w:tcPr>
          <w:p w14:paraId="16B6A54B" w14:textId="09BCAC31" w:rsidR="00CC5D86" w:rsidRPr="009D5B83" w:rsidRDefault="00CC5D86" w:rsidP="00CC5D86">
            <w:pPr>
              <w:rPr>
                <w:b/>
                <w:bCs/>
                <w:i/>
                <w:iCs/>
                <w:color w:val="000000"/>
                <w:sz w:val="20"/>
                <w:szCs w:val="20"/>
              </w:rPr>
            </w:pPr>
            <w:r w:rsidRPr="009D5B83">
              <w:rPr>
                <w:b/>
                <w:bCs/>
                <w:i/>
                <w:iCs/>
                <w:color w:val="000000"/>
                <w:sz w:val="20"/>
                <w:szCs w:val="20"/>
              </w:rPr>
              <w:t xml:space="preserve">Государственные программы, </w:t>
            </w:r>
            <w:r w:rsidR="00426529">
              <w:rPr>
                <w:b/>
                <w:bCs/>
                <w:i/>
                <w:iCs/>
                <w:color w:val="000000"/>
                <w:sz w:val="20"/>
                <w:szCs w:val="20"/>
              </w:rPr>
              <w:t>ВСЕГО</w:t>
            </w:r>
          </w:p>
        </w:tc>
        <w:tc>
          <w:tcPr>
            <w:tcW w:w="992" w:type="dxa"/>
            <w:shd w:val="clear" w:color="auto" w:fill="auto"/>
            <w:noWrap/>
            <w:vAlign w:val="bottom"/>
            <w:hideMark/>
          </w:tcPr>
          <w:p w14:paraId="77EFF75F" w14:textId="26269A16" w:rsidR="00CC5D86" w:rsidRPr="009D5B83" w:rsidRDefault="00CC5D86" w:rsidP="00CC5D86">
            <w:pPr>
              <w:jc w:val="right"/>
              <w:rPr>
                <w:b/>
                <w:bCs/>
                <w:i/>
                <w:iCs/>
                <w:color w:val="000000"/>
                <w:sz w:val="20"/>
                <w:szCs w:val="20"/>
              </w:rPr>
            </w:pPr>
            <w:r w:rsidRPr="009D5B83">
              <w:rPr>
                <w:b/>
                <w:bCs/>
                <w:i/>
                <w:iCs/>
                <w:color w:val="000000"/>
                <w:sz w:val="20"/>
                <w:szCs w:val="20"/>
              </w:rPr>
              <w:t>451</w:t>
            </w:r>
            <w:r w:rsidR="00EF562D" w:rsidRPr="009D5B83">
              <w:rPr>
                <w:b/>
                <w:bCs/>
                <w:i/>
                <w:iCs/>
                <w:color w:val="000000"/>
                <w:sz w:val="20"/>
                <w:szCs w:val="20"/>
              </w:rPr>
              <w:t>,</w:t>
            </w:r>
            <w:r w:rsidRPr="009D5B83">
              <w:rPr>
                <w:b/>
                <w:bCs/>
                <w:i/>
                <w:iCs/>
                <w:color w:val="000000"/>
                <w:sz w:val="20"/>
                <w:szCs w:val="20"/>
              </w:rPr>
              <w:t>4</w:t>
            </w:r>
          </w:p>
        </w:tc>
        <w:tc>
          <w:tcPr>
            <w:tcW w:w="992" w:type="dxa"/>
            <w:shd w:val="clear" w:color="auto" w:fill="auto"/>
            <w:noWrap/>
            <w:vAlign w:val="bottom"/>
            <w:hideMark/>
          </w:tcPr>
          <w:p w14:paraId="4BF20281" w14:textId="31F20001" w:rsidR="00CC5D86" w:rsidRPr="009D5B83" w:rsidRDefault="00CC5D86" w:rsidP="00CC5D86">
            <w:pPr>
              <w:jc w:val="right"/>
              <w:rPr>
                <w:b/>
                <w:bCs/>
                <w:i/>
                <w:iCs/>
                <w:color w:val="000000"/>
                <w:sz w:val="20"/>
                <w:szCs w:val="20"/>
              </w:rPr>
            </w:pPr>
            <w:r w:rsidRPr="009D5B83">
              <w:rPr>
                <w:b/>
                <w:bCs/>
                <w:i/>
                <w:iCs/>
                <w:color w:val="000000"/>
                <w:sz w:val="20"/>
                <w:szCs w:val="20"/>
              </w:rPr>
              <w:t>432</w:t>
            </w:r>
            <w:r w:rsidR="00EF562D" w:rsidRPr="009D5B83">
              <w:rPr>
                <w:b/>
                <w:bCs/>
                <w:i/>
                <w:iCs/>
                <w:color w:val="000000"/>
                <w:sz w:val="20"/>
                <w:szCs w:val="20"/>
              </w:rPr>
              <w:t>,2</w:t>
            </w:r>
          </w:p>
        </w:tc>
        <w:tc>
          <w:tcPr>
            <w:tcW w:w="1134" w:type="dxa"/>
            <w:shd w:val="clear" w:color="auto" w:fill="auto"/>
            <w:noWrap/>
            <w:vAlign w:val="bottom"/>
            <w:hideMark/>
          </w:tcPr>
          <w:p w14:paraId="1E56E69B" w14:textId="2BF7012E" w:rsidR="00CC5D86" w:rsidRPr="009D5B83" w:rsidRDefault="00CC5D86" w:rsidP="00CC5D86">
            <w:pPr>
              <w:jc w:val="right"/>
              <w:rPr>
                <w:b/>
                <w:bCs/>
                <w:i/>
                <w:iCs/>
                <w:color w:val="000000"/>
                <w:sz w:val="20"/>
                <w:szCs w:val="20"/>
              </w:rPr>
            </w:pPr>
            <w:r w:rsidRPr="009D5B83">
              <w:rPr>
                <w:b/>
                <w:bCs/>
                <w:i/>
                <w:iCs/>
                <w:color w:val="000000"/>
                <w:sz w:val="20"/>
                <w:szCs w:val="20"/>
              </w:rPr>
              <w:t>-19</w:t>
            </w:r>
            <w:r w:rsidR="00EF562D" w:rsidRPr="009D5B83">
              <w:rPr>
                <w:b/>
                <w:bCs/>
                <w:i/>
                <w:iCs/>
                <w:color w:val="000000"/>
                <w:sz w:val="20"/>
                <w:szCs w:val="20"/>
              </w:rPr>
              <w:t>,3</w:t>
            </w:r>
          </w:p>
        </w:tc>
        <w:tc>
          <w:tcPr>
            <w:tcW w:w="703" w:type="dxa"/>
            <w:shd w:val="clear" w:color="auto" w:fill="auto"/>
            <w:noWrap/>
            <w:vAlign w:val="bottom"/>
            <w:hideMark/>
          </w:tcPr>
          <w:p w14:paraId="06D996B0" w14:textId="3DF4FAE2" w:rsidR="00CC5D86" w:rsidRPr="009D5B83" w:rsidRDefault="00CC5D86" w:rsidP="00CC5D86">
            <w:pPr>
              <w:jc w:val="right"/>
              <w:rPr>
                <w:b/>
                <w:bCs/>
                <w:i/>
                <w:iCs/>
                <w:color w:val="000000"/>
                <w:sz w:val="20"/>
                <w:szCs w:val="20"/>
              </w:rPr>
            </w:pPr>
            <w:r w:rsidRPr="009D5B83">
              <w:rPr>
                <w:b/>
                <w:bCs/>
                <w:i/>
                <w:iCs/>
                <w:color w:val="000000"/>
                <w:sz w:val="20"/>
                <w:szCs w:val="20"/>
              </w:rPr>
              <w:t>-4,3</w:t>
            </w:r>
          </w:p>
        </w:tc>
      </w:tr>
      <w:tr w:rsidR="00CC5D86" w:rsidRPr="009D5B83" w14:paraId="3C02AF12" w14:textId="77777777" w:rsidTr="00E853B4">
        <w:trPr>
          <w:trHeight w:val="20"/>
        </w:trPr>
        <w:tc>
          <w:tcPr>
            <w:tcW w:w="5524" w:type="dxa"/>
            <w:shd w:val="clear" w:color="auto" w:fill="auto"/>
            <w:noWrap/>
            <w:vAlign w:val="bottom"/>
            <w:hideMark/>
          </w:tcPr>
          <w:p w14:paraId="33AFA170" w14:textId="1B57879B" w:rsidR="00CC5D86" w:rsidRPr="009D5B83" w:rsidRDefault="00CC5D86" w:rsidP="00CC5D86">
            <w:pPr>
              <w:rPr>
                <w:b/>
                <w:bCs/>
                <w:color w:val="000000"/>
                <w:sz w:val="20"/>
                <w:szCs w:val="20"/>
              </w:rPr>
            </w:pPr>
            <w:bookmarkStart w:id="29" w:name="RANGE!G22"/>
            <w:r w:rsidRPr="009D5B83">
              <w:rPr>
                <w:b/>
                <w:bCs/>
                <w:color w:val="000000"/>
                <w:sz w:val="20"/>
                <w:szCs w:val="20"/>
              </w:rPr>
              <w:t>ГП развития сельского хозяйства и регулирования рынков сельскохозяйственной продукции, сырья и продовольствия</w:t>
            </w:r>
            <w:bookmarkEnd w:id="29"/>
          </w:p>
        </w:tc>
        <w:tc>
          <w:tcPr>
            <w:tcW w:w="992" w:type="dxa"/>
            <w:shd w:val="clear" w:color="auto" w:fill="auto"/>
            <w:noWrap/>
            <w:vAlign w:val="bottom"/>
            <w:hideMark/>
          </w:tcPr>
          <w:p w14:paraId="73D12751" w14:textId="60775917" w:rsidR="00CC5D86" w:rsidRPr="009D5B83" w:rsidRDefault="00CC5D86" w:rsidP="00CC5D86">
            <w:pPr>
              <w:jc w:val="right"/>
              <w:rPr>
                <w:b/>
                <w:bCs/>
                <w:color w:val="000000"/>
                <w:sz w:val="20"/>
                <w:szCs w:val="20"/>
              </w:rPr>
            </w:pPr>
            <w:r w:rsidRPr="009D5B83">
              <w:rPr>
                <w:b/>
                <w:bCs/>
                <w:color w:val="000000"/>
                <w:sz w:val="20"/>
                <w:szCs w:val="20"/>
              </w:rPr>
              <w:t>37</w:t>
            </w:r>
            <w:r w:rsidR="00EF562D" w:rsidRPr="009D5B83">
              <w:rPr>
                <w:b/>
                <w:bCs/>
                <w:color w:val="000000"/>
                <w:sz w:val="20"/>
                <w:szCs w:val="20"/>
              </w:rPr>
              <w:t>6</w:t>
            </w:r>
          </w:p>
        </w:tc>
        <w:tc>
          <w:tcPr>
            <w:tcW w:w="992" w:type="dxa"/>
            <w:shd w:val="clear" w:color="auto" w:fill="auto"/>
            <w:noWrap/>
            <w:vAlign w:val="bottom"/>
            <w:hideMark/>
          </w:tcPr>
          <w:p w14:paraId="39DE4244" w14:textId="5DA1BFC4" w:rsidR="00CC5D86" w:rsidRPr="009D5B83" w:rsidRDefault="00CC5D86" w:rsidP="00CC5D86">
            <w:pPr>
              <w:jc w:val="right"/>
              <w:rPr>
                <w:b/>
                <w:bCs/>
                <w:color w:val="000000"/>
                <w:sz w:val="20"/>
                <w:szCs w:val="20"/>
              </w:rPr>
            </w:pPr>
            <w:r w:rsidRPr="009D5B83">
              <w:rPr>
                <w:b/>
                <w:bCs/>
                <w:color w:val="000000"/>
                <w:sz w:val="20"/>
                <w:szCs w:val="20"/>
              </w:rPr>
              <w:t>344</w:t>
            </w:r>
            <w:r w:rsidR="00EF562D" w:rsidRPr="009D5B83">
              <w:rPr>
                <w:b/>
                <w:bCs/>
                <w:color w:val="000000"/>
                <w:sz w:val="20"/>
                <w:szCs w:val="20"/>
              </w:rPr>
              <w:t>,8</w:t>
            </w:r>
          </w:p>
        </w:tc>
        <w:tc>
          <w:tcPr>
            <w:tcW w:w="1134" w:type="dxa"/>
            <w:shd w:val="clear" w:color="auto" w:fill="auto"/>
            <w:noWrap/>
            <w:vAlign w:val="bottom"/>
            <w:hideMark/>
          </w:tcPr>
          <w:p w14:paraId="1EA0FDA7" w14:textId="21469813" w:rsidR="00CC5D86" w:rsidRPr="009D5B83" w:rsidRDefault="00CC5D86" w:rsidP="00CC5D86">
            <w:pPr>
              <w:jc w:val="right"/>
              <w:rPr>
                <w:b/>
                <w:bCs/>
                <w:color w:val="000000"/>
                <w:sz w:val="20"/>
                <w:szCs w:val="20"/>
              </w:rPr>
            </w:pPr>
            <w:r w:rsidRPr="009D5B83">
              <w:rPr>
                <w:b/>
                <w:bCs/>
                <w:color w:val="000000"/>
                <w:sz w:val="20"/>
                <w:szCs w:val="20"/>
              </w:rPr>
              <w:t>-31</w:t>
            </w:r>
            <w:r w:rsidR="00EF562D" w:rsidRPr="009D5B83">
              <w:rPr>
                <w:b/>
                <w:bCs/>
                <w:color w:val="000000"/>
                <w:sz w:val="20"/>
                <w:szCs w:val="20"/>
              </w:rPr>
              <w:t>,2</w:t>
            </w:r>
          </w:p>
        </w:tc>
        <w:tc>
          <w:tcPr>
            <w:tcW w:w="703" w:type="dxa"/>
            <w:shd w:val="clear" w:color="auto" w:fill="auto"/>
            <w:noWrap/>
            <w:vAlign w:val="bottom"/>
            <w:hideMark/>
          </w:tcPr>
          <w:p w14:paraId="212FA611" w14:textId="2C44CA86" w:rsidR="00CC5D86" w:rsidRPr="009D5B83" w:rsidRDefault="00CC5D86" w:rsidP="00CC5D86">
            <w:pPr>
              <w:jc w:val="right"/>
              <w:rPr>
                <w:b/>
                <w:bCs/>
                <w:color w:val="000000"/>
                <w:sz w:val="20"/>
                <w:szCs w:val="20"/>
              </w:rPr>
            </w:pPr>
            <w:r w:rsidRPr="009D5B83">
              <w:rPr>
                <w:b/>
                <w:bCs/>
                <w:color w:val="000000"/>
                <w:sz w:val="20"/>
                <w:szCs w:val="20"/>
              </w:rPr>
              <w:t>-8,3</w:t>
            </w:r>
          </w:p>
        </w:tc>
      </w:tr>
      <w:tr w:rsidR="00CC5D86" w:rsidRPr="009D5B83" w14:paraId="35145271" w14:textId="77777777" w:rsidTr="00E853B4">
        <w:trPr>
          <w:trHeight w:val="20"/>
        </w:trPr>
        <w:tc>
          <w:tcPr>
            <w:tcW w:w="5524" w:type="dxa"/>
            <w:shd w:val="clear" w:color="auto" w:fill="auto"/>
            <w:noWrap/>
            <w:vAlign w:val="bottom"/>
            <w:hideMark/>
          </w:tcPr>
          <w:p w14:paraId="4E0317A9" w14:textId="18BB4512" w:rsidR="00CC5D86" w:rsidRPr="009D5B83" w:rsidRDefault="00CC5D86" w:rsidP="00CC5D86">
            <w:pPr>
              <w:ind w:left="113"/>
              <w:rPr>
                <w:color w:val="000000"/>
                <w:sz w:val="20"/>
                <w:szCs w:val="20"/>
              </w:rPr>
            </w:pPr>
            <w:r w:rsidRPr="009D5B83">
              <w:rPr>
                <w:color w:val="000000"/>
                <w:sz w:val="20"/>
                <w:szCs w:val="20"/>
              </w:rPr>
              <w:t>ФП «Развитие отраслей и техническая модернизация агропромышленного комплекса»</w:t>
            </w:r>
          </w:p>
        </w:tc>
        <w:tc>
          <w:tcPr>
            <w:tcW w:w="992" w:type="dxa"/>
            <w:shd w:val="clear" w:color="auto" w:fill="auto"/>
            <w:noWrap/>
            <w:vAlign w:val="bottom"/>
            <w:hideMark/>
          </w:tcPr>
          <w:p w14:paraId="67AF8B3B" w14:textId="63558A1F" w:rsidR="00CC5D86" w:rsidRPr="009D5B83" w:rsidRDefault="00CC5D86" w:rsidP="00CC5D86">
            <w:pPr>
              <w:jc w:val="right"/>
              <w:rPr>
                <w:color w:val="000000"/>
                <w:sz w:val="20"/>
                <w:szCs w:val="20"/>
              </w:rPr>
            </w:pPr>
            <w:r w:rsidRPr="009D5B83">
              <w:rPr>
                <w:color w:val="000000"/>
                <w:sz w:val="20"/>
                <w:szCs w:val="20"/>
              </w:rPr>
              <w:t>89</w:t>
            </w:r>
            <w:r w:rsidR="00EF562D" w:rsidRPr="009D5B83">
              <w:rPr>
                <w:color w:val="000000"/>
                <w:sz w:val="20"/>
                <w:szCs w:val="20"/>
              </w:rPr>
              <w:t>,</w:t>
            </w:r>
            <w:r w:rsidRPr="009D5B83">
              <w:rPr>
                <w:color w:val="000000"/>
                <w:sz w:val="20"/>
                <w:szCs w:val="20"/>
              </w:rPr>
              <w:t>5</w:t>
            </w:r>
          </w:p>
        </w:tc>
        <w:tc>
          <w:tcPr>
            <w:tcW w:w="992" w:type="dxa"/>
            <w:shd w:val="clear" w:color="auto" w:fill="auto"/>
            <w:noWrap/>
            <w:vAlign w:val="bottom"/>
            <w:hideMark/>
          </w:tcPr>
          <w:p w14:paraId="547D324B" w14:textId="63A0A525" w:rsidR="00CC5D86" w:rsidRPr="009D5B83" w:rsidRDefault="00CC5D86" w:rsidP="00CC5D86">
            <w:pPr>
              <w:jc w:val="right"/>
              <w:rPr>
                <w:color w:val="000000"/>
                <w:sz w:val="20"/>
                <w:szCs w:val="20"/>
              </w:rPr>
            </w:pPr>
            <w:r w:rsidRPr="009D5B83">
              <w:rPr>
                <w:color w:val="000000"/>
                <w:sz w:val="20"/>
                <w:szCs w:val="20"/>
              </w:rPr>
              <w:t>81</w:t>
            </w:r>
            <w:r w:rsidR="00EF562D" w:rsidRPr="009D5B83">
              <w:rPr>
                <w:color w:val="000000"/>
                <w:sz w:val="20"/>
                <w:szCs w:val="20"/>
              </w:rPr>
              <w:t>,</w:t>
            </w:r>
            <w:r w:rsidRPr="009D5B83">
              <w:rPr>
                <w:color w:val="000000"/>
                <w:sz w:val="20"/>
                <w:szCs w:val="20"/>
              </w:rPr>
              <w:t>9</w:t>
            </w:r>
          </w:p>
        </w:tc>
        <w:tc>
          <w:tcPr>
            <w:tcW w:w="1134" w:type="dxa"/>
            <w:shd w:val="clear" w:color="auto" w:fill="auto"/>
            <w:noWrap/>
            <w:vAlign w:val="bottom"/>
            <w:hideMark/>
          </w:tcPr>
          <w:p w14:paraId="61FF5B9C" w14:textId="24EC6D23" w:rsidR="00CC5D86" w:rsidRPr="009D5B83" w:rsidRDefault="00CC5D86" w:rsidP="00CC5D86">
            <w:pPr>
              <w:jc w:val="right"/>
              <w:rPr>
                <w:color w:val="000000"/>
                <w:sz w:val="20"/>
                <w:szCs w:val="20"/>
              </w:rPr>
            </w:pPr>
            <w:r w:rsidRPr="009D5B83">
              <w:rPr>
                <w:color w:val="000000"/>
                <w:sz w:val="20"/>
                <w:szCs w:val="20"/>
              </w:rPr>
              <w:t>-7</w:t>
            </w:r>
            <w:r w:rsidR="00EF562D" w:rsidRPr="009D5B83">
              <w:rPr>
                <w:color w:val="000000"/>
                <w:sz w:val="20"/>
                <w:szCs w:val="20"/>
              </w:rPr>
              <w:t>,6</w:t>
            </w:r>
          </w:p>
        </w:tc>
        <w:tc>
          <w:tcPr>
            <w:tcW w:w="703" w:type="dxa"/>
            <w:shd w:val="clear" w:color="auto" w:fill="auto"/>
            <w:noWrap/>
            <w:vAlign w:val="bottom"/>
            <w:hideMark/>
          </w:tcPr>
          <w:p w14:paraId="1C6A4CE3" w14:textId="1D239263" w:rsidR="00CC5D86" w:rsidRPr="009D5B83" w:rsidRDefault="00CC5D86" w:rsidP="00CC5D86">
            <w:pPr>
              <w:jc w:val="right"/>
              <w:rPr>
                <w:color w:val="000000"/>
                <w:sz w:val="20"/>
                <w:szCs w:val="20"/>
              </w:rPr>
            </w:pPr>
            <w:r w:rsidRPr="009D5B83">
              <w:rPr>
                <w:color w:val="000000"/>
                <w:sz w:val="20"/>
                <w:szCs w:val="20"/>
              </w:rPr>
              <w:t>-8,5</w:t>
            </w:r>
          </w:p>
        </w:tc>
      </w:tr>
      <w:tr w:rsidR="00CC5D86" w:rsidRPr="009D5B83" w14:paraId="699BE78F" w14:textId="77777777" w:rsidTr="00E853B4">
        <w:trPr>
          <w:trHeight w:val="20"/>
        </w:trPr>
        <w:tc>
          <w:tcPr>
            <w:tcW w:w="5524" w:type="dxa"/>
            <w:shd w:val="clear" w:color="auto" w:fill="auto"/>
            <w:noWrap/>
            <w:vAlign w:val="bottom"/>
            <w:hideMark/>
          </w:tcPr>
          <w:p w14:paraId="67AB98CF" w14:textId="1D76B8DA" w:rsidR="00CC5D86" w:rsidRPr="009D5B83" w:rsidRDefault="00CC5D86" w:rsidP="00CC5D86">
            <w:pPr>
              <w:ind w:left="113"/>
              <w:rPr>
                <w:color w:val="000000"/>
                <w:sz w:val="20"/>
                <w:szCs w:val="20"/>
              </w:rPr>
            </w:pPr>
            <w:r w:rsidRPr="009D5B83">
              <w:rPr>
                <w:color w:val="000000"/>
                <w:sz w:val="20"/>
                <w:szCs w:val="20"/>
              </w:rPr>
              <w:t>ФП «Стимулирование инвестиционной деятельности в агропромышленном комплексе»</w:t>
            </w:r>
          </w:p>
        </w:tc>
        <w:tc>
          <w:tcPr>
            <w:tcW w:w="992" w:type="dxa"/>
            <w:shd w:val="clear" w:color="auto" w:fill="auto"/>
            <w:noWrap/>
            <w:vAlign w:val="bottom"/>
            <w:hideMark/>
          </w:tcPr>
          <w:p w14:paraId="3D121C49" w14:textId="6E9E4F18" w:rsidR="00CC5D86" w:rsidRPr="009D5B83" w:rsidRDefault="00CC5D86" w:rsidP="00CC5D86">
            <w:pPr>
              <w:jc w:val="right"/>
              <w:rPr>
                <w:color w:val="000000"/>
                <w:sz w:val="20"/>
                <w:szCs w:val="20"/>
              </w:rPr>
            </w:pPr>
            <w:r w:rsidRPr="009D5B83">
              <w:rPr>
                <w:color w:val="000000"/>
                <w:sz w:val="20"/>
                <w:szCs w:val="20"/>
              </w:rPr>
              <w:t>183</w:t>
            </w:r>
            <w:r w:rsidR="00EF562D" w:rsidRPr="009D5B83">
              <w:rPr>
                <w:color w:val="000000"/>
                <w:sz w:val="20"/>
                <w:szCs w:val="20"/>
              </w:rPr>
              <w:t>,2</w:t>
            </w:r>
          </w:p>
        </w:tc>
        <w:tc>
          <w:tcPr>
            <w:tcW w:w="992" w:type="dxa"/>
            <w:shd w:val="clear" w:color="auto" w:fill="auto"/>
            <w:noWrap/>
            <w:vAlign w:val="bottom"/>
            <w:hideMark/>
          </w:tcPr>
          <w:p w14:paraId="7AD3E340" w14:textId="4A4D4BFF" w:rsidR="00CC5D86" w:rsidRPr="009D5B83" w:rsidRDefault="00CC5D86" w:rsidP="00CC5D86">
            <w:pPr>
              <w:jc w:val="right"/>
              <w:rPr>
                <w:color w:val="000000"/>
                <w:sz w:val="20"/>
                <w:szCs w:val="20"/>
              </w:rPr>
            </w:pPr>
            <w:r w:rsidRPr="009D5B83">
              <w:rPr>
                <w:color w:val="000000"/>
                <w:sz w:val="20"/>
                <w:szCs w:val="20"/>
              </w:rPr>
              <w:t>173</w:t>
            </w:r>
            <w:r w:rsidR="00EF562D" w:rsidRPr="009D5B83">
              <w:rPr>
                <w:color w:val="000000"/>
                <w:sz w:val="20"/>
                <w:szCs w:val="20"/>
              </w:rPr>
              <w:t>,</w:t>
            </w:r>
            <w:r w:rsidRPr="009D5B83">
              <w:rPr>
                <w:color w:val="000000"/>
                <w:sz w:val="20"/>
                <w:szCs w:val="20"/>
              </w:rPr>
              <w:t>4</w:t>
            </w:r>
          </w:p>
        </w:tc>
        <w:tc>
          <w:tcPr>
            <w:tcW w:w="1134" w:type="dxa"/>
            <w:shd w:val="clear" w:color="auto" w:fill="auto"/>
            <w:noWrap/>
            <w:vAlign w:val="bottom"/>
            <w:hideMark/>
          </w:tcPr>
          <w:p w14:paraId="2DC1FA13" w14:textId="12694E48" w:rsidR="00CC5D86" w:rsidRPr="009D5B83" w:rsidRDefault="00CC5D86" w:rsidP="00CC5D86">
            <w:pPr>
              <w:jc w:val="right"/>
              <w:rPr>
                <w:color w:val="000000"/>
                <w:sz w:val="20"/>
                <w:szCs w:val="20"/>
              </w:rPr>
            </w:pPr>
            <w:r w:rsidRPr="009D5B83">
              <w:rPr>
                <w:color w:val="000000"/>
                <w:sz w:val="20"/>
                <w:szCs w:val="20"/>
              </w:rPr>
              <w:t>-9</w:t>
            </w:r>
            <w:r w:rsidR="00EF562D" w:rsidRPr="009D5B83">
              <w:rPr>
                <w:color w:val="000000"/>
                <w:sz w:val="20"/>
                <w:szCs w:val="20"/>
              </w:rPr>
              <w:t>,8</w:t>
            </w:r>
          </w:p>
        </w:tc>
        <w:tc>
          <w:tcPr>
            <w:tcW w:w="703" w:type="dxa"/>
            <w:shd w:val="clear" w:color="auto" w:fill="auto"/>
            <w:noWrap/>
            <w:vAlign w:val="bottom"/>
            <w:hideMark/>
          </w:tcPr>
          <w:p w14:paraId="05A36D11" w14:textId="6CECCF0F" w:rsidR="00CC5D86" w:rsidRPr="009D5B83" w:rsidRDefault="00CC5D86" w:rsidP="00CC5D86">
            <w:pPr>
              <w:jc w:val="right"/>
              <w:rPr>
                <w:color w:val="000000"/>
                <w:sz w:val="20"/>
                <w:szCs w:val="20"/>
              </w:rPr>
            </w:pPr>
            <w:r w:rsidRPr="009D5B83">
              <w:rPr>
                <w:color w:val="000000"/>
                <w:sz w:val="20"/>
                <w:szCs w:val="20"/>
              </w:rPr>
              <w:t>-5,3</w:t>
            </w:r>
          </w:p>
        </w:tc>
      </w:tr>
      <w:tr w:rsidR="00CC5D86" w:rsidRPr="009D5B83" w14:paraId="5A3DA92E" w14:textId="77777777" w:rsidTr="00E853B4">
        <w:trPr>
          <w:trHeight w:val="20"/>
        </w:trPr>
        <w:tc>
          <w:tcPr>
            <w:tcW w:w="5524" w:type="dxa"/>
            <w:shd w:val="clear" w:color="auto" w:fill="auto"/>
            <w:noWrap/>
            <w:vAlign w:val="bottom"/>
            <w:hideMark/>
          </w:tcPr>
          <w:p w14:paraId="1D0F569B" w14:textId="7D1C15CF" w:rsidR="00CC5D86" w:rsidRPr="009D5B83" w:rsidRDefault="00CC5D86" w:rsidP="00CC5D86">
            <w:pPr>
              <w:ind w:left="113"/>
              <w:rPr>
                <w:color w:val="000000"/>
                <w:sz w:val="20"/>
                <w:szCs w:val="20"/>
              </w:rPr>
            </w:pPr>
            <w:r w:rsidRPr="009D5B83">
              <w:rPr>
                <w:color w:val="000000"/>
                <w:sz w:val="20"/>
                <w:szCs w:val="20"/>
              </w:rPr>
              <w:t>ФП «Развитие отраслей овощеводства и картофелеводства»</w:t>
            </w:r>
          </w:p>
        </w:tc>
        <w:tc>
          <w:tcPr>
            <w:tcW w:w="992" w:type="dxa"/>
            <w:shd w:val="clear" w:color="auto" w:fill="auto"/>
            <w:noWrap/>
            <w:vAlign w:val="bottom"/>
            <w:hideMark/>
          </w:tcPr>
          <w:p w14:paraId="707A433C" w14:textId="77777777" w:rsidR="00CC5D86" w:rsidRPr="009D5B83" w:rsidRDefault="00CC5D86" w:rsidP="00CC5D86">
            <w:pPr>
              <w:jc w:val="right"/>
              <w:rPr>
                <w:color w:val="000000"/>
                <w:sz w:val="20"/>
                <w:szCs w:val="20"/>
              </w:rPr>
            </w:pPr>
            <w:r w:rsidRPr="009D5B83">
              <w:rPr>
                <w:color w:val="000000"/>
                <w:sz w:val="20"/>
                <w:szCs w:val="20"/>
              </w:rPr>
              <w:t>0</w:t>
            </w:r>
          </w:p>
        </w:tc>
        <w:tc>
          <w:tcPr>
            <w:tcW w:w="992" w:type="dxa"/>
            <w:shd w:val="clear" w:color="auto" w:fill="auto"/>
            <w:noWrap/>
            <w:vAlign w:val="bottom"/>
            <w:hideMark/>
          </w:tcPr>
          <w:p w14:paraId="1D724737" w14:textId="397DB144" w:rsidR="00CC5D86" w:rsidRPr="009D5B83" w:rsidRDefault="00CC5D86" w:rsidP="00CC5D86">
            <w:pPr>
              <w:jc w:val="right"/>
              <w:rPr>
                <w:color w:val="000000"/>
                <w:sz w:val="20"/>
                <w:szCs w:val="20"/>
              </w:rPr>
            </w:pPr>
            <w:r w:rsidRPr="009D5B83">
              <w:rPr>
                <w:color w:val="000000"/>
                <w:sz w:val="20"/>
                <w:szCs w:val="20"/>
              </w:rPr>
              <w:t>5</w:t>
            </w:r>
          </w:p>
        </w:tc>
        <w:tc>
          <w:tcPr>
            <w:tcW w:w="1134" w:type="dxa"/>
            <w:shd w:val="clear" w:color="auto" w:fill="auto"/>
            <w:noWrap/>
            <w:vAlign w:val="bottom"/>
            <w:hideMark/>
          </w:tcPr>
          <w:p w14:paraId="4422CA8B" w14:textId="26065C57" w:rsidR="00CC5D86" w:rsidRPr="009D5B83" w:rsidRDefault="00CC5D86" w:rsidP="00CC5D86">
            <w:pPr>
              <w:jc w:val="right"/>
              <w:rPr>
                <w:color w:val="000000"/>
                <w:sz w:val="20"/>
                <w:szCs w:val="20"/>
              </w:rPr>
            </w:pPr>
            <w:r w:rsidRPr="009D5B83">
              <w:rPr>
                <w:color w:val="000000"/>
                <w:sz w:val="20"/>
                <w:szCs w:val="20"/>
              </w:rPr>
              <w:t>5</w:t>
            </w:r>
          </w:p>
        </w:tc>
        <w:tc>
          <w:tcPr>
            <w:tcW w:w="703" w:type="dxa"/>
            <w:shd w:val="clear" w:color="auto" w:fill="auto"/>
            <w:noWrap/>
            <w:vAlign w:val="bottom"/>
            <w:hideMark/>
          </w:tcPr>
          <w:p w14:paraId="05C10DDE" w14:textId="77777777" w:rsidR="00CC5D86" w:rsidRPr="009D5B83" w:rsidRDefault="00CC5D86" w:rsidP="00CC5D86">
            <w:pPr>
              <w:jc w:val="right"/>
              <w:rPr>
                <w:color w:val="000000"/>
                <w:sz w:val="20"/>
                <w:szCs w:val="20"/>
              </w:rPr>
            </w:pPr>
          </w:p>
        </w:tc>
      </w:tr>
      <w:tr w:rsidR="00CC5D86" w:rsidRPr="009D5B83" w14:paraId="2ACEA3DF" w14:textId="77777777" w:rsidTr="00E853B4">
        <w:trPr>
          <w:trHeight w:val="20"/>
        </w:trPr>
        <w:tc>
          <w:tcPr>
            <w:tcW w:w="5524" w:type="dxa"/>
            <w:shd w:val="clear" w:color="auto" w:fill="auto"/>
            <w:noWrap/>
            <w:vAlign w:val="bottom"/>
            <w:hideMark/>
          </w:tcPr>
          <w:p w14:paraId="0A903802" w14:textId="78C06103" w:rsidR="00CC5D86" w:rsidRPr="009D5B83" w:rsidRDefault="00CC5D86" w:rsidP="00CC5D86">
            <w:pPr>
              <w:ind w:left="113"/>
              <w:rPr>
                <w:color w:val="000000"/>
                <w:sz w:val="20"/>
                <w:szCs w:val="20"/>
              </w:rPr>
            </w:pPr>
            <w:r w:rsidRPr="009D5B83">
              <w:rPr>
                <w:color w:val="000000"/>
                <w:sz w:val="20"/>
                <w:szCs w:val="20"/>
              </w:rPr>
              <w:t>ФП «Экспорт продукции агропромышленного комплекса»</w:t>
            </w:r>
          </w:p>
        </w:tc>
        <w:tc>
          <w:tcPr>
            <w:tcW w:w="992" w:type="dxa"/>
            <w:shd w:val="clear" w:color="auto" w:fill="auto"/>
            <w:noWrap/>
            <w:vAlign w:val="bottom"/>
            <w:hideMark/>
          </w:tcPr>
          <w:p w14:paraId="59C16696" w14:textId="0756964C" w:rsidR="00CC5D86" w:rsidRPr="009D5B83" w:rsidRDefault="00CC5D86" w:rsidP="00CC5D86">
            <w:pPr>
              <w:jc w:val="right"/>
              <w:rPr>
                <w:color w:val="000000"/>
                <w:sz w:val="20"/>
                <w:szCs w:val="20"/>
              </w:rPr>
            </w:pPr>
            <w:r w:rsidRPr="009D5B83">
              <w:rPr>
                <w:color w:val="000000"/>
                <w:sz w:val="20"/>
                <w:szCs w:val="20"/>
              </w:rPr>
              <w:t>6</w:t>
            </w:r>
            <w:r w:rsidR="00EF562D" w:rsidRPr="009D5B83">
              <w:rPr>
                <w:color w:val="000000"/>
                <w:sz w:val="20"/>
                <w:szCs w:val="20"/>
              </w:rPr>
              <w:t xml:space="preserve">3 </w:t>
            </w:r>
          </w:p>
        </w:tc>
        <w:tc>
          <w:tcPr>
            <w:tcW w:w="992" w:type="dxa"/>
            <w:shd w:val="clear" w:color="auto" w:fill="auto"/>
            <w:noWrap/>
            <w:vAlign w:val="bottom"/>
            <w:hideMark/>
          </w:tcPr>
          <w:p w14:paraId="6B897BBB" w14:textId="1FD08BCC" w:rsidR="00CC5D86" w:rsidRPr="009D5B83" w:rsidRDefault="00CC5D86" w:rsidP="00CC5D86">
            <w:pPr>
              <w:jc w:val="right"/>
              <w:rPr>
                <w:color w:val="000000"/>
                <w:sz w:val="20"/>
                <w:szCs w:val="20"/>
              </w:rPr>
            </w:pPr>
            <w:r w:rsidRPr="009D5B83">
              <w:rPr>
                <w:color w:val="000000"/>
                <w:sz w:val="20"/>
                <w:szCs w:val="20"/>
              </w:rPr>
              <w:t>41</w:t>
            </w:r>
            <w:r w:rsidR="00EF562D" w:rsidRPr="009D5B83">
              <w:rPr>
                <w:color w:val="000000"/>
                <w:sz w:val="20"/>
                <w:szCs w:val="20"/>
              </w:rPr>
              <w:t>,4</w:t>
            </w:r>
          </w:p>
        </w:tc>
        <w:tc>
          <w:tcPr>
            <w:tcW w:w="1134" w:type="dxa"/>
            <w:shd w:val="clear" w:color="auto" w:fill="auto"/>
            <w:noWrap/>
            <w:vAlign w:val="bottom"/>
            <w:hideMark/>
          </w:tcPr>
          <w:p w14:paraId="145C9CB6" w14:textId="1E8FCEB4" w:rsidR="00CC5D86" w:rsidRPr="009D5B83" w:rsidRDefault="00CC5D86" w:rsidP="00CC5D86">
            <w:pPr>
              <w:jc w:val="right"/>
              <w:rPr>
                <w:color w:val="000000"/>
                <w:sz w:val="20"/>
                <w:szCs w:val="20"/>
              </w:rPr>
            </w:pPr>
            <w:r w:rsidRPr="009D5B83">
              <w:rPr>
                <w:color w:val="000000"/>
                <w:sz w:val="20"/>
                <w:szCs w:val="20"/>
              </w:rPr>
              <w:t>-21</w:t>
            </w:r>
            <w:r w:rsidR="00EF562D" w:rsidRPr="009D5B83">
              <w:rPr>
                <w:color w:val="000000"/>
                <w:sz w:val="20"/>
                <w:szCs w:val="20"/>
              </w:rPr>
              <w:t>,</w:t>
            </w:r>
            <w:r w:rsidRPr="009D5B83">
              <w:rPr>
                <w:color w:val="000000"/>
                <w:sz w:val="20"/>
                <w:szCs w:val="20"/>
              </w:rPr>
              <w:t>6</w:t>
            </w:r>
          </w:p>
        </w:tc>
        <w:tc>
          <w:tcPr>
            <w:tcW w:w="703" w:type="dxa"/>
            <w:shd w:val="clear" w:color="auto" w:fill="auto"/>
            <w:noWrap/>
            <w:vAlign w:val="bottom"/>
            <w:hideMark/>
          </w:tcPr>
          <w:p w14:paraId="3FF4BB9F" w14:textId="0DF98EB5" w:rsidR="00CC5D86" w:rsidRPr="009D5B83" w:rsidRDefault="00CC5D86" w:rsidP="00CC5D86">
            <w:pPr>
              <w:jc w:val="right"/>
              <w:rPr>
                <w:color w:val="000000"/>
                <w:sz w:val="20"/>
                <w:szCs w:val="20"/>
              </w:rPr>
            </w:pPr>
            <w:r w:rsidRPr="009D5B83">
              <w:rPr>
                <w:color w:val="000000"/>
                <w:sz w:val="20"/>
                <w:szCs w:val="20"/>
              </w:rPr>
              <w:t>-34,3</w:t>
            </w:r>
          </w:p>
        </w:tc>
      </w:tr>
      <w:tr w:rsidR="00CC5D86" w:rsidRPr="009D5B83" w14:paraId="701C4244" w14:textId="77777777" w:rsidTr="00E853B4">
        <w:trPr>
          <w:trHeight w:val="20"/>
        </w:trPr>
        <w:tc>
          <w:tcPr>
            <w:tcW w:w="5524" w:type="dxa"/>
            <w:shd w:val="clear" w:color="auto" w:fill="auto"/>
            <w:noWrap/>
            <w:vAlign w:val="bottom"/>
            <w:hideMark/>
          </w:tcPr>
          <w:p w14:paraId="54716512" w14:textId="0D718DE8" w:rsidR="00CC5D86" w:rsidRPr="009D5B83" w:rsidRDefault="00CC5D86" w:rsidP="00CC5D86">
            <w:pPr>
              <w:ind w:left="113"/>
              <w:rPr>
                <w:color w:val="000000"/>
                <w:sz w:val="20"/>
                <w:szCs w:val="20"/>
              </w:rPr>
            </w:pPr>
            <w:r w:rsidRPr="009D5B83">
              <w:rPr>
                <w:color w:val="000000"/>
                <w:sz w:val="20"/>
                <w:szCs w:val="20"/>
              </w:rPr>
              <w:t>КПМ «Обеспечение деятельности Министерства сельского хозяйства Российской Федерации и подведомственных организаций»</w:t>
            </w:r>
          </w:p>
        </w:tc>
        <w:tc>
          <w:tcPr>
            <w:tcW w:w="992" w:type="dxa"/>
            <w:shd w:val="clear" w:color="auto" w:fill="auto"/>
            <w:noWrap/>
            <w:vAlign w:val="bottom"/>
            <w:hideMark/>
          </w:tcPr>
          <w:p w14:paraId="1D3F532F" w14:textId="585DB9F9" w:rsidR="00CC5D86" w:rsidRPr="009D5B83" w:rsidRDefault="00CC5D86" w:rsidP="00CC5D86">
            <w:pPr>
              <w:jc w:val="right"/>
              <w:rPr>
                <w:color w:val="000000"/>
                <w:sz w:val="20"/>
                <w:szCs w:val="20"/>
              </w:rPr>
            </w:pPr>
            <w:r w:rsidRPr="009D5B83">
              <w:rPr>
                <w:color w:val="000000"/>
                <w:sz w:val="20"/>
                <w:szCs w:val="20"/>
              </w:rPr>
              <w:t>17</w:t>
            </w:r>
            <w:r w:rsidR="00EF562D" w:rsidRPr="009D5B83">
              <w:rPr>
                <w:color w:val="000000"/>
                <w:sz w:val="20"/>
                <w:szCs w:val="20"/>
              </w:rPr>
              <w:t>,</w:t>
            </w:r>
            <w:r w:rsidRPr="009D5B83">
              <w:rPr>
                <w:color w:val="000000"/>
                <w:sz w:val="20"/>
                <w:szCs w:val="20"/>
              </w:rPr>
              <w:t>5</w:t>
            </w:r>
          </w:p>
        </w:tc>
        <w:tc>
          <w:tcPr>
            <w:tcW w:w="992" w:type="dxa"/>
            <w:shd w:val="clear" w:color="auto" w:fill="auto"/>
            <w:noWrap/>
            <w:vAlign w:val="bottom"/>
            <w:hideMark/>
          </w:tcPr>
          <w:p w14:paraId="2166FE47" w14:textId="1EB4643E" w:rsidR="00CC5D86" w:rsidRPr="009D5B83" w:rsidRDefault="00CC5D86" w:rsidP="00CC5D86">
            <w:pPr>
              <w:jc w:val="right"/>
              <w:rPr>
                <w:color w:val="000000"/>
                <w:sz w:val="20"/>
                <w:szCs w:val="20"/>
              </w:rPr>
            </w:pPr>
            <w:r w:rsidRPr="009D5B83">
              <w:rPr>
                <w:color w:val="000000"/>
                <w:sz w:val="20"/>
                <w:szCs w:val="20"/>
              </w:rPr>
              <w:t>19</w:t>
            </w:r>
            <w:r w:rsidR="00EF562D" w:rsidRPr="009D5B83">
              <w:rPr>
                <w:color w:val="000000"/>
                <w:sz w:val="20"/>
                <w:szCs w:val="20"/>
              </w:rPr>
              <w:t>,8</w:t>
            </w:r>
          </w:p>
        </w:tc>
        <w:tc>
          <w:tcPr>
            <w:tcW w:w="1134" w:type="dxa"/>
            <w:shd w:val="clear" w:color="auto" w:fill="auto"/>
            <w:noWrap/>
            <w:vAlign w:val="bottom"/>
            <w:hideMark/>
          </w:tcPr>
          <w:p w14:paraId="0735B939" w14:textId="09766FC0"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,3</w:t>
            </w:r>
          </w:p>
        </w:tc>
        <w:tc>
          <w:tcPr>
            <w:tcW w:w="703" w:type="dxa"/>
            <w:shd w:val="clear" w:color="auto" w:fill="auto"/>
            <w:noWrap/>
            <w:vAlign w:val="bottom"/>
            <w:hideMark/>
          </w:tcPr>
          <w:p w14:paraId="330F6180" w14:textId="1FA9C855" w:rsidR="00CC5D86" w:rsidRPr="009D5B83" w:rsidRDefault="00CC5D86" w:rsidP="00CC5D86">
            <w:pPr>
              <w:jc w:val="right"/>
              <w:rPr>
                <w:color w:val="000000"/>
                <w:sz w:val="20"/>
                <w:szCs w:val="20"/>
              </w:rPr>
            </w:pPr>
            <w:r w:rsidRPr="009D5B83">
              <w:rPr>
                <w:color w:val="000000"/>
                <w:sz w:val="20"/>
                <w:szCs w:val="20"/>
              </w:rPr>
              <w:t>12,9</w:t>
            </w:r>
          </w:p>
        </w:tc>
      </w:tr>
      <w:tr w:rsidR="00CC5D86" w:rsidRPr="009D5B83" w14:paraId="43255AFE" w14:textId="77777777" w:rsidTr="00E853B4">
        <w:trPr>
          <w:trHeight w:val="20"/>
        </w:trPr>
        <w:tc>
          <w:tcPr>
            <w:tcW w:w="5524" w:type="dxa"/>
            <w:shd w:val="clear" w:color="auto" w:fill="auto"/>
            <w:noWrap/>
            <w:vAlign w:val="bottom"/>
            <w:hideMark/>
          </w:tcPr>
          <w:p w14:paraId="07271195" w14:textId="28E5361A" w:rsidR="00CC5D86" w:rsidRPr="009D5B83" w:rsidRDefault="00CC5D86" w:rsidP="00CC5D86">
            <w:pPr>
              <w:ind w:left="113"/>
              <w:rPr>
                <w:color w:val="000000"/>
                <w:sz w:val="20"/>
                <w:szCs w:val="20"/>
              </w:rPr>
            </w:pPr>
            <w:r w:rsidRPr="009D5B83">
              <w:rPr>
                <w:color w:val="000000"/>
                <w:sz w:val="20"/>
                <w:szCs w:val="20"/>
              </w:rPr>
              <w:t>КПМ «Организация ветеринарного и фитосанитарного надзора»</w:t>
            </w:r>
          </w:p>
        </w:tc>
        <w:tc>
          <w:tcPr>
            <w:tcW w:w="992" w:type="dxa"/>
            <w:shd w:val="clear" w:color="auto" w:fill="auto"/>
            <w:noWrap/>
            <w:vAlign w:val="bottom"/>
            <w:hideMark/>
          </w:tcPr>
          <w:p w14:paraId="00DA43BF" w14:textId="7C593E30" w:rsidR="00CC5D86" w:rsidRPr="009D5B83" w:rsidRDefault="00CC5D86" w:rsidP="00CC5D86">
            <w:pPr>
              <w:jc w:val="right"/>
              <w:rPr>
                <w:color w:val="000000"/>
                <w:sz w:val="20"/>
                <w:szCs w:val="20"/>
              </w:rPr>
            </w:pPr>
            <w:r w:rsidRPr="009D5B83">
              <w:rPr>
                <w:color w:val="000000"/>
                <w:sz w:val="20"/>
                <w:szCs w:val="20"/>
              </w:rPr>
              <w:t>12</w:t>
            </w:r>
            <w:r w:rsidR="00EF562D" w:rsidRPr="009D5B83">
              <w:rPr>
                <w:color w:val="000000"/>
                <w:sz w:val="20"/>
                <w:szCs w:val="20"/>
              </w:rPr>
              <w:t>,7</w:t>
            </w:r>
          </w:p>
        </w:tc>
        <w:tc>
          <w:tcPr>
            <w:tcW w:w="992" w:type="dxa"/>
            <w:shd w:val="clear" w:color="auto" w:fill="auto"/>
            <w:noWrap/>
            <w:vAlign w:val="bottom"/>
            <w:hideMark/>
          </w:tcPr>
          <w:p w14:paraId="506595DB" w14:textId="06B3A0DE" w:rsidR="00CC5D86" w:rsidRPr="009D5B83" w:rsidRDefault="00CC5D86" w:rsidP="00CC5D86">
            <w:pPr>
              <w:jc w:val="right"/>
              <w:rPr>
                <w:color w:val="000000"/>
                <w:sz w:val="20"/>
                <w:szCs w:val="20"/>
              </w:rPr>
            </w:pPr>
            <w:r w:rsidRPr="009D5B83">
              <w:rPr>
                <w:color w:val="000000"/>
                <w:sz w:val="20"/>
                <w:szCs w:val="20"/>
              </w:rPr>
              <w:t>10</w:t>
            </w:r>
            <w:r w:rsidR="00EF562D" w:rsidRPr="009D5B83">
              <w:rPr>
                <w:color w:val="000000"/>
                <w:sz w:val="20"/>
                <w:szCs w:val="20"/>
              </w:rPr>
              <w:t>,3</w:t>
            </w:r>
          </w:p>
        </w:tc>
        <w:tc>
          <w:tcPr>
            <w:tcW w:w="1134" w:type="dxa"/>
            <w:shd w:val="clear" w:color="auto" w:fill="auto"/>
            <w:noWrap/>
            <w:vAlign w:val="bottom"/>
            <w:hideMark/>
          </w:tcPr>
          <w:p w14:paraId="6432D77C" w14:textId="342F07A4"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,4</w:t>
            </w:r>
          </w:p>
        </w:tc>
        <w:tc>
          <w:tcPr>
            <w:tcW w:w="703" w:type="dxa"/>
            <w:shd w:val="clear" w:color="auto" w:fill="auto"/>
            <w:noWrap/>
            <w:vAlign w:val="bottom"/>
            <w:hideMark/>
          </w:tcPr>
          <w:p w14:paraId="0D81AF0E" w14:textId="0B44F1C1" w:rsidR="00CC5D86" w:rsidRPr="009D5B83" w:rsidRDefault="00CC5D86" w:rsidP="00CC5D86">
            <w:pPr>
              <w:jc w:val="right"/>
              <w:rPr>
                <w:color w:val="000000"/>
                <w:sz w:val="20"/>
                <w:szCs w:val="20"/>
              </w:rPr>
            </w:pPr>
            <w:r w:rsidRPr="009D5B83">
              <w:rPr>
                <w:color w:val="000000"/>
                <w:sz w:val="20"/>
                <w:szCs w:val="20"/>
              </w:rPr>
              <w:t>-18,8</w:t>
            </w:r>
          </w:p>
        </w:tc>
      </w:tr>
      <w:tr w:rsidR="00CC5D86" w:rsidRPr="009D5B83" w14:paraId="1842FDC8" w14:textId="77777777" w:rsidTr="00E853B4">
        <w:trPr>
          <w:trHeight w:val="20"/>
        </w:trPr>
        <w:tc>
          <w:tcPr>
            <w:tcW w:w="5524" w:type="dxa"/>
            <w:shd w:val="clear" w:color="auto" w:fill="auto"/>
            <w:noWrap/>
            <w:vAlign w:val="bottom"/>
            <w:hideMark/>
          </w:tcPr>
          <w:p w14:paraId="0B2090E0" w14:textId="77777777" w:rsidR="00CC5D86" w:rsidRPr="009D5B83" w:rsidRDefault="00CC5D86" w:rsidP="00CC5D86">
            <w:pPr>
              <w:ind w:left="113"/>
              <w:rPr>
                <w:color w:val="000000"/>
                <w:sz w:val="20"/>
                <w:szCs w:val="20"/>
              </w:rPr>
            </w:pPr>
            <w:r w:rsidRPr="009D5B83">
              <w:rPr>
                <w:color w:val="000000"/>
                <w:sz w:val="20"/>
                <w:szCs w:val="20"/>
              </w:rPr>
              <w:t>Прочее</w:t>
            </w:r>
          </w:p>
        </w:tc>
        <w:tc>
          <w:tcPr>
            <w:tcW w:w="992" w:type="dxa"/>
            <w:shd w:val="clear" w:color="auto" w:fill="auto"/>
            <w:noWrap/>
            <w:vAlign w:val="bottom"/>
            <w:hideMark/>
          </w:tcPr>
          <w:p w14:paraId="7B62A99A" w14:textId="6EFB1E0D" w:rsidR="00CC5D86" w:rsidRPr="009D5B83" w:rsidRDefault="00CC5D86" w:rsidP="00CC5D86">
            <w:pPr>
              <w:jc w:val="right"/>
              <w:rPr>
                <w:color w:val="000000"/>
                <w:sz w:val="20"/>
                <w:szCs w:val="20"/>
              </w:rPr>
            </w:pPr>
            <w:r w:rsidRPr="009D5B83">
              <w:rPr>
                <w:color w:val="000000"/>
                <w:sz w:val="20"/>
                <w:szCs w:val="20"/>
              </w:rPr>
              <w:t>10</w:t>
            </w:r>
            <w:r w:rsidR="00EF562D" w:rsidRPr="009D5B83">
              <w:rPr>
                <w:color w:val="000000"/>
                <w:sz w:val="20"/>
                <w:szCs w:val="20"/>
              </w:rPr>
              <w:t>,</w:t>
            </w:r>
            <w:r w:rsidRPr="009D5B83">
              <w:rPr>
                <w:color w:val="000000"/>
                <w:sz w:val="20"/>
                <w:szCs w:val="20"/>
              </w:rPr>
              <w:t>1</w:t>
            </w:r>
          </w:p>
        </w:tc>
        <w:tc>
          <w:tcPr>
            <w:tcW w:w="992" w:type="dxa"/>
            <w:shd w:val="clear" w:color="auto" w:fill="auto"/>
            <w:noWrap/>
            <w:vAlign w:val="bottom"/>
            <w:hideMark/>
          </w:tcPr>
          <w:p w14:paraId="13117D0C" w14:textId="32BCC79E" w:rsidR="00CC5D86" w:rsidRPr="009D5B83" w:rsidRDefault="00CC5D86" w:rsidP="00CC5D86">
            <w:pPr>
              <w:jc w:val="right"/>
              <w:rPr>
                <w:color w:val="000000"/>
                <w:sz w:val="20"/>
                <w:szCs w:val="20"/>
              </w:rPr>
            </w:pPr>
            <w:r w:rsidRPr="009D5B83">
              <w:rPr>
                <w:color w:val="000000"/>
                <w:sz w:val="20"/>
                <w:szCs w:val="20"/>
              </w:rPr>
              <w:t>13</w:t>
            </w:r>
          </w:p>
        </w:tc>
        <w:tc>
          <w:tcPr>
            <w:tcW w:w="1134" w:type="dxa"/>
            <w:shd w:val="clear" w:color="auto" w:fill="auto"/>
            <w:noWrap/>
            <w:vAlign w:val="bottom"/>
            <w:hideMark/>
          </w:tcPr>
          <w:p w14:paraId="20F6F1D4" w14:textId="0F42CBA6"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,9</w:t>
            </w:r>
          </w:p>
        </w:tc>
        <w:tc>
          <w:tcPr>
            <w:tcW w:w="703" w:type="dxa"/>
            <w:shd w:val="clear" w:color="auto" w:fill="auto"/>
            <w:noWrap/>
            <w:vAlign w:val="bottom"/>
            <w:hideMark/>
          </w:tcPr>
          <w:p w14:paraId="3CA81BE5" w14:textId="108B4B37" w:rsidR="00CC5D86" w:rsidRPr="009D5B83" w:rsidRDefault="00CC5D86" w:rsidP="00CC5D86">
            <w:pPr>
              <w:jc w:val="right"/>
              <w:rPr>
                <w:color w:val="000000"/>
                <w:sz w:val="20"/>
                <w:szCs w:val="20"/>
              </w:rPr>
            </w:pPr>
            <w:r w:rsidRPr="009D5B83">
              <w:rPr>
                <w:color w:val="000000"/>
                <w:sz w:val="20"/>
                <w:szCs w:val="20"/>
              </w:rPr>
              <w:t>28,4</w:t>
            </w:r>
          </w:p>
        </w:tc>
      </w:tr>
      <w:tr w:rsidR="00CC5D86" w:rsidRPr="009D5B83" w14:paraId="45B97AC0" w14:textId="77777777" w:rsidTr="00E853B4">
        <w:trPr>
          <w:trHeight w:val="20"/>
        </w:trPr>
        <w:tc>
          <w:tcPr>
            <w:tcW w:w="5524" w:type="dxa"/>
            <w:shd w:val="clear" w:color="auto" w:fill="auto"/>
            <w:noWrap/>
            <w:vAlign w:val="bottom"/>
            <w:hideMark/>
          </w:tcPr>
          <w:p w14:paraId="5D0E901C" w14:textId="31FA250D" w:rsidR="00CC5D86" w:rsidRPr="009D5B83" w:rsidRDefault="00CC5D86" w:rsidP="00CC5D86">
            <w:pPr>
              <w:rPr>
                <w:b/>
                <w:bCs/>
                <w:color w:val="000000"/>
                <w:sz w:val="20"/>
                <w:szCs w:val="20"/>
              </w:rPr>
            </w:pPr>
            <w:r w:rsidRPr="009D5B83">
              <w:rPr>
                <w:b/>
                <w:bCs/>
                <w:color w:val="000000"/>
                <w:sz w:val="20"/>
                <w:szCs w:val="20"/>
              </w:rPr>
              <w:t>ГП «Комплексное развитие сельских территорий»</w:t>
            </w:r>
          </w:p>
        </w:tc>
        <w:tc>
          <w:tcPr>
            <w:tcW w:w="992" w:type="dxa"/>
            <w:shd w:val="clear" w:color="auto" w:fill="auto"/>
            <w:noWrap/>
            <w:vAlign w:val="bottom"/>
            <w:hideMark/>
          </w:tcPr>
          <w:p w14:paraId="12BB73B1" w14:textId="4AD14164" w:rsidR="00CC5D86" w:rsidRPr="009D5B83" w:rsidRDefault="00CC5D86" w:rsidP="00CC5D86">
            <w:pPr>
              <w:jc w:val="right"/>
              <w:rPr>
                <w:b/>
                <w:bCs/>
                <w:color w:val="000000"/>
                <w:sz w:val="20"/>
                <w:szCs w:val="20"/>
              </w:rPr>
            </w:pPr>
            <w:r w:rsidRPr="009D5B83">
              <w:rPr>
                <w:b/>
                <w:bCs/>
                <w:color w:val="000000"/>
                <w:sz w:val="20"/>
                <w:szCs w:val="20"/>
              </w:rPr>
              <w:t>50</w:t>
            </w:r>
            <w:r w:rsidR="00EF562D" w:rsidRPr="009D5B83">
              <w:rPr>
                <w:b/>
                <w:bCs/>
                <w:color w:val="000000"/>
                <w:sz w:val="20"/>
                <w:szCs w:val="20"/>
              </w:rPr>
              <w:t>,</w:t>
            </w:r>
            <w:r w:rsidRPr="009D5B83">
              <w:rPr>
                <w:b/>
                <w:bCs/>
                <w:color w:val="000000"/>
                <w:sz w:val="20"/>
                <w:szCs w:val="20"/>
              </w:rPr>
              <w:t>1</w:t>
            </w:r>
          </w:p>
        </w:tc>
        <w:tc>
          <w:tcPr>
            <w:tcW w:w="992" w:type="dxa"/>
            <w:shd w:val="clear" w:color="auto" w:fill="auto"/>
            <w:noWrap/>
            <w:vAlign w:val="bottom"/>
            <w:hideMark/>
          </w:tcPr>
          <w:p w14:paraId="3C5207E5" w14:textId="58C66CF2" w:rsidR="00CC5D86" w:rsidRPr="009D5B83" w:rsidRDefault="00EF562D" w:rsidP="00CC5D86">
            <w:pPr>
              <w:jc w:val="right"/>
              <w:rPr>
                <w:b/>
                <w:bCs/>
                <w:color w:val="000000"/>
                <w:sz w:val="20"/>
                <w:szCs w:val="20"/>
              </w:rPr>
            </w:pPr>
            <w:r w:rsidRPr="009D5B83">
              <w:rPr>
                <w:b/>
                <w:bCs/>
                <w:color w:val="000000"/>
                <w:sz w:val="20"/>
                <w:szCs w:val="20"/>
              </w:rPr>
              <w:t xml:space="preserve">50 </w:t>
            </w:r>
          </w:p>
        </w:tc>
        <w:tc>
          <w:tcPr>
            <w:tcW w:w="1134" w:type="dxa"/>
            <w:shd w:val="clear" w:color="auto" w:fill="auto"/>
            <w:noWrap/>
            <w:vAlign w:val="bottom"/>
            <w:hideMark/>
          </w:tcPr>
          <w:p w14:paraId="3205B7AE" w14:textId="4F4E7507" w:rsidR="00CC5D86" w:rsidRPr="009D5B83" w:rsidRDefault="00CC5D86" w:rsidP="00CC5D86">
            <w:pPr>
              <w:jc w:val="right"/>
              <w:rPr>
                <w:b/>
                <w:bCs/>
                <w:color w:val="000000"/>
                <w:sz w:val="20"/>
                <w:szCs w:val="20"/>
              </w:rPr>
            </w:pPr>
            <w:r w:rsidRPr="009D5B83">
              <w:rPr>
                <w:b/>
                <w:bCs/>
                <w:color w:val="000000"/>
                <w:sz w:val="20"/>
                <w:szCs w:val="20"/>
              </w:rPr>
              <w:t>-</w:t>
            </w:r>
            <w:r w:rsidR="00EF562D" w:rsidRPr="009D5B83">
              <w:rPr>
                <w:b/>
                <w:bCs/>
                <w:color w:val="000000"/>
                <w:sz w:val="20"/>
                <w:szCs w:val="20"/>
              </w:rPr>
              <w:t>0,</w:t>
            </w:r>
            <w:r w:rsidRPr="009D5B83">
              <w:rPr>
                <w:b/>
                <w:bCs/>
                <w:color w:val="000000"/>
                <w:sz w:val="20"/>
                <w:szCs w:val="20"/>
              </w:rPr>
              <w:t>1</w:t>
            </w:r>
          </w:p>
        </w:tc>
        <w:tc>
          <w:tcPr>
            <w:tcW w:w="703" w:type="dxa"/>
            <w:shd w:val="clear" w:color="auto" w:fill="auto"/>
            <w:noWrap/>
            <w:vAlign w:val="bottom"/>
            <w:hideMark/>
          </w:tcPr>
          <w:p w14:paraId="20645FBC" w14:textId="0FEC63B7" w:rsidR="00CC5D86" w:rsidRPr="009D5B83" w:rsidRDefault="00CC5D86" w:rsidP="00CC5D86">
            <w:pPr>
              <w:jc w:val="right"/>
              <w:rPr>
                <w:b/>
                <w:bCs/>
                <w:color w:val="000000"/>
                <w:sz w:val="20"/>
                <w:szCs w:val="20"/>
              </w:rPr>
            </w:pPr>
            <w:r w:rsidRPr="009D5B83">
              <w:rPr>
                <w:b/>
                <w:bCs/>
                <w:color w:val="000000"/>
                <w:sz w:val="20"/>
                <w:szCs w:val="20"/>
              </w:rPr>
              <w:t>-0,3</w:t>
            </w:r>
          </w:p>
        </w:tc>
      </w:tr>
      <w:tr w:rsidR="00CC5D86" w:rsidRPr="009D5B83" w14:paraId="11490F37" w14:textId="77777777" w:rsidTr="00E853B4">
        <w:trPr>
          <w:trHeight w:val="20"/>
        </w:trPr>
        <w:tc>
          <w:tcPr>
            <w:tcW w:w="5524" w:type="dxa"/>
            <w:shd w:val="clear" w:color="auto" w:fill="auto"/>
            <w:noWrap/>
            <w:vAlign w:val="bottom"/>
            <w:hideMark/>
          </w:tcPr>
          <w:p w14:paraId="77A6EE37" w14:textId="4F68CE2D" w:rsidR="00CC5D86" w:rsidRPr="009D5B83" w:rsidRDefault="00CC5D86" w:rsidP="00CC5D86">
            <w:pPr>
              <w:ind w:left="113"/>
              <w:rPr>
                <w:color w:val="000000"/>
                <w:sz w:val="20"/>
                <w:szCs w:val="20"/>
              </w:rPr>
            </w:pPr>
            <w:r w:rsidRPr="009D5B83">
              <w:rPr>
                <w:color w:val="000000"/>
                <w:sz w:val="20"/>
                <w:szCs w:val="20"/>
              </w:rPr>
              <w:t>ФП «Развитие жилищного строительства на сельских территориях и повышение уровня благоустройства домовладений»</w:t>
            </w:r>
          </w:p>
        </w:tc>
        <w:tc>
          <w:tcPr>
            <w:tcW w:w="992" w:type="dxa"/>
            <w:shd w:val="clear" w:color="auto" w:fill="auto"/>
            <w:noWrap/>
            <w:vAlign w:val="bottom"/>
            <w:hideMark/>
          </w:tcPr>
          <w:p w14:paraId="5A0DA559" w14:textId="02BA7695" w:rsidR="00CC5D86" w:rsidRPr="009D5B83" w:rsidRDefault="00CC5D86" w:rsidP="00CC5D86">
            <w:pPr>
              <w:jc w:val="right"/>
              <w:rPr>
                <w:color w:val="000000"/>
                <w:sz w:val="20"/>
                <w:szCs w:val="20"/>
              </w:rPr>
            </w:pPr>
            <w:r w:rsidRPr="009D5B83">
              <w:rPr>
                <w:color w:val="000000"/>
                <w:sz w:val="20"/>
                <w:szCs w:val="20"/>
              </w:rPr>
              <w:t>21</w:t>
            </w:r>
            <w:r w:rsidR="00EF562D" w:rsidRPr="009D5B83">
              <w:rPr>
                <w:color w:val="000000"/>
                <w:sz w:val="20"/>
                <w:szCs w:val="20"/>
              </w:rPr>
              <w:t>,7</w:t>
            </w:r>
          </w:p>
        </w:tc>
        <w:tc>
          <w:tcPr>
            <w:tcW w:w="992" w:type="dxa"/>
            <w:shd w:val="clear" w:color="auto" w:fill="auto"/>
            <w:noWrap/>
            <w:vAlign w:val="bottom"/>
            <w:hideMark/>
          </w:tcPr>
          <w:p w14:paraId="588D1A6D" w14:textId="4663EAA0" w:rsidR="00CC5D86" w:rsidRPr="009D5B83" w:rsidRDefault="00CC5D86" w:rsidP="00CC5D86">
            <w:pPr>
              <w:jc w:val="right"/>
              <w:rPr>
                <w:color w:val="000000"/>
                <w:sz w:val="20"/>
                <w:szCs w:val="20"/>
              </w:rPr>
            </w:pPr>
            <w:r w:rsidRPr="009D5B83">
              <w:rPr>
                <w:color w:val="000000"/>
                <w:sz w:val="20"/>
                <w:szCs w:val="20"/>
              </w:rPr>
              <w:t>23</w:t>
            </w:r>
            <w:r w:rsidR="00EF562D" w:rsidRPr="009D5B83">
              <w:rPr>
                <w:color w:val="000000"/>
                <w:sz w:val="20"/>
                <w:szCs w:val="20"/>
              </w:rPr>
              <w:t>,7</w:t>
            </w:r>
          </w:p>
        </w:tc>
        <w:tc>
          <w:tcPr>
            <w:tcW w:w="1134" w:type="dxa"/>
            <w:shd w:val="clear" w:color="auto" w:fill="auto"/>
            <w:noWrap/>
            <w:vAlign w:val="bottom"/>
            <w:hideMark/>
          </w:tcPr>
          <w:p w14:paraId="383BB24C" w14:textId="022CD452" w:rsidR="00CC5D86" w:rsidRPr="009D5B83" w:rsidRDefault="00EF562D" w:rsidP="00CC5D86">
            <w:pPr>
              <w:jc w:val="right"/>
              <w:rPr>
                <w:color w:val="000000"/>
                <w:sz w:val="20"/>
                <w:szCs w:val="20"/>
              </w:rPr>
            </w:pPr>
            <w:r w:rsidRPr="009D5B83">
              <w:rPr>
                <w:color w:val="000000"/>
                <w:sz w:val="20"/>
                <w:szCs w:val="20"/>
              </w:rPr>
              <w:t>2</w:t>
            </w:r>
          </w:p>
        </w:tc>
        <w:tc>
          <w:tcPr>
            <w:tcW w:w="703" w:type="dxa"/>
            <w:shd w:val="clear" w:color="auto" w:fill="auto"/>
            <w:noWrap/>
            <w:vAlign w:val="bottom"/>
            <w:hideMark/>
          </w:tcPr>
          <w:p w14:paraId="6533DA42" w14:textId="0CDA1041" w:rsidR="00CC5D86" w:rsidRPr="009D5B83" w:rsidRDefault="00CC5D86" w:rsidP="00CC5D86">
            <w:pPr>
              <w:jc w:val="right"/>
              <w:rPr>
                <w:color w:val="000000"/>
                <w:sz w:val="20"/>
                <w:szCs w:val="20"/>
              </w:rPr>
            </w:pPr>
            <w:r w:rsidRPr="009D5B83">
              <w:rPr>
                <w:color w:val="000000"/>
                <w:sz w:val="20"/>
                <w:szCs w:val="20"/>
              </w:rPr>
              <w:t>9,2</w:t>
            </w:r>
          </w:p>
        </w:tc>
      </w:tr>
      <w:tr w:rsidR="00CC5D86" w:rsidRPr="009D5B83" w14:paraId="3557DB61" w14:textId="77777777" w:rsidTr="00E853B4">
        <w:trPr>
          <w:trHeight w:val="20"/>
        </w:trPr>
        <w:tc>
          <w:tcPr>
            <w:tcW w:w="5524" w:type="dxa"/>
            <w:shd w:val="clear" w:color="auto" w:fill="auto"/>
            <w:noWrap/>
            <w:vAlign w:val="bottom"/>
            <w:hideMark/>
          </w:tcPr>
          <w:p w14:paraId="3AD96069" w14:textId="4CAD9064" w:rsidR="00CC5D86" w:rsidRPr="009D5B83" w:rsidRDefault="00CC5D86" w:rsidP="00CC5D86">
            <w:pPr>
              <w:ind w:left="113"/>
              <w:rPr>
                <w:color w:val="000000"/>
                <w:sz w:val="20"/>
                <w:szCs w:val="20"/>
              </w:rPr>
            </w:pPr>
            <w:r w:rsidRPr="009D5B83">
              <w:rPr>
                <w:color w:val="000000"/>
                <w:sz w:val="20"/>
                <w:szCs w:val="20"/>
              </w:rPr>
              <w:t>ФП «Современный облик сельских территорий»</w:t>
            </w:r>
          </w:p>
        </w:tc>
        <w:tc>
          <w:tcPr>
            <w:tcW w:w="992" w:type="dxa"/>
            <w:shd w:val="clear" w:color="auto" w:fill="auto"/>
            <w:noWrap/>
            <w:vAlign w:val="bottom"/>
            <w:hideMark/>
          </w:tcPr>
          <w:p w14:paraId="40547529" w14:textId="398926CE" w:rsidR="00CC5D86" w:rsidRPr="009D5B83" w:rsidRDefault="00CC5D86" w:rsidP="00CC5D86">
            <w:pPr>
              <w:jc w:val="right"/>
              <w:rPr>
                <w:color w:val="000000"/>
                <w:sz w:val="20"/>
                <w:szCs w:val="20"/>
              </w:rPr>
            </w:pPr>
            <w:r w:rsidRPr="009D5B83">
              <w:rPr>
                <w:color w:val="000000"/>
                <w:sz w:val="20"/>
                <w:szCs w:val="20"/>
              </w:rPr>
              <w:t>18</w:t>
            </w:r>
            <w:r w:rsidR="00EF562D" w:rsidRPr="009D5B83">
              <w:rPr>
                <w:color w:val="000000"/>
                <w:sz w:val="20"/>
                <w:szCs w:val="20"/>
              </w:rPr>
              <w:t>,</w:t>
            </w:r>
            <w:r w:rsidRPr="009D5B83">
              <w:rPr>
                <w:color w:val="000000"/>
                <w:sz w:val="20"/>
                <w:szCs w:val="20"/>
              </w:rPr>
              <w:t>6</w:t>
            </w:r>
          </w:p>
        </w:tc>
        <w:tc>
          <w:tcPr>
            <w:tcW w:w="992" w:type="dxa"/>
            <w:shd w:val="clear" w:color="auto" w:fill="auto"/>
            <w:noWrap/>
            <w:vAlign w:val="bottom"/>
            <w:hideMark/>
          </w:tcPr>
          <w:p w14:paraId="031F77A5" w14:textId="5DA28028" w:rsidR="00CC5D86" w:rsidRPr="009D5B83" w:rsidRDefault="00CC5D86" w:rsidP="00CC5D86">
            <w:pPr>
              <w:jc w:val="right"/>
              <w:rPr>
                <w:color w:val="000000"/>
                <w:sz w:val="20"/>
                <w:szCs w:val="20"/>
              </w:rPr>
            </w:pPr>
            <w:r w:rsidRPr="009D5B83">
              <w:rPr>
                <w:color w:val="000000"/>
                <w:sz w:val="20"/>
                <w:szCs w:val="20"/>
              </w:rPr>
              <w:t>15</w:t>
            </w:r>
            <w:r w:rsidR="00EF562D" w:rsidRPr="009D5B83">
              <w:rPr>
                <w:color w:val="000000"/>
                <w:sz w:val="20"/>
                <w:szCs w:val="20"/>
              </w:rPr>
              <w:t>,</w:t>
            </w:r>
            <w:r w:rsidRPr="009D5B83">
              <w:rPr>
                <w:color w:val="000000"/>
                <w:sz w:val="20"/>
                <w:szCs w:val="20"/>
              </w:rPr>
              <w:t>7</w:t>
            </w:r>
          </w:p>
        </w:tc>
        <w:tc>
          <w:tcPr>
            <w:tcW w:w="1134" w:type="dxa"/>
            <w:shd w:val="clear" w:color="auto" w:fill="auto"/>
            <w:noWrap/>
            <w:vAlign w:val="bottom"/>
            <w:hideMark/>
          </w:tcPr>
          <w:p w14:paraId="693DAEEF" w14:textId="3E1B57C5"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w:t>
            </w:r>
            <w:r w:rsidRPr="009D5B83">
              <w:rPr>
                <w:color w:val="000000"/>
                <w:sz w:val="20"/>
                <w:szCs w:val="20"/>
              </w:rPr>
              <w:t>9</w:t>
            </w:r>
          </w:p>
        </w:tc>
        <w:tc>
          <w:tcPr>
            <w:tcW w:w="703" w:type="dxa"/>
            <w:shd w:val="clear" w:color="auto" w:fill="auto"/>
            <w:noWrap/>
            <w:vAlign w:val="bottom"/>
            <w:hideMark/>
          </w:tcPr>
          <w:p w14:paraId="7E6CF74A" w14:textId="3A030738" w:rsidR="00CC5D86" w:rsidRPr="009D5B83" w:rsidRDefault="00CC5D86" w:rsidP="00CC5D86">
            <w:pPr>
              <w:jc w:val="right"/>
              <w:rPr>
                <w:color w:val="000000"/>
                <w:sz w:val="20"/>
                <w:szCs w:val="20"/>
              </w:rPr>
            </w:pPr>
            <w:r w:rsidRPr="009D5B83">
              <w:rPr>
                <w:color w:val="000000"/>
                <w:sz w:val="20"/>
                <w:szCs w:val="20"/>
              </w:rPr>
              <w:t>-15,6</w:t>
            </w:r>
          </w:p>
        </w:tc>
      </w:tr>
      <w:tr w:rsidR="00CC5D86" w:rsidRPr="009D5B83" w14:paraId="4FF9C274" w14:textId="77777777" w:rsidTr="00E853B4">
        <w:trPr>
          <w:trHeight w:val="20"/>
        </w:trPr>
        <w:tc>
          <w:tcPr>
            <w:tcW w:w="5524" w:type="dxa"/>
            <w:shd w:val="clear" w:color="auto" w:fill="auto"/>
            <w:noWrap/>
            <w:vAlign w:val="bottom"/>
            <w:hideMark/>
          </w:tcPr>
          <w:p w14:paraId="0687D7B5" w14:textId="77777777" w:rsidR="00CC5D86" w:rsidRPr="009D5B83" w:rsidRDefault="00CC5D86" w:rsidP="00CC5D86">
            <w:pPr>
              <w:ind w:left="113"/>
              <w:rPr>
                <w:color w:val="000000"/>
                <w:sz w:val="20"/>
                <w:szCs w:val="20"/>
              </w:rPr>
            </w:pPr>
            <w:r w:rsidRPr="009D5B83">
              <w:rPr>
                <w:color w:val="000000"/>
                <w:sz w:val="20"/>
                <w:szCs w:val="20"/>
              </w:rPr>
              <w:t>Прочее</w:t>
            </w:r>
          </w:p>
        </w:tc>
        <w:tc>
          <w:tcPr>
            <w:tcW w:w="992" w:type="dxa"/>
            <w:shd w:val="clear" w:color="auto" w:fill="auto"/>
            <w:noWrap/>
            <w:vAlign w:val="bottom"/>
            <w:hideMark/>
          </w:tcPr>
          <w:p w14:paraId="246AE876" w14:textId="2138C357" w:rsidR="00CC5D86" w:rsidRPr="009D5B83" w:rsidRDefault="00CC5D86" w:rsidP="00CC5D86">
            <w:pPr>
              <w:jc w:val="right"/>
              <w:rPr>
                <w:color w:val="000000"/>
                <w:sz w:val="20"/>
                <w:szCs w:val="20"/>
              </w:rPr>
            </w:pPr>
            <w:r w:rsidRPr="009D5B83">
              <w:rPr>
                <w:color w:val="000000"/>
                <w:sz w:val="20"/>
                <w:szCs w:val="20"/>
              </w:rPr>
              <w:t>9</w:t>
            </w:r>
            <w:r w:rsidR="00EF562D" w:rsidRPr="009D5B83">
              <w:rPr>
                <w:color w:val="000000"/>
                <w:sz w:val="20"/>
                <w:szCs w:val="20"/>
              </w:rPr>
              <w:t>,</w:t>
            </w:r>
            <w:r w:rsidRPr="009D5B83">
              <w:rPr>
                <w:color w:val="000000"/>
                <w:sz w:val="20"/>
                <w:szCs w:val="20"/>
              </w:rPr>
              <w:t>8</w:t>
            </w:r>
          </w:p>
        </w:tc>
        <w:tc>
          <w:tcPr>
            <w:tcW w:w="992" w:type="dxa"/>
            <w:shd w:val="clear" w:color="auto" w:fill="auto"/>
            <w:noWrap/>
            <w:vAlign w:val="bottom"/>
            <w:hideMark/>
          </w:tcPr>
          <w:p w14:paraId="3464C911" w14:textId="19AAABD6" w:rsidR="00CC5D86" w:rsidRPr="009D5B83" w:rsidRDefault="00CC5D86" w:rsidP="00CC5D86">
            <w:pPr>
              <w:jc w:val="right"/>
              <w:rPr>
                <w:color w:val="000000"/>
                <w:sz w:val="20"/>
                <w:szCs w:val="20"/>
              </w:rPr>
            </w:pPr>
            <w:r w:rsidRPr="009D5B83">
              <w:rPr>
                <w:color w:val="000000"/>
                <w:sz w:val="20"/>
                <w:szCs w:val="20"/>
              </w:rPr>
              <w:t>10</w:t>
            </w:r>
            <w:r w:rsidR="00EF562D" w:rsidRPr="009D5B83">
              <w:rPr>
                <w:color w:val="000000"/>
                <w:sz w:val="20"/>
                <w:szCs w:val="20"/>
              </w:rPr>
              <w:t>,</w:t>
            </w:r>
            <w:r w:rsidRPr="009D5B83">
              <w:rPr>
                <w:color w:val="000000"/>
                <w:sz w:val="20"/>
                <w:szCs w:val="20"/>
              </w:rPr>
              <w:t>6</w:t>
            </w:r>
          </w:p>
        </w:tc>
        <w:tc>
          <w:tcPr>
            <w:tcW w:w="1134" w:type="dxa"/>
            <w:shd w:val="clear" w:color="auto" w:fill="auto"/>
            <w:noWrap/>
            <w:vAlign w:val="bottom"/>
            <w:hideMark/>
          </w:tcPr>
          <w:p w14:paraId="19824E9F" w14:textId="438EF24E" w:rsidR="00CC5D86" w:rsidRPr="009D5B83" w:rsidRDefault="00EF562D" w:rsidP="00CC5D86">
            <w:pPr>
              <w:jc w:val="right"/>
              <w:rPr>
                <w:color w:val="000000"/>
                <w:sz w:val="20"/>
                <w:szCs w:val="20"/>
              </w:rPr>
            </w:pPr>
            <w:r w:rsidRPr="009D5B83">
              <w:rPr>
                <w:color w:val="000000"/>
                <w:sz w:val="20"/>
                <w:szCs w:val="20"/>
              </w:rPr>
              <w:t>0,8</w:t>
            </w:r>
          </w:p>
        </w:tc>
        <w:tc>
          <w:tcPr>
            <w:tcW w:w="703" w:type="dxa"/>
            <w:shd w:val="clear" w:color="auto" w:fill="auto"/>
            <w:noWrap/>
            <w:vAlign w:val="bottom"/>
            <w:hideMark/>
          </w:tcPr>
          <w:p w14:paraId="370EDB24" w14:textId="5DF271B3" w:rsidR="00CC5D86" w:rsidRPr="009D5B83" w:rsidRDefault="00CC5D86" w:rsidP="00CC5D86">
            <w:pPr>
              <w:jc w:val="right"/>
              <w:rPr>
                <w:color w:val="000000"/>
                <w:sz w:val="20"/>
                <w:szCs w:val="20"/>
              </w:rPr>
            </w:pPr>
            <w:r w:rsidRPr="009D5B83">
              <w:rPr>
                <w:color w:val="000000"/>
                <w:sz w:val="20"/>
                <w:szCs w:val="20"/>
              </w:rPr>
              <w:t>7,8</w:t>
            </w:r>
          </w:p>
        </w:tc>
      </w:tr>
      <w:tr w:rsidR="00CC5D86" w:rsidRPr="009D5B83" w14:paraId="22373C91" w14:textId="77777777" w:rsidTr="00E853B4">
        <w:trPr>
          <w:trHeight w:val="20"/>
        </w:trPr>
        <w:tc>
          <w:tcPr>
            <w:tcW w:w="5524" w:type="dxa"/>
            <w:shd w:val="clear" w:color="auto" w:fill="auto"/>
            <w:noWrap/>
            <w:vAlign w:val="bottom"/>
            <w:hideMark/>
          </w:tcPr>
          <w:p w14:paraId="3BA5B5D5" w14:textId="4BA184CB" w:rsidR="00CC5D86" w:rsidRPr="009D5B83" w:rsidRDefault="00CC5D86" w:rsidP="00CC5D86">
            <w:pPr>
              <w:rPr>
                <w:b/>
                <w:bCs/>
                <w:color w:val="000000"/>
                <w:sz w:val="20"/>
                <w:szCs w:val="20"/>
              </w:rPr>
            </w:pPr>
            <w:r w:rsidRPr="009D5B83">
              <w:rPr>
                <w:b/>
                <w:bCs/>
                <w:color w:val="000000"/>
                <w:sz w:val="20"/>
                <w:szCs w:val="20"/>
              </w:rPr>
              <w:t>ГП «Эффективное вовлечение в оборот земель сельскохозяйственного назначения и развития мелиоративного комплекса»</w:t>
            </w:r>
          </w:p>
        </w:tc>
        <w:tc>
          <w:tcPr>
            <w:tcW w:w="992" w:type="dxa"/>
            <w:shd w:val="clear" w:color="auto" w:fill="auto"/>
            <w:noWrap/>
            <w:vAlign w:val="bottom"/>
            <w:hideMark/>
          </w:tcPr>
          <w:p w14:paraId="5F3D701D" w14:textId="3900D84A" w:rsidR="00CC5D86" w:rsidRPr="009D5B83" w:rsidRDefault="00CC5D86" w:rsidP="00CC5D86">
            <w:pPr>
              <w:jc w:val="right"/>
              <w:rPr>
                <w:b/>
                <w:bCs/>
                <w:color w:val="000000"/>
                <w:sz w:val="20"/>
                <w:szCs w:val="20"/>
              </w:rPr>
            </w:pPr>
            <w:r w:rsidRPr="009D5B83">
              <w:rPr>
                <w:b/>
                <w:bCs/>
                <w:color w:val="000000"/>
                <w:sz w:val="20"/>
                <w:szCs w:val="20"/>
              </w:rPr>
              <w:t>25</w:t>
            </w:r>
            <w:r w:rsidR="00EF562D" w:rsidRPr="009D5B83">
              <w:rPr>
                <w:b/>
                <w:bCs/>
                <w:color w:val="000000"/>
                <w:sz w:val="20"/>
                <w:szCs w:val="20"/>
              </w:rPr>
              <w:t>,4</w:t>
            </w:r>
          </w:p>
        </w:tc>
        <w:tc>
          <w:tcPr>
            <w:tcW w:w="992" w:type="dxa"/>
            <w:shd w:val="clear" w:color="auto" w:fill="auto"/>
            <w:noWrap/>
            <w:vAlign w:val="bottom"/>
            <w:hideMark/>
          </w:tcPr>
          <w:p w14:paraId="5302EA2A" w14:textId="707656D0" w:rsidR="00CC5D86" w:rsidRPr="009D5B83" w:rsidRDefault="00CC5D86" w:rsidP="00CC5D86">
            <w:pPr>
              <w:jc w:val="right"/>
              <w:rPr>
                <w:b/>
                <w:bCs/>
                <w:color w:val="000000"/>
                <w:sz w:val="20"/>
                <w:szCs w:val="20"/>
              </w:rPr>
            </w:pPr>
            <w:r w:rsidRPr="009D5B83">
              <w:rPr>
                <w:b/>
                <w:bCs/>
                <w:color w:val="000000"/>
                <w:sz w:val="20"/>
                <w:szCs w:val="20"/>
              </w:rPr>
              <w:t>37</w:t>
            </w:r>
            <w:r w:rsidR="00EF562D" w:rsidRPr="009D5B83">
              <w:rPr>
                <w:b/>
                <w:bCs/>
                <w:color w:val="000000"/>
                <w:sz w:val="20"/>
                <w:szCs w:val="20"/>
              </w:rPr>
              <w:t>,</w:t>
            </w:r>
            <w:r w:rsidRPr="009D5B83">
              <w:rPr>
                <w:b/>
                <w:bCs/>
                <w:color w:val="000000"/>
                <w:sz w:val="20"/>
                <w:szCs w:val="20"/>
              </w:rPr>
              <w:t>4</w:t>
            </w:r>
          </w:p>
        </w:tc>
        <w:tc>
          <w:tcPr>
            <w:tcW w:w="1134" w:type="dxa"/>
            <w:shd w:val="clear" w:color="auto" w:fill="auto"/>
            <w:noWrap/>
            <w:vAlign w:val="bottom"/>
            <w:hideMark/>
          </w:tcPr>
          <w:p w14:paraId="31DE4119" w14:textId="06ED51CB" w:rsidR="00CC5D86" w:rsidRPr="009D5B83" w:rsidRDefault="00CC5D86" w:rsidP="00CC5D86">
            <w:pPr>
              <w:jc w:val="right"/>
              <w:rPr>
                <w:b/>
                <w:bCs/>
                <w:color w:val="000000"/>
                <w:sz w:val="20"/>
                <w:szCs w:val="20"/>
              </w:rPr>
            </w:pPr>
            <w:r w:rsidRPr="009D5B83">
              <w:rPr>
                <w:b/>
                <w:bCs/>
                <w:color w:val="000000"/>
                <w:sz w:val="20"/>
                <w:szCs w:val="20"/>
              </w:rPr>
              <w:t>12</w:t>
            </w:r>
            <w:r w:rsidR="00EF562D" w:rsidRPr="009D5B83">
              <w:rPr>
                <w:b/>
                <w:bCs/>
                <w:color w:val="000000"/>
                <w:sz w:val="20"/>
                <w:szCs w:val="20"/>
              </w:rPr>
              <w:t>,1</w:t>
            </w:r>
          </w:p>
        </w:tc>
        <w:tc>
          <w:tcPr>
            <w:tcW w:w="703" w:type="dxa"/>
            <w:shd w:val="clear" w:color="auto" w:fill="auto"/>
            <w:noWrap/>
            <w:vAlign w:val="bottom"/>
            <w:hideMark/>
          </w:tcPr>
          <w:p w14:paraId="36742EE1" w14:textId="59677F55" w:rsidR="00CC5D86" w:rsidRPr="009D5B83" w:rsidRDefault="00CC5D86" w:rsidP="00CC5D86">
            <w:pPr>
              <w:jc w:val="right"/>
              <w:rPr>
                <w:b/>
                <w:bCs/>
                <w:color w:val="000000"/>
                <w:sz w:val="20"/>
                <w:szCs w:val="20"/>
              </w:rPr>
            </w:pPr>
            <w:r w:rsidRPr="009D5B83">
              <w:rPr>
                <w:b/>
                <w:bCs/>
                <w:color w:val="000000"/>
                <w:sz w:val="20"/>
                <w:szCs w:val="20"/>
              </w:rPr>
              <w:t>47,6</w:t>
            </w:r>
          </w:p>
        </w:tc>
      </w:tr>
      <w:tr w:rsidR="00CC5D86" w:rsidRPr="009D5B83" w14:paraId="4EA158E2" w14:textId="77777777" w:rsidTr="00E853B4">
        <w:trPr>
          <w:trHeight w:val="20"/>
        </w:trPr>
        <w:tc>
          <w:tcPr>
            <w:tcW w:w="5524" w:type="dxa"/>
            <w:shd w:val="clear" w:color="auto" w:fill="auto"/>
            <w:noWrap/>
            <w:vAlign w:val="bottom"/>
            <w:hideMark/>
          </w:tcPr>
          <w:p w14:paraId="3C1B3D73" w14:textId="1EDF9570" w:rsidR="00CC5D86" w:rsidRPr="009D5B83" w:rsidRDefault="00CC5D86" w:rsidP="00CC5D86">
            <w:pPr>
              <w:ind w:left="113"/>
              <w:rPr>
                <w:color w:val="000000"/>
                <w:sz w:val="20"/>
                <w:szCs w:val="20"/>
              </w:rPr>
            </w:pPr>
            <w:r w:rsidRPr="009D5B83">
              <w:rPr>
                <w:color w:val="000000"/>
                <w:sz w:val="20"/>
                <w:szCs w:val="20"/>
              </w:rPr>
              <w:t>ФП «Вовлечение в оборот и комплексная мелиорация земель сельскохозяйственного назначения»</w:t>
            </w:r>
          </w:p>
        </w:tc>
        <w:tc>
          <w:tcPr>
            <w:tcW w:w="992" w:type="dxa"/>
            <w:shd w:val="clear" w:color="auto" w:fill="auto"/>
            <w:noWrap/>
            <w:vAlign w:val="bottom"/>
            <w:hideMark/>
          </w:tcPr>
          <w:p w14:paraId="7C113625" w14:textId="02749DEB" w:rsidR="00CC5D86" w:rsidRPr="009D5B83" w:rsidRDefault="00CC5D86" w:rsidP="00CC5D86">
            <w:pPr>
              <w:jc w:val="right"/>
              <w:rPr>
                <w:color w:val="000000"/>
                <w:sz w:val="20"/>
                <w:szCs w:val="20"/>
              </w:rPr>
            </w:pPr>
            <w:r w:rsidRPr="009D5B83">
              <w:rPr>
                <w:color w:val="000000"/>
                <w:sz w:val="20"/>
                <w:szCs w:val="20"/>
              </w:rPr>
              <w:t>4</w:t>
            </w:r>
            <w:r w:rsidR="00EF562D" w:rsidRPr="009D5B83">
              <w:rPr>
                <w:color w:val="000000"/>
                <w:sz w:val="20"/>
                <w:szCs w:val="20"/>
              </w:rPr>
              <w:t>,</w:t>
            </w:r>
            <w:r w:rsidRPr="009D5B83">
              <w:rPr>
                <w:color w:val="000000"/>
                <w:sz w:val="20"/>
                <w:szCs w:val="20"/>
              </w:rPr>
              <w:t>9</w:t>
            </w:r>
          </w:p>
        </w:tc>
        <w:tc>
          <w:tcPr>
            <w:tcW w:w="992" w:type="dxa"/>
            <w:shd w:val="clear" w:color="auto" w:fill="auto"/>
            <w:noWrap/>
            <w:vAlign w:val="bottom"/>
            <w:hideMark/>
          </w:tcPr>
          <w:p w14:paraId="3B5733AF" w14:textId="4EDAE4A3"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,6</w:t>
            </w:r>
          </w:p>
        </w:tc>
        <w:tc>
          <w:tcPr>
            <w:tcW w:w="1134" w:type="dxa"/>
            <w:shd w:val="clear" w:color="auto" w:fill="auto"/>
            <w:noWrap/>
            <w:vAlign w:val="bottom"/>
            <w:hideMark/>
          </w:tcPr>
          <w:p w14:paraId="1B669F5C" w14:textId="3E8217C3"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,4</w:t>
            </w:r>
          </w:p>
        </w:tc>
        <w:tc>
          <w:tcPr>
            <w:tcW w:w="703" w:type="dxa"/>
            <w:shd w:val="clear" w:color="auto" w:fill="auto"/>
            <w:noWrap/>
            <w:vAlign w:val="bottom"/>
            <w:hideMark/>
          </w:tcPr>
          <w:p w14:paraId="4AFC5DA5" w14:textId="1FD65674" w:rsidR="00CC5D86" w:rsidRPr="009D5B83" w:rsidRDefault="00CC5D86" w:rsidP="00CC5D86">
            <w:pPr>
              <w:jc w:val="right"/>
              <w:rPr>
                <w:color w:val="000000"/>
                <w:sz w:val="20"/>
                <w:szCs w:val="20"/>
              </w:rPr>
            </w:pPr>
            <w:r w:rsidRPr="009D5B83">
              <w:rPr>
                <w:color w:val="000000"/>
                <w:sz w:val="20"/>
                <w:szCs w:val="20"/>
              </w:rPr>
              <w:t>-47,7</w:t>
            </w:r>
          </w:p>
        </w:tc>
      </w:tr>
      <w:tr w:rsidR="00CC5D86" w:rsidRPr="009D5B83" w14:paraId="08A88FC0" w14:textId="77777777" w:rsidTr="00E853B4">
        <w:trPr>
          <w:trHeight w:val="20"/>
        </w:trPr>
        <w:tc>
          <w:tcPr>
            <w:tcW w:w="5524" w:type="dxa"/>
            <w:shd w:val="clear" w:color="auto" w:fill="auto"/>
            <w:noWrap/>
            <w:vAlign w:val="bottom"/>
            <w:hideMark/>
          </w:tcPr>
          <w:p w14:paraId="1EDBBD0E" w14:textId="55B7E662" w:rsidR="00CC5D86" w:rsidRPr="009D5B83" w:rsidRDefault="00CC5D86" w:rsidP="00CC5D86">
            <w:pPr>
              <w:ind w:left="113"/>
              <w:rPr>
                <w:color w:val="000000"/>
                <w:sz w:val="20"/>
                <w:szCs w:val="20"/>
              </w:rPr>
            </w:pPr>
            <w:r w:rsidRPr="009D5B83">
              <w:rPr>
                <w:color w:val="000000"/>
                <w:sz w:val="20"/>
                <w:szCs w:val="20"/>
              </w:rPr>
              <w:t>ФП «Экспорт продукции агропромышленного комплекса»</w:t>
            </w:r>
          </w:p>
        </w:tc>
        <w:tc>
          <w:tcPr>
            <w:tcW w:w="992" w:type="dxa"/>
            <w:shd w:val="clear" w:color="auto" w:fill="auto"/>
            <w:noWrap/>
            <w:vAlign w:val="bottom"/>
            <w:hideMark/>
          </w:tcPr>
          <w:p w14:paraId="6EF08B97" w14:textId="0B0E3138" w:rsidR="00CC5D86" w:rsidRPr="009D5B83" w:rsidRDefault="00CC5D86" w:rsidP="00CC5D86">
            <w:pPr>
              <w:jc w:val="right"/>
              <w:rPr>
                <w:color w:val="000000"/>
                <w:sz w:val="20"/>
                <w:szCs w:val="20"/>
              </w:rPr>
            </w:pPr>
            <w:r w:rsidRPr="009D5B83">
              <w:rPr>
                <w:color w:val="000000"/>
                <w:sz w:val="20"/>
                <w:szCs w:val="20"/>
              </w:rPr>
              <w:t>6</w:t>
            </w:r>
            <w:r w:rsidR="00EF562D" w:rsidRPr="009D5B83">
              <w:rPr>
                <w:color w:val="000000"/>
                <w:sz w:val="20"/>
                <w:szCs w:val="20"/>
              </w:rPr>
              <w:t>,</w:t>
            </w:r>
            <w:r w:rsidRPr="009D5B83">
              <w:rPr>
                <w:color w:val="000000"/>
                <w:sz w:val="20"/>
                <w:szCs w:val="20"/>
              </w:rPr>
              <w:t>8</w:t>
            </w:r>
          </w:p>
        </w:tc>
        <w:tc>
          <w:tcPr>
            <w:tcW w:w="992" w:type="dxa"/>
            <w:shd w:val="clear" w:color="auto" w:fill="auto"/>
            <w:noWrap/>
            <w:vAlign w:val="bottom"/>
            <w:hideMark/>
          </w:tcPr>
          <w:p w14:paraId="1D2800F7" w14:textId="3A82EF3C" w:rsidR="00CC5D86" w:rsidRPr="009D5B83" w:rsidRDefault="00CC5D86" w:rsidP="00CC5D86">
            <w:pPr>
              <w:jc w:val="right"/>
              <w:rPr>
                <w:color w:val="000000"/>
                <w:sz w:val="20"/>
                <w:szCs w:val="20"/>
              </w:rPr>
            </w:pPr>
            <w:r w:rsidRPr="009D5B83">
              <w:rPr>
                <w:color w:val="000000"/>
                <w:sz w:val="20"/>
                <w:szCs w:val="20"/>
              </w:rPr>
              <w:t>9</w:t>
            </w:r>
            <w:r w:rsidR="00EF562D" w:rsidRPr="009D5B83">
              <w:rPr>
                <w:color w:val="000000"/>
                <w:sz w:val="20"/>
                <w:szCs w:val="20"/>
              </w:rPr>
              <w:t>,</w:t>
            </w:r>
            <w:r w:rsidRPr="009D5B83">
              <w:rPr>
                <w:color w:val="000000"/>
                <w:sz w:val="20"/>
                <w:szCs w:val="20"/>
              </w:rPr>
              <w:t>5</w:t>
            </w:r>
          </w:p>
        </w:tc>
        <w:tc>
          <w:tcPr>
            <w:tcW w:w="1134" w:type="dxa"/>
            <w:shd w:val="clear" w:color="auto" w:fill="auto"/>
            <w:noWrap/>
            <w:vAlign w:val="bottom"/>
            <w:hideMark/>
          </w:tcPr>
          <w:p w14:paraId="22B9C6CB" w14:textId="4C20ABFC" w:rsidR="00CC5D86" w:rsidRPr="009D5B83" w:rsidRDefault="00CC5D86" w:rsidP="00CC5D86">
            <w:pPr>
              <w:jc w:val="right"/>
              <w:rPr>
                <w:color w:val="000000"/>
                <w:sz w:val="20"/>
                <w:szCs w:val="20"/>
              </w:rPr>
            </w:pPr>
            <w:r w:rsidRPr="009D5B83">
              <w:rPr>
                <w:color w:val="000000"/>
                <w:sz w:val="20"/>
                <w:szCs w:val="20"/>
              </w:rPr>
              <w:t>2</w:t>
            </w:r>
            <w:r w:rsidR="00EF562D" w:rsidRPr="009D5B83">
              <w:rPr>
                <w:color w:val="000000"/>
                <w:sz w:val="20"/>
                <w:szCs w:val="20"/>
              </w:rPr>
              <w:t>,7</w:t>
            </w:r>
          </w:p>
        </w:tc>
        <w:tc>
          <w:tcPr>
            <w:tcW w:w="703" w:type="dxa"/>
            <w:shd w:val="clear" w:color="auto" w:fill="auto"/>
            <w:noWrap/>
            <w:vAlign w:val="bottom"/>
            <w:hideMark/>
          </w:tcPr>
          <w:p w14:paraId="4C0C2307" w14:textId="1C72BE90" w:rsidR="00CC5D86" w:rsidRPr="009D5B83" w:rsidRDefault="00CC5D86" w:rsidP="00CC5D86">
            <w:pPr>
              <w:jc w:val="right"/>
              <w:rPr>
                <w:color w:val="000000"/>
                <w:sz w:val="20"/>
                <w:szCs w:val="20"/>
              </w:rPr>
            </w:pPr>
            <w:r w:rsidRPr="009D5B83">
              <w:rPr>
                <w:color w:val="000000"/>
                <w:sz w:val="20"/>
                <w:szCs w:val="20"/>
              </w:rPr>
              <w:t>38,7</w:t>
            </w:r>
          </w:p>
        </w:tc>
      </w:tr>
      <w:tr w:rsidR="00CC5D86" w:rsidRPr="009D5B83" w14:paraId="5F536AB4" w14:textId="77777777" w:rsidTr="00E853B4">
        <w:trPr>
          <w:trHeight w:val="20"/>
        </w:trPr>
        <w:tc>
          <w:tcPr>
            <w:tcW w:w="5524" w:type="dxa"/>
            <w:shd w:val="clear" w:color="auto" w:fill="auto"/>
            <w:noWrap/>
            <w:vAlign w:val="bottom"/>
            <w:hideMark/>
          </w:tcPr>
          <w:p w14:paraId="459F61D0" w14:textId="5BD68C6F" w:rsidR="00CC5D86" w:rsidRPr="009D5B83" w:rsidRDefault="00CC5D86" w:rsidP="00CC5D86">
            <w:pPr>
              <w:ind w:left="113"/>
              <w:rPr>
                <w:color w:val="000000"/>
                <w:sz w:val="20"/>
                <w:szCs w:val="20"/>
              </w:rPr>
            </w:pPr>
            <w:r w:rsidRPr="009D5B83">
              <w:rPr>
                <w:color w:val="000000"/>
                <w:sz w:val="20"/>
                <w:szCs w:val="20"/>
              </w:rPr>
              <w:t>ВП «Строительство, реконструкция и капитальный ремонт объектов мелиоративного комплекса государственной собственности Российской Федерации»</w:t>
            </w:r>
          </w:p>
        </w:tc>
        <w:tc>
          <w:tcPr>
            <w:tcW w:w="992" w:type="dxa"/>
            <w:shd w:val="clear" w:color="auto" w:fill="auto"/>
            <w:noWrap/>
            <w:vAlign w:val="bottom"/>
            <w:hideMark/>
          </w:tcPr>
          <w:p w14:paraId="0E7830B9" w14:textId="50D65790" w:rsidR="00CC5D86" w:rsidRPr="009D5B83" w:rsidRDefault="00CC5D86" w:rsidP="00CC5D86">
            <w:pPr>
              <w:jc w:val="right"/>
              <w:rPr>
                <w:color w:val="000000"/>
                <w:sz w:val="20"/>
                <w:szCs w:val="20"/>
              </w:rPr>
            </w:pPr>
            <w:r w:rsidRPr="009D5B83">
              <w:rPr>
                <w:color w:val="000000"/>
                <w:sz w:val="20"/>
                <w:szCs w:val="20"/>
              </w:rPr>
              <w:t>2</w:t>
            </w:r>
            <w:r w:rsidR="00752B3B" w:rsidRPr="009D5B83">
              <w:rPr>
                <w:color w:val="000000"/>
                <w:sz w:val="20"/>
                <w:szCs w:val="20"/>
              </w:rPr>
              <w:t>,</w:t>
            </w:r>
            <w:r w:rsidRPr="009D5B83">
              <w:rPr>
                <w:color w:val="000000"/>
                <w:sz w:val="20"/>
                <w:szCs w:val="20"/>
              </w:rPr>
              <w:t>5</w:t>
            </w:r>
          </w:p>
        </w:tc>
        <w:tc>
          <w:tcPr>
            <w:tcW w:w="992" w:type="dxa"/>
            <w:shd w:val="clear" w:color="auto" w:fill="auto"/>
            <w:noWrap/>
            <w:vAlign w:val="bottom"/>
            <w:hideMark/>
          </w:tcPr>
          <w:p w14:paraId="33F1D99D" w14:textId="49EA15F7" w:rsidR="00CC5D86" w:rsidRPr="009D5B83" w:rsidRDefault="00CC5D86" w:rsidP="00CC5D86">
            <w:pPr>
              <w:jc w:val="right"/>
              <w:rPr>
                <w:color w:val="000000"/>
                <w:sz w:val="20"/>
                <w:szCs w:val="20"/>
              </w:rPr>
            </w:pPr>
            <w:r w:rsidRPr="009D5B83">
              <w:rPr>
                <w:color w:val="000000"/>
                <w:sz w:val="20"/>
                <w:szCs w:val="20"/>
              </w:rPr>
              <w:t>9</w:t>
            </w:r>
            <w:r w:rsidR="00752B3B" w:rsidRPr="009D5B83">
              <w:rPr>
                <w:color w:val="000000"/>
                <w:sz w:val="20"/>
                <w:szCs w:val="20"/>
              </w:rPr>
              <w:t>,</w:t>
            </w:r>
            <w:r w:rsidRPr="009D5B83">
              <w:rPr>
                <w:color w:val="000000"/>
                <w:sz w:val="20"/>
                <w:szCs w:val="20"/>
              </w:rPr>
              <w:t>6</w:t>
            </w:r>
          </w:p>
        </w:tc>
        <w:tc>
          <w:tcPr>
            <w:tcW w:w="1134" w:type="dxa"/>
            <w:shd w:val="clear" w:color="auto" w:fill="auto"/>
            <w:noWrap/>
            <w:vAlign w:val="bottom"/>
            <w:hideMark/>
          </w:tcPr>
          <w:p w14:paraId="60361C8C" w14:textId="345978BA" w:rsidR="00CC5D86" w:rsidRPr="009D5B83" w:rsidRDefault="00CC5D86" w:rsidP="00CC5D86">
            <w:pPr>
              <w:jc w:val="right"/>
              <w:rPr>
                <w:color w:val="000000"/>
                <w:sz w:val="20"/>
                <w:szCs w:val="20"/>
              </w:rPr>
            </w:pPr>
            <w:r w:rsidRPr="009D5B83">
              <w:rPr>
                <w:color w:val="000000"/>
                <w:sz w:val="20"/>
                <w:szCs w:val="20"/>
              </w:rPr>
              <w:t>7</w:t>
            </w:r>
            <w:r w:rsidR="00EF562D" w:rsidRPr="009D5B83">
              <w:rPr>
                <w:color w:val="000000"/>
                <w:sz w:val="20"/>
                <w:szCs w:val="20"/>
              </w:rPr>
              <w:t>,</w:t>
            </w:r>
          </w:p>
        </w:tc>
        <w:tc>
          <w:tcPr>
            <w:tcW w:w="703" w:type="dxa"/>
            <w:shd w:val="clear" w:color="auto" w:fill="auto"/>
            <w:noWrap/>
            <w:vAlign w:val="bottom"/>
            <w:hideMark/>
          </w:tcPr>
          <w:p w14:paraId="16F20FC3" w14:textId="677942CC" w:rsidR="00CC5D86" w:rsidRPr="009D5B83" w:rsidRDefault="00CC5D86" w:rsidP="00CC5D86">
            <w:pPr>
              <w:jc w:val="right"/>
              <w:rPr>
                <w:color w:val="000000"/>
                <w:sz w:val="20"/>
                <w:szCs w:val="20"/>
              </w:rPr>
            </w:pPr>
            <w:r w:rsidRPr="009D5B83">
              <w:rPr>
                <w:color w:val="000000"/>
                <w:sz w:val="20"/>
                <w:szCs w:val="20"/>
              </w:rPr>
              <w:t>282,8</w:t>
            </w:r>
          </w:p>
        </w:tc>
      </w:tr>
      <w:tr w:rsidR="00CC5D86" w:rsidRPr="009D5B83" w14:paraId="5DD03EA2" w14:textId="77777777" w:rsidTr="00E853B4">
        <w:trPr>
          <w:trHeight w:val="20"/>
        </w:trPr>
        <w:tc>
          <w:tcPr>
            <w:tcW w:w="5524" w:type="dxa"/>
            <w:shd w:val="clear" w:color="auto" w:fill="auto"/>
            <w:noWrap/>
            <w:vAlign w:val="bottom"/>
            <w:hideMark/>
          </w:tcPr>
          <w:p w14:paraId="1E316471" w14:textId="6FE454A2" w:rsidR="00CC5D86" w:rsidRPr="009D5B83" w:rsidRDefault="00CC5D86" w:rsidP="00CC5D86">
            <w:pPr>
              <w:ind w:left="113"/>
              <w:rPr>
                <w:color w:val="000000"/>
                <w:sz w:val="20"/>
                <w:szCs w:val="20"/>
              </w:rPr>
            </w:pPr>
            <w:r w:rsidRPr="009D5B83">
              <w:rPr>
                <w:color w:val="000000"/>
                <w:sz w:val="20"/>
                <w:szCs w:val="20"/>
              </w:rPr>
              <w:t>КПМ «Обеспечение эффективного управления мелиоративным комплексом и организация рационального использования земель сельскохозяйственного назначения»</w:t>
            </w:r>
          </w:p>
        </w:tc>
        <w:tc>
          <w:tcPr>
            <w:tcW w:w="992" w:type="dxa"/>
            <w:shd w:val="clear" w:color="auto" w:fill="auto"/>
            <w:noWrap/>
            <w:vAlign w:val="bottom"/>
            <w:hideMark/>
          </w:tcPr>
          <w:p w14:paraId="67E70FDA" w14:textId="258FC31D" w:rsidR="00CC5D86" w:rsidRPr="009D5B83" w:rsidRDefault="00CC5D86" w:rsidP="00CC5D86">
            <w:pPr>
              <w:jc w:val="right"/>
              <w:rPr>
                <w:color w:val="000000"/>
                <w:sz w:val="20"/>
                <w:szCs w:val="20"/>
              </w:rPr>
            </w:pPr>
            <w:r w:rsidRPr="009D5B83">
              <w:rPr>
                <w:color w:val="000000"/>
                <w:sz w:val="20"/>
                <w:szCs w:val="20"/>
              </w:rPr>
              <w:t>10</w:t>
            </w:r>
            <w:r w:rsidR="00752B3B" w:rsidRPr="009D5B83">
              <w:rPr>
                <w:color w:val="000000"/>
                <w:sz w:val="20"/>
                <w:szCs w:val="20"/>
              </w:rPr>
              <w:t>,6</w:t>
            </w:r>
          </w:p>
        </w:tc>
        <w:tc>
          <w:tcPr>
            <w:tcW w:w="992" w:type="dxa"/>
            <w:shd w:val="clear" w:color="auto" w:fill="auto"/>
            <w:noWrap/>
            <w:vAlign w:val="bottom"/>
            <w:hideMark/>
          </w:tcPr>
          <w:p w14:paraId="2657FF01" w14:textId="173CF78B" w:rsidR="00CC5D86" w:rsidRPr="009D5B83" w:rsidRDefault="00CC5D86" w:rsidP="00CC5D86">
            <w:pPr>
              <w:jc w:val="right"/>
              <w:rPr>
                <w:color w:val="000000"/>
                <w:sz w:val="20"/>
                <w:szCs w:val="20"/>
              </w:rPr>
            </w:pPr>
            <w:r w:rsidRPr="009D5B83">
              <w:rPr>
                <w:color w:val="000000"/>
                <w:sz w:val="20"/>
                <w:szCs w:val="20"/>
              </w:rPr>
              <w:t>15</w:t>
            </w:r>
            <w:r w:rsidR="00752B3B" w:rsidRPr="009D5B83">
              <w:rPr>
                <w:color w:val="000000"/>
                <w:sz w:val="20"/>
                <w:szCs w:val="20"/>
              </w:rPr>
              <w:t>,</w:t>
            </w:r>
            <w:r w:rsidRPr="009D5B83">
              <w:rPr>
                <w:color w:val="000000"/>
                <w:sz w:val="20"/>
                <w:szCs w:val="20"/>
              </w:rPr>
              <w:t>4</w:t>
            </w:r>
          </w:p>
        </w:tc>
        <w:tc>
          <w:tcPr>
            <w:tcW w:w="1134" w:type="dxa"/>
            <w:shd w:val="clear" w:color="auto" w:fill="auto"/>
            <w:noWrap/>
            <w:vAlign w:val="bottom"/>
            <w:hideMark/>
          </w:tcPr>
          <w:p w14:paraId="18DE96EB" w14:textId="18F15854" w:rsidR="00CC5D86" w:rsidRPr="009D5B83" w:rsidRDefault="00CC5D86" w:rsidP="00CC5D86">
            <w:pPr>
              <w:jc w:val="right"/>
              <w:rPr>
                <w:color w:val="000000"/>
                <w:sz w:val="20"/>
                <w:szCs w:val="20"/>
              </w:rPr>
            </w:pPr>
            <w:r w:rsidRPr="009D5B83">
              <w:rPr>
                <w:color w:val="000000"/>
                <w:sz w:val="20"/>
                <w:szCs w:val="20"/>
              </w:rPr>
              <w:t>4</w:t>
            </w:r>
            <w:r w:rsidR="00EF562D" w:rsidRPr="009D5B83">
              <w:rPr>
                <w:color w:val="000000"/>
                <w:sz w:val="20"/>
                <w:szCs w:val="20"/>
              </w:rPr>
              <w:t>,</w:t>
            </w:r>
            <w:r w:rsidRPr="009D5B83">
              <w:rPr>
                <w:color w:val="000000"/>
                <w:sz w:val="20"/>
                <w:szCs w:val="20"/>
              </w:rPr>
              <w:t>8</w:t>
            </w:r>
          </w:p>
        </w:tc>
        <w:tc>
          <w:tcPr>
            <w:tcW w:w="703" w:type="dxa"/>
            <w:shd w:val="clear" w:color="auto" w:fill="auto"/>
            <w:noWrap/>
            <w:vAlign w:val="bottom"/>
            <w:hideMark/>
          </w:tcPr>
          <w:p w14:paraId="2E5068C6" w14:textId="7DD65744" w:rsidR="00CC5D86" w:rsidRPr="009D5B83" w:rsidRDefault="00CC5D86" w:rsidP="00CC5D86">
            <w:pPr>
              <w:jc w:val="right"/>
              <w:rPr>
                <w:color w:val="000000"/>
                <w:sz w:val="20"/>
                <w:szCs w:val="20"/>
              </w:rPr>
            </w:pPr>
            <w:r w:rsidRPr="009D5B83">
              <w:rPr>
                <w:color w:val="000000"/>
                <w:sz w:val="20"/>
                <w:szCs w:val="20"/>
              </w:rPr>
              <w:t>45,7</w:t>
            </w:r>
          </w:p>
        </w:tc>
      </w:tr>
      <w:tr w:rsidR="00CC5D86" w:rsidRPr="009D5B83" w14:paraId="59541148" w14:textId="77777777" w:rsidTr="00E853B4">
        <w:trPr>
          <w:trHeight w:val="20"/>
        </w:trPr>
        <w:tc>
          <w:tcPr>
            <w:tcW w:w="5524" w:type="dxa"/>
            <w:shd w:val="clear" w:color="auto" w:fill="auto"/>
            <w:noWrap/>
            <w:vAlign w:val="bottom"/>
            <w:hideMark/>
          </w:tcPr>
          <w:p w14:paraId="18FFAA5D" w14:textId="77777777" w:rsidR="00CC5D86" w:rsidRPr="009D5B83" w:rsidRDefault="00CC5D86" w:rsidP="00CC5D86">
            <w:pPr>
              <w:ind w:left="113"/>
              <w:rPr>
                <w:color w:val="000000"/>
                <w:sz w:val="20"/>
                <w:szCs w:val="20"/>
              </w:rPr>
            </w:pPr>
            <w:r w:rsidRPr="009D5B83">
              <w:rPr>
                <w:color w:val="000000"/>
                <w:sz w:val="20"/>
                <w:szCs w:val="20"/>
              </w:rPr>
              <w:t>Прочее</w:t>
            </w:r>
          </w:p>
        </w:tc>
        <w:tc>
          <w:tcPr>
            <w:tcW w:w="992" w:type="dxa"/>
            <w:shd w:val="clear" w:color="auto" w:fill="auto"/>
            <w:noWrap/>
            <w:vAlign w:val="bottom"/>
            <w:hideMark/>
          </w:tcPr>
          <w:p w14:paraId="23377FA3" w14:textId="22DEDA38" w:rsidR="00CC5D86" w:rsidRPr="009D5B83" w:rsidRDefault="00EF562D" w:rsidP="00CC5D86">
            <w:pPr>
              <w:jc w:val="right"/>
              <w:rPr>
                <w:color w:val="000000"/>
                <w:sz w:val="20"/>
                <w:szCs w:val="20"/>
              </w:rPr>
            </w:pPr>
            <w:r w:rsidRPr="009D5B83">
              <w:rPr>
                <w:color w:val="000000"/>
                <w:sz w:val="20"/>
                <w:szCs w:val="20"/>
              </w:rPr>
              <w:t>0,</w:t>
            </w:r>
            <w:r w:rsidR="00CC5D86" w:rsidRPr="009D5B83">
              <w:rPr>
                <w:color w:val="000000"/>
                <w:sz w:val="20"/>
                <w:szCs w:val="20"/>
              </w:rPr>
              <w:t>5</w:t>
            </w:r>
          </w:p>
        </w:tc>
        <w:tc>
          <w:tcPr>
            <w:tcW w:w="992" w:type="dxa"/>
            <w:shd w:val="clear" w:color="auto" w:fill="auto"/>
            <w:noWrap/>
            <w:vAlign w:val="bottom"/>
            <w:hideMark/>
          </w:tcPr>
          <w:p w14:paraId="23285F7E" w14:textId="5A665C67" w:rsidR="00CC5D86" w:rsidRPr="009D5B83" w:rsidRDefault="00EF562D" w:rsidP="00CC5D86">
            <w:pPr>
              <w:jc w:val="right"/>
              <w:rPr>
                <w:color w:val="000000"/>
                <w:sz w:val="20"/>
                <w:szCs w:val="20"/>
              </w:rPr>
            </w:pPr>
            <w:r w:rsidRPr="009D5B83">
              <w:rPr>
                <w:color w:val="000000"/>
                <w:sz w:val="20"/>
                <w:szCs w:val="20"/>
              </w:rPr>
              <w:t>0,4</w:t>
            </w:r>
          </w:p>
        </w:tc>
        <w:tc>
          <w:tcPr>
            <w:tcW w:w="1134" w:type="dxa"/>
            <w:shd w:val="clear" w:color="auto" w:fill="auto"/>
            <w:noWrap/>
            <w:vAlign w:val="bottom"/>
            <w:hideMark/>
          </w:tcPr>
          <w:p w14:paraId="5EE41EFE" w14:textId="23F3AEE4" w:rsidR="00CC5D86" w:rsidRPr="009D5B83" w:rsidRDefault="00CC5D86" w:rsidP="00CC5D86">
            <w:pPr>
              <w:jc w:val="right"/>
              <w:rPr>
                <w:color w:val="000000"/>
                <w:sz w:val="20"/>
                <w:szCs w:val="20"/>
              </w:rPr>
            </w:pPr>
            <w:r w:rsidRPr="009D5B83">
              <w:rPr>
                <w:color w:val="000000"/>
                <w:sz w:val="20"/>
                <w:szCs w:val="20"/>
              </w:rPr>
              <w:t>-</w:t>
            </w:r>
            <w:r w:rsidR="00EF562D" w:rsidRPr="009D5B83">
              <w:rPr>
                <w:color w:val="000000"/>
                <w:sz w:val="20"/>
                <w:szCs w:val="20"/>
              </w:rPr>
              <w:t>0,2</w:t>
            </w:r>
          </w:p>
        </w:tc>
        <w:tc>
          <w:tcPr>
            <w:tcW w:w="703" w:type="dxa"/>
            <w:shd w:val="clear" w:color="auto" w:fill="auto"/>
            <w:noWrap/>
            <w:vAlign w:val="bottom"/>
            <w:hideMark/>
          </w:tcPr>
          <w:p w14:paraId="7085D548" w14:textId="568921A4" w:rsidR="00CC5D86" w:rsidRPr="009D5B83" w:rsidRDefault="00CC5D86" w:rsidP="00CC5D86">
            <w:pPr>
              <w:jc w:val="right"/>
              <w:rPr>
                <w:color w:val="000000"/>
                <w:sz w:val="20"/>
                <w:szCs w:val="20"/>
              </w:rPr>
            </w:pPr>
            <w:r w:rsidRPr="009D5B83">
              <w:rPr>
                <w:color w:val="000000"/>
                <w:sz w:val="20"/>
                <w:szCs w:val="20"/>
              </w:rPr>
              <w:t>-30,1</w:t>
            </w:r>
          </w:p>
        </w:tc>
      </w:tr>
    </w:tbl>
    <w:p w14:paraId="0927E72D" w14:textId="258F9D49" w:rsidR="00CC5D86" w:rsidRPr="009D5B83" w:rsidRDefault="00CC5D86" w:rsidP="00E853B4">
      <w:pPr>
        <w:ind w:firstLine="709"/>
        <w:jc w:val="both"/>
        <w:rPr>
          <w:rFonts w:eastAsia="Calibri"/>
          <w:sz w:val="20"/>
          <w:szCs w:val="20"/>
          <w:lang w:eastAsia="en-US"/>
        </w:rPr>
      </w:pPr>
      <w:r w:rsidRPr="009D5B83">
        <w:rPr>
          <w:rFonts w:eastAsia="Calibri"/>
          <w:i/>
          <w:iCs/>
          <w:sz w:val="20"/>
          <w:szCs w:val="20"/>
          <w:lang w:eastAsia="en-US"/>
        </w:rPr>
        <w:t>Примечание</w:t>
      </w:r>
      <w:r w:rsidRPr="009D5B83">
        <w:rPr>
          <w:rFonts w:eastAsia="Calibri"/>
          <w:sz w:val="20"/>
          <w:szCs w:val="20"/>
          <w:lang w:eastAsia="en-US"/>
        </w:rPr>
        <w:t xml:space="preserve">: * – показатели сводной бюджетной росписи </w:t>
      </w:r>
      <w:r w:rsidR="00426529">
        <w:rPr>
          <w:rFonts w:eastAsia="Calibri"/>
          <w:sz w:val="20"/>
          <w:szCs w:val="20"/>
          <w:lang w:eastAsia="en-US"/>
        </w:rPr>
        <w:t xml:space="preserve">(далее – СБР) </w:t>
      </w:r>
      <w:r w:rsidRPr="009D5B83">
        <w:rPr>
          <w:rFonts w:eastAsia="Calibri"/>
          <w:sz w:val="20"/>
          <w:szCs w:val="20"/>
          <w:lang w:eastAsia="en-US"/>
        </w:rPr>
        <w:t>2022 г.</w:t>
      </w:r>
    </w:p>
    <w:p w14:paraId="5ADC7207" w14:textId="06283F4B" w:rsidR="00CC5D86" w:rsidRPr="009D5B83" w:rsidRDefault="00CC5D86" w:rsidP="00E853B4">
      <w:pPr>
        <w:ind w:firstLine="709"/>
        <w:jc w:val="both"/>
        <w:rPr>
          <w:rFonts w:eastAsia="Calibri"/>
          <w:sz w:val="20"/>
          <w:szCs w:val="20"/>
          <w:lang w:eastAsia="en-US"/>
        </w:rPr>
      </w:pPr>
      <w:r w:rsidRPr="009D5B83">
        <w:rPr>
          <w:rFonts w:eastAsia="Calibri"/>
          <w:i/>
          <w:sz w:val="20"/>
          <w:szCs w:val="20"/>
          <w:lang w:eastAsia="en-US"/>
        </w:rPr>
        <w:t>Источник:</w:t>
      </w:r>
      <w:r w:rsidRPr="009D5B83">
        <w:rPr>
          <w:rFonts w:eastAsia="Calibri"/>
          <w:sz w:val="20"/>
          <w:szCs w:val="20"/>
          <w:lang w:eastAsia="en-US"/>
        </w:rPr>
        <w:t xml:space="preserve"> Приложение 10 к Пояснительной записке, расчеты автора.</w:t>
      </w:r>
    </w:p>
    <w:p w14:paraId="560F57B9" w14:textId="77777777" w:rsidR="00CC5D86" w:rsidRPr="009D5B83" w:rsidRDefault="00CC5D86" w:rsidP="00E853B4">
      <w:pPr>
        <w:ind w:firstLine="709"/>
        <w:jc w:val="both"/>
        <w:rPr>
          <w:rFonts w:eastAsia="Calibri"/>
          <w:lang w:eastAsia="en-US"/>
        </w:rPr>
      </w:pPr>
    </w:p>
    <w:p w14:paraId="25A5449A" w14:textId="77777777" w:rsidR="00CC5D86" w:rsidRPr="00E103B9" w:rsidRDefault="00CC5D86" w:rsidP="00E853B4">
      <w:pPr>
        <w:ind w:firstLine="709"/>
        <w:jc w:val="both"/>
        <w:rPr>
          <w:rFonts w:eastAsia="Calibri"/>
          <w:sz w:val="28"/>
          <w:lang w:eastAsia="en-US"/>
        </w:rPr>
      </w:pPr>
      <w:proofErr w:type="gramStart"/>
      <w:r w:rsidRPr="00E103B9">
        <w:rPr>
          <w:rFonts w:eastAsia="Calibri"/>
          <w:sz w:val="28"/>
          <w:lang w:eastAsia="en-US"/>
        </w:rPr>
        <w:t xml:space="preserve">Наиболее существенные изменения в относительном выражении затронули ГП «Эффективное вовлечение в оборот земель сельскохозяйственного назначения и развития мелиоративного комплекса», финансирование которой возросло на 47,6% за счет роста расходов на строительство, реконструкцию и капитальный ремонт объектов мелиоративного комплекса (рост более чем в 3 раза) и обеспечение эффективного управления мелиоративным комплексом и организации рационального использования земель сельскохозяйственного назначения (+45,7%). </w:t>
      </w:r>
      <w:proofErr w:type="gramEnd"/>
    </w:p>
    <w:p w14:paraId="50458D1A" w14:textId="789880BB" w:rsidR="00CC5D86" w:rsidRPr="00E103B9" w:rsidRDefault="00CC5D86" w:rsidP="00E853B4">
      <w:pPr>
        <w:ind w:firstLine="709"/>
        <w:jc w:val="both"/>
        <w:rPr>
          <w:rFonts w:eastAsia="Calibri"/>
          <w:sz w:val="28"/>
          <w:lang w:eastAsia="en-US"/>
        </w:rPr>
      </w:pPr>
      <w:r w:rsidRPr="00E103B9">
        <w:rPr>
          <w:rFonts w:eastAsia="Calibri"/>
          <w:sz w:val="28"/>
          <w:lang w:eastAsia="en-US"/>
        </w:rPr>
        <w:t xml:space="preserve">Поддерживая в целом идею развития мелиорации, следует отметить, что вовлечение неиспользуемых земель в оборот требует дополнительного </w:t>
      </w:r>
      <w:r w:rsidRPr="00E103B9">
        <w:rPr>
          <w:rFonts w:eastAsia="Calibri"/>
          <w:sz w:val="28"/>
          <w:lang w:eastAsia="en-US"/>
        </w:rPr>
        <w:lastRenderedPageBreak/>
        <w:t>обоснования, так как потенциал роста производства продукции растениеводства за счет повышения урожайности на уже освоенных площадях еще далеко не исчерпан. Стимулирование увеличения посевных площадей за счет неиспользуемых является экстенсивной формой развития производства, потребует новых ресурсов и государственной поддержки в то время</w:t>
      </w:r>
      <w:proofErr w:type="gramStart"/>
      <w:r w:rsidRPr="00E103B9">
        <w:rPr>
          <w:rFonts w:eastAsia="Calibri"/>
          <w:sz w:val="28"/>
          <w:lang w:eastAsia="en-US"/>
        </w:rPr>
        <w:t>,</w:t>
      </w:r>
      <w:proofErr w:type="gramEnd"/>
      <w:r w:rsidRPr="00E103B9">
        <w:rPr>
          <w:rFonts w:eastAsia="Calibri"/>
          <w:sz w:val="28"/>
          <w:lang w:eastAsia="en-US"/>
        </w:rPr>
        <w:t xml:space="preserve"> как объем господдержки отрасли падает. Рост расходов на реализацию ФП «Экспорт продукции агропромышленного комплекса» в указанной госпрограмме (+38,7%) не компенсирует общее сокращение расходов по данному проекту в рамках всех госпрограмм (-27,1%). </w:t>
      </w:r>
    </w:p>
    <w:p w14:paraId="17431163" w14:textId="7A7EB35E" w:rsidR="00CC5D86" w:rsidRPr="00E103B9" w:rsidRDefault="00CC5D86" w:rsidP="00E853B4">
      <w:pPr>
        <w:spacing w:after="60"/>
        <w:ind w:firstLine="709"/>
        <w:jc w:val="both"/>
        <w:rPr>
          <w:rFonts w:eastAsia="Calibri"/>
          <w:sz w:val="28"/>
          <w:lang w:eastAsia="en-US"/>
        </w:rPr>
      </w:pPr>
      <w:r w:rsidRPr="00E103B9">
        <w:rPr>
          <w:rFonts w:eastAsia="Calibri"/>
          <w:sz w:val="28"/>
          <w:lang w:eastAsia="en-US"/>
        </w:rPr>
        <w:t xml:space="preserve">В абсолютном измерении наиболее существенные изменения относятся к расходам на реализацию ГП развития сельского хозяйства и регулирования рынков сельскохозяйственной продукции, сырья и продовольствия </w:t>
      </w:r>
      <w:r w:rsidR="005B11ED" w:rsidRPr="00E103B9">
        <w:rPr>
          <w:rFonts w:eastAsia="Calibri"/>
          <w:sz w:val="28"/>
          <w:lang w:eastAsia="en-US"/>
        </w:rPr>
        <w:t xml:space="preserve">(также далее – Госпрограмма) </w:t>
      </w:r>
      <w:r w:rsidRPr="00E103B9">
        <w:rPr>
          <w:rFonts w:eastAsia="Calibri"/>
          <w:sz w:val="28"/>
          <w:lang w:eastAsia="en-US"/>
        </w:rPr>
        <w:t xml:space="preserve">(-31,2 </w:t>
      </w:r>
      <w:proofErr w:type="gramStart"/>
      <w:r w:rsidRPr="00E103B9">
        <w:rPr>
          <w:rFonts w:eastAsia="Calibri"/>
          <w:sz w:val="28"/>
          <w:lang w:eastAsia="en-US"/>
        </w:rPr>
        <w:t>млрд</w:t>
      </w:r>
      <w:proofErr w:type="gramEnd"/>
      <w:r w:rsidRPr="00E103B9">
        <w:rPr>
          <w:rFonts w:eastAsia="Calibri"/>
          <w:sz w:val="28"/>
          <w:lang w:eastAsia="en-US"/>
        </w:rPr>
        <w:t xml:space="preserve"> руб., -8,3%) из которых 21,6 млрд руб. или 69,2% приходится на сокращение финансирования экспорта. Помимо этого, сокращаются расходы на развитие отраслей и техническую модернизацию (-8,5%) и стимулирование инвестиционной деятельности в агропромышленном комплексе (-5,3%). В </w:t>
      </w:r>
      <w:proofErr w:type="gramStart"/>
      <w:r w:rsidRPr="00E103B9">
        <w:rPr>
          <w:rFonts w:eastAsia="Calibri"/>
          <w:sz w:val="28"/>
          <w:lang w:eastAsia="en-US"/>
        </w:rPr>
        <w:t>рамках</w:t>
      </w:r>
      <w:proofErr w:type="gramEnd"/>
      <w:r w:rsidRPr="00E103B9">
        <w:rPr>
          <w:rFonts w:eastAsia="Calibri"/>
          <w:sz w:val="28"/>
          <w:lang w:eastAsia="en-US"/>
        </w:rPr>
        <w:t xml:space="preserve"> комплексов процессных мероприятий предусмотрено перераспределение средств с организации ветеринарного и фитосанитарного надзора на обеспечение деятельности Минсельхоза России и подведомственных организаций. Средства в размере 5 </w:t>
      </w:r>
      <w:proofErr w:type="gramStart"/>
      <w:r w:rsidRPr="00E103B9">
        <w:rPr>
          <w:rFonts w:eastAsia="Calibri"/>
          <w:sz w:val="28"/>
          <w:lang w:eastAsia="en-US"/>
        </w:rPr>
        <w:t>млрд</w:t>
      </w:r>
      <w:proofErr w:type="gramEnd"/>
      <w:r w:rsidRPr="00E103B9">
        <w:rPr>
          <w:rFonts w:eastAsia="Calibri"/>
          <w:sz w:val="28"/>
          <w:lang w:eastAsia="en-US"/>
        </w:rPr>
        <w:t xml:space="preserve"> руб. (более 1% от объема финансирования госпрограммы) выделяются на развитие овощеводства и картофелеводства, что стало следствием ценового кризиса на этом рынке в 2021-2022 гг. </w:t>
      </w:r>
    </w:p>
    <w:p w14:paraId="02FECEDF" w14:textId="0823E85B" w:rsidR="00CC5D86" w:rsidRPr="00E103B9" w:rsidRDefault="00CC5D86" w:rsidP="00E853B4">
      <w:pPr>
        <w:spacing w:after="60"/>
        <w:ind w:firstLine="709"/>
        <w:jc w:val="both"/>
        <w:rPr>
          <w:rFonts w:eastAsia="Calibri"/>
          <w:sz w:val="28"/>
          <w:lang w:eastAsia="en-US"/>
        </w:rPr>
      </w:pPr>
      <w:proofErr w:type="gramStart"/>
      <w:r w:rsidRPr="00E103B9">
        <w:rPr>
          <w:rFonts w:eastAsia="Calibri"/>
          <w:sz w:val="28"/>
          <w:lang w:eastAsia="en-US"/>
        </w:rPr>
        <w:t>В рамках незначительных изменений в объеме финансирования ГП «Комплексное развитие сельских территорий» существенные ресурсы перераспределяются с реализации ФП «Современный облик сельских территорий» на развитие жилищного строительства на сельских территориях и повышение уровня благоустройства домовладений.</w:t>
      </w:r>
      <w:proofErr w:type="gramEnd"/>
    </w:p>
    <w:p w14:paraId="0452F491" w14:textId="18E060E7" w:rsidR="00CC5D86" w:rsidRPr="00E103B9" w:rsidRDefault="00CC5D86" w:rsidP="00E853B4">
      <w:pPr>
        <w:spacing w:after="60"/>
        <w:ind w:firstLine="709"/>
        <w:jc w:val="both"/>
        <w:rPr>
          <w:rFonts w:eastAsia="Calibri"/>
          <w:sz w:val="28"/>
          <w:lang w:eastAsia="en-US"/>
        </w:rPr>
      </w:pPr>
      <w:r w:rsidRPr="00E103B9">
        <w:rPr>
          <w:rFonts w:eastAsia="Calibri"/>
          <w:sz w:val="28"/>
          <w:lang w:eastAsia="en-US"/>
        </w:rPr>
        <w:t>Поскольку 80% расходов федерального бюджета на реализацию госпрограмм аграрной политики осуществляются в рамках ГП развития сельского хозяйства и регулирования рынков сельскохозяйственной продукции, сырья и продовольствия целесообразно раскрыть содержание изменений в ней более подробно (</w:t>
      </w:r>
      <w:r w:rsidRPr="00E103B9">
        <w:rPr>
          <w:rFonts w:eastAsia="Calibri"/>
          <w:i/>
          <w:iCs/>
          <w:sz w:val="28"/>
          <w:lang w:eastAsia="en-US"/>
        </w:rPr>
        <w:t xml:space="preserve">таблица </w:t>
      </w:r>
      <w:r w:rsidR="000B02DC" w:rsidRPr="00E103B9">
        <w:rPr>
          <w:rFonts w:eastAsia="Calibri"/>
          <w:i/>
          <w:iCs/>
          <w:sz w:val="28"/>
          <w:lang w:eastAsia="en-US"/>
        </w:rPr>
        <w:t>17</w:t>
      </w:r>
      <w:r w:rsidRPr="00E103B9">
        <w:rPr>
          <w:rFonts w:eastAsia="Calibri"/>
          <w:sz w:val="28"/>
          <w:lang w:eastAsia="en-US"/>
        </w:rPr>
        <w:t>).</w:t>
      </w:r>
    </w:p>
    <w:p w14:paraId="6303F510" w14:textId="4120483F" w:rsidR="00CC5D86" w:rsidRPr="009D5B83" w:rsidRDefault="00CC5D86" w:rsidP="000B02DC">
      <w:pPr>
        <w:spacing w:after="60"/>
        <w:jc w:val="right"/>
        <w:rPr>
          <w:rFonts w:eastAsia="Calibri"/>
          <w:i/>
          <w:iCs/>
          <w:lang w:eastAsia="en-US"/>
        </w:rPr>
      </w:pPr>
      <w:r w:rsidRPr="009D5B83">
        <w:rPr>
          <w:rFonts w:eastAsia="Calibri"/>
          <w:i/>
          <w:iCs/>
          <w:lang w:eastAsia="en-US"/>
        </w:rPr>
        <w:t xml:space="preserve">Таблица </w:t>
      </w:r>
      <w:r w:rsidR="000B02DC" w:rsidRPr="009D5B83">
        <w:rPr>
          <w:rFonts w:eastAsia="Calibri"/>
          <w:i/>
          <w:iCs/>
          <w:lang w:eastAsia="en-US"/>
        </w:rPr>
        <w:t>17</w:t>
      </w:r>
    </w:p>
    <w:p w14:paraId="7D7D10F4" w14:textId="65DC6EFC" w:rsidR="00CC5D86" w:rsidRPr="009D5B83" w:rsidRDefault="00CC5D86" w:rsidP="00E853B4">
      <w:pPr>
        <w:jc w:val="center"/>
        <w:rPr>
          <w:rFonts w:eastAsia="Calibri"/>
          <w:b/>
          <w:bCs/>
          <w:lang w:eastAsia="en-US"/>
        </w:rPr>
      </w:pPr>
      <w:r w:rsidRPr="009D5B83">
        <w:rPr>
          <w:rFonts w:eastAsia="Calibri"/>
          <w:b/>
          <w:bCs/>
          <w:lang w:eastAsia="en-US"/>
        </w:rPr>
        <w:t xml:space="preserve">Расходы федерального бюджета в 2022-2025 гг. на реализацию ГП развития сельского хозяйства и регулирования рынков сельскохозяйственной продукции, сырья и продовольствия, </w:t>
      </w:r>
      <w:proofErr w:type="gramStart"/>
      <w:r w:rsidRPr="009D5B83">
        <w:rPr>
          <w:rFonts w:eastAsia="Calibri"/>
          <w:b/>
          <w:bCs/>
          <w:lang w:eastAsia="en-US"/>
        </w:rPr>
        <w:t>млрд</w:t>
      </w:r>
      <w:proofErr w:type="gramEnd"/>
      <w:r w:rsidRPr="009D5B83">
        <w:rPr>
          <w:rFonts w:eastAsia="Calibri"/>
          <w:b/>
          <w:bCs/>
          <w:lang w:eastAsia="en-US"/>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125"/>
        <w:gridCol w:w="964"/>
        <w:gridCol w:w="1127"/>
        <w:gridCol w:w="1086"/>
        <w:gridCol w:w="946"/>
        <w:gridCol w:w="946"/>
        <w:gridCol w:w="1036"/>
      </w:tblGrid>
      <w:tr w:rsidR="00CC5D86" w:rsidRPr="009D5B83" w14:paraId="7711A60C" w14:textId="77777777" w:rsidTr="00CC5D86">
        <w:trPr>
          <w:trHeight w:val="315"/>
          <w:tblHeader/>
        </w:trPr>
        <w:tc>
          <w:tcPr>
            <w:tcW w:w="1484" w:type="pct"/>
            <w:vMerge w:val="restart"/>
            <w:vAlign w:val="center"/>
          </w:tcPr>
          <w:p w14:paraId="42004CE7" w14:textId="77777777" w:rsidR="00CC5D86" w:rsidRPr="009D5B83" w:rsidRDefault="00CC5D86" w:rsidP="00CC5D86">
            <w:pPr>
              <w:jc w:val="center"/>
              <w:rPr>
                <w:b/>
                <w:bCs/>
                <w:color w:val="000000"/>
                <w:sz w:val="20"/>
                <w:szCs w:val="20"/>
              </w:rPr>
            </w:pPr>
            <w:r w:rsidRPr="009D5B83">
              <w:rPr>
                <w:b/>
                <w:bCs/>
                <w:color w:val="000000"/>
                <w:sz w:val="20"/>
                <w:szCs w:val="20"/>
              </w:rPr>
              <w:t>Меры</w:t>
            </w:r>
          </w:p>
        </w:tc>
        <w:tc>
          <w:tcPr>
            <w:tcW w:w="547" w:type="pct"/>
            <w:vMerge w:val="restart"/>
            <w:shd w:val="clear" w:color="auto" w:fill="auto"/>
            <w:vAlign w:val="center"/>
          </w:tcPr>
          <w:p w14:paraId="2093169B" w14:textId="606CB3CB" w:rsidR="00CC5D86" w:rsidRPr="009D5B83" w:rsidRDefault="00CC5D86" w:rsidP="00CC5D86">
            <w:pPr>
              <w:jc w:val="center"/>
              <w:rPr>
                <w:b/>
                <w:bCs/>
                <w:color w:val="000000"/>
                <w:sz w:val="20"/>
                <w:szCs w:val="20"/>
              </w:rPr>
            </w:pPr>
            <w:r w:rsidRPr="009D5B83">
              <w:rPr>
                <w:b/>
                <w:bCs/>
                <w:color w:val="000000"/>
                <w:sz w:val="20"/>
                <w:szCs w:val="20"/>
              </w:rPr>
              <w:t>2022 г.*</w:t>
            </w:r>
          </w:p>
        </w:tc>
        <w:tc>
          <w:tcPr>
            <w:tcW w:w="469" w:type="pct"/>
            <w:vMerge w:val="restart"/>
            <w:shd w:val="clear" w:color="auto" w:fill="auto"/>
            <w:vAlign w:val="center"/>
          </w:tcPr>
          <w:p w14:paraId="45D7063C" w14:textId="63C861D7" w:rsidR="00CC5D86" w:rsidRPr="009D5B83" w:rsidRDefault="00CC5D86" w:rsidP="00CC5D86">
            <w:pPr>
              <w:jc w:val="center"/>
              <w:rPr>
                <w:b/>
                <w:bCs/>
                <w:color w:val="000000"/>
                <w:sz w:val="20"/>
                <w:szCs w:val="20"/>
              </w:rPr>
            </w:pPr>
            <w:r w:rsidRPr="009D5B83">
              <w:rPr>
                <w:b/>
                <w:bCs/>
                <w:color w:val="000000"/>
                <w:sz w:val="20"/>
                <w:szCs w:val="20"/>
              </w:rPr>
              <w:t>2023 г.</w:t>
            </w:r>
          </w:p>
        </w:tc>
        <w:tc>
          <w:tcPr>
            <w:tcW w:w="548" w:type="pct"/>
            <w:vMerge w:val="restart"/>
            <w:shd w:val="clear" w:color="auto" w:fill="auto"/>
            <w:vAlign w:val="center"/>
          </w:tcPr>
          <w:p w14:paraId="6517020A" w14:textId="5874419B" w:rsidR="00CC5D86" w:rsidRPr="009D5B83" w:rsidRDefault="00CC5D86" w:rsidP="00CC5D86">
            <w:pPr>
              <w:jc w:val="center"/>
              <w:rPr>
                <w:b/>
                <w:bCs/>
                <w:color w:val="000000"/>
                <w:sz w:val="20"/>
                <w:szCs w:val="20"/>
              </w:rPr>
            </w:pPr>
            <w:r w:rsidRPr="009D5B83">
              <w:rPr>
                <w:b/>
                <w:bCs/>
                <w:color w:val="000000"/>
                <w:sz w:val="20"/>
                <w:szCs w:val="20"/>
              </w:rPr>
              <w:t>2024 г.</w:t>
            </w:r>
          </w:p>
        </w:tc>
        <w:tc>
          <w:tcPr>
            <w:tcW w:w="528" w:type="pct"/>
            <w:vMerge w:val="restart"/>
            <w:shd w:val="clear" w:color="auto" w:fill="auto"/>
            <w:vAlign w:val="center"/>
          </w:tcPr>
          <w:p w14:paraId="3EB61618" w14:textId="3164D287" w:rsidR="00CC5D86" w:rsidRPr="009D5B83" w:rsidRDefault="00CC5D86" w:rsidP="00CC5D86">
            <w:pPr>
              <w:jc w:val="center"/>
              <w:rPr>
                <w:b/>
                <w:bCs/>
                <w:color w:val="000000"/>
                <w:sz w:val="20"/>
                <w:szCs w:val="20"/>
              </w:rPr>
            </w:pPr>
            <w:r w:rsidRPr="009D5B83">
              <w:rPr>
                <w:b/>
                <w:bCs/>
                <w:color w:val="000000"/>
                <w:sz w:val="20"/>
                <w:szCs w:val="20"/>
              </w:rPr>
              <w:t>2025 г.</w:t>
            </w:r>
          </w:p>
        </w:tc>
        <w:tc>
          <w:tcPr>
            <w:tcW w:w="1424" w:type="pct"/>
            <w:gridSpan w:val="3"/>
            <w:shd w:val="clear" w:color="auto" w:fill="auto"/>
            <w:noWrap/>
            <w:vAlign w:val="center"/>
          </w:tcPr>
          <w:p w14:paraId="6A7A761A" w14:textId="17FB6C78" w:rsidR="00CC5D86" w:rsidRPr="009D5B83" w:rsidRDefault="00CC5D86" w:rsidP="00CC5D86">
            <w:pPr>
              <w:jc w:val="center"/>
              <w:rPr>
                <w:b/>
                <w:bCs/>
                <w:color w:val="000000"/>
                <w:sz w:val="20"/>
                <w:szCs w:val="20"/>
              </w:rPr>
            </w:pPr>
            <w:r w:rsidRPr="009D5B83">
              <w:rPr>
                <w:b/>
                <w:bCs/>
                <w:color w:val="000000"/>
                <w:sz w:val="20"/>
                <w:szCs w:val="20"/>
              </w:rPr>
              <w:t>Прирост к 2022 г., %</w:t>
            </w:r>
          </w:p>
        </w:tc>
      </w:tr>
      <w:tr w:rsidR="00CC5D86" w:rsidRPr="009D5B83" w14:paraId="6910B50F" w14:textId="77777777" w:rsidTr="00CC5D86">
        <w:trPr>
          <w:trHeight w:val="315"/>
          <w:tblHeader/>
        </w:trPr>
        <w:tc>
          <w:tcPr>
            <w:tcW w:w="1484" w:type="pct"/>
            <w:vMerge/>
            <w:vAlign w:val="center"/>
          </w:tcPr>
          <w:p w14:paraId="7B1C1C0F" w14:textId="77777777" w:rsidR="00CC5D86" w:rsidRPr="009D5B83" w:rsidRDefault="00CC5D86" w:rsidP="00CC5D86">
            <w:pPr>
              <w:jc w:val="center"/>
              <w:rPr>
                <w:b/>
                <w:bCs/>
                <w:color w:val="000000"/>
                <w:sz w:val="20"/>
                <w:szCs w:val="20"/>
              </w:rPr>
            </w:pPr>
          </w:p>
        </w:tc>
        <w:tc>
          <w:tcPr>
            <w:tcW w:w="547" w:type="pct"/>
            <w:vMerge/>
            <w:shd w:val="clear" w:color="auto" w:fill="auto"/>
            <w:vAlign w:val="center"/>
          </w:tcPr>
          <w:p w14:paraId="006D557A" w14:textId="77777777" w:rsidR="00CC5D86" w:rsidRPr="009D5B83" w:rsidRDefault="00CC5D86" w:rsidP="00CC5D86">
            <w:pPr>
              <w:jc w:val="center"/>
              <w:rPr>
                <w:b/>
                <w:bCs/>
                <w:color w:val="000000"/>
                <w:sz w:val="20"/>
                <w:szCs w:val="20"/>
              </w:rPr>
            </w:pPr>
          </w:p>
        </w:tc>
        <w:tc>
          <w:tcPr>
            <w:tcW w:w="469" w:type="pct"/>
            <w:vMerge/>
            <w:shd w:val="clear" w:color="auto" w:fill="auto"/>
            <w:vAlign w:val="center"/>
          </w:tcPr>
          <w:p w14:paraId="7D74DDB1" w14:textId="77777777" w:rsidR="00CC5D86" w:rsidRPr="009D5B83" w:rsidRDefault="00CC5D86" w:rsidP="00CC5D86">
            <w:pPr>
              <w:jc w:val="center"/>
              <w:rPr>
                <w:b/>
                <w:bCs/>
                <w:color w:val="000000"/>
                <w:sz w:val="20"/>
                <w:szCs w:val="20"/>
              </w:rPr>
            </w:pPr>
          </w:p>
        </w:tc>
        <w:tc>
          <w:tcPr>
            <w:tcW w:w="548" w:type="pct"/>
            <w:vMerge/>
            <w:shd w:val="clear" w:color="auto" w:fill="auto"/>
            <w:vAlign w:val="center"/>
          </w:tcPr>
          <w:p w14:paraId="0769CE3C" w14:textId="77777777" w:rsidR="00CC5D86" w:rsidRPr="009D5B83" w:rsidRDefault="00CC5D86" w:rsidP="00CC5D86">
            <w:pPr>
              <w:jc w:val="center"/>
              <w:rPr>
                <w:b/>
                <w:bCs/>
                <w:color w:val="000000"/>
                <w:sz w:val="20"/>
                <w:szCs w:val="20"/>
              </w:rPr>
            </w:pPr>
          </w:p>
        </w:tc>
        <w:tc>
          <w:tcPr>
            <w:tcW w:w="528" w:type="pct"/>
            <w:vMerge/>
            <w:shd w:val="clear" w:color="auto" w:fill="auto"/>
            <w:vAlign w:val="center"/>
          </w:tcPr>
          <w:p w14:paraId="01198747" w14:textId="77777777" w:rsidR="00CC5D86" w:rsidRPr="009D5B83" w:rsidRDefault="00CC5D86" w:rsidP="00CC5D86">
            <w:pPr>
              <w:jc w:val="center"/>
              <w:rPr>
                <w:b/>
                <w:bCs/>
                <w:color w:val="000000"/>
                <w:sz w:val="20"/>
                <w:szCs w:val="20"/>
              </w:rPr>
            </w:pPr>
          </w:p>
        </w:tc>
        <w:tc>
          <w:tcPr>
            <w:tcW w:w="460" w:type="pct"/>
            <w:shd w:val="clear" w:color="auto" w:fill="auto"/>
            <w:noWrap/>
            <w:vAlign w:val="center"/>
          </w:tcPr>
          <w:p w14:paraId="4B675A1A" w14:textId="5348D8BE" w:rsidR="00CC5D86" w:rsidRPr="009D5B83" w:rsidRDefault="00CC5D86" w:rsidP="00CC5D86">
            <w:pPr>
              <w:jc w:val="center"/>
              <w:rPr>
                <w:b/>
                <w:bCs/>
                <w:color w:val="000000"/>
                <w:sz w:val="20"/>
                <w:szCs w:val="20"/>
              </w:rPr>
            </w:pPr>
            <w:r w:rsidRPr="009D5B83">
              <w:rPr>
                <w:b/>
                <w:bCs/>
                <w:color w:val="000000"/>
                <w:sz w:val="20"/>
                <w:szCs w:val="20"/>
              </w:rPr>
              <w:t>2023 г.</w:t>
            </w:r>
          </w:p>
        </w:tc>
        <w:tc>
          <w:tcPr>
            <w:tcW w:w="460" w:type="pct"/>
            <w:shd w:val="clear" w:color="auto" w:fill="auto"/>
            <w:noWrap/>
            <w:vAlign w:val="center"/>
          </w:tcPr>
          <w:p w14:paraId="56F870D6" w14:textId="728C57BE" w:rsidR="00CC5D86" w:rsidRPr="009D5B83" w:rsidRDefault="00CC5D86" w:rsidP="00CC5D86">
            <w:pPr>
              <w:jc w:val="center"/>
              <w:rPr>
                <w:b/>
                <w:bCs/>
                <w:color w:val="000000"/>
                <w:sz w:val="20"/>
                <w:szCs w:val="20"/>
              </w:rPr>
            </w:pPr>
            <w:r w:rsidRPr="009D5B83">
              <w:rPr>
                <w:b/>
                <w:bCs/>
                <w:color w:val="000000"/>
                <w:sz w:val="20"/>
                <w:szCs w:val="20"/>
              </w:rPr>
              <w:t>2024 г.</w:t>
            </w:r>
          </w:p>
        </w:tc>
        <w:tc>
          <w:tcPr>
            <w:tcW w:w="504" w:type="pct"/>
            <w:shd w:val="clear" w:color="auto" w:fill="auto"/>
            <w:noWrap/>
            <w:vAlign w:val="center"/>
          </w:tcPr>
          <w:p w14:paraId="140D9B6F" w14:textId="29F3C955" w:rsidR="00CC5D86" w:rsidRPr="009D5B83" w:rsidRDefault="00CC5D86" w:rsidP="00CC5D86">
            <w:pPr>
              <w:jc w:val="center"/>
              <w:rPr>
                <w:b/>
                <w:bCs/>
                <w:color w:val="000000"/>
                <w:sz w:val="20"/>
                <w:szCs w:val="20"/>
              </w:rPr>
            </w:pPr>
            <w:r w:rsidRPr="009D5B83">
              <w:rPr>
                <w:b/>
                <w:bCs/>
                <w:color w:val="000000"/>
                <w:sz w:val="20"/>
                <w:szCs w:val="20"/>
              </w:rPr>
              <w:t>2025 г.</w:t>
            </w:r>
          </w:p>
        </w:tc>
      </w:tr>
      <w:tr w:rsidR="00CC5D86" w:rsidRPr="009D5B83" w14:paraId="19442838" w14:textId="77777777" w:rsidTr="00CC5D86">
        <w:trPr>
          <w:trHeight w:val="315"/>
        </w:trPr>
        <w:tc>
          <w:tcPr>
            <w:tcW w:w="1484" w:type="pct"/>
          </w:tcPr>
          <w:p w14:paraId="40FEE215" w14:textId="549AB4A7" w:rsidR="00CC5D86" w:rsidRPr="009D5B83" w:rsidRDefault="00CC5D86" w:rsidP="00CC5D86">
            <w:pPr>
              <w:rPr>
                <w:b/>
                <w:bCs/>
                <w:color w:val="000000"/>
                <w:sz w:val="20"/>
                <w:szCs w:val="20"/>
              </w:rPr>
            </w:pPr>
            <w:r w:rsidRPr="009D5B83">
              <w:rPr>
                <w:rFonts w:eastAsia="Calibri"/>
                <w:b/>
                <w:bCs/>
                <w:color w:val="000000"/>
                <w:sz w:val="20"/>
                <w:szCs w:val="20"/>
                <w:lang w:eastAsia="en-US"/>
              </w:rPr>
              <w:t>В</w:t>
            </w:r>
            <w:r w:rsidR="00F85D41">
              <w:rPr>
                <w:rFonts w:eastAsia="Calibri"/>
                <w:b/>
                <w:bCs/>
                <w:color w:val="000000"/>
                <w:sz w:val="20"/>
                <w:szCs w:val="20"/>
                <w:lang w:eastAsia="en-US"/>
              </w:rPr>
              <w:t>СЕГО</w:t>
            </w:r>
          </w:p>
        </w:tc>
        <w:tc>
          <w:tcPr>
            <w:tcW w:w="547" w:type="pct"/>
            <w:shd w:val="clear" w:color="auto" w:fill="auto"/>
            <w:vAlign w:val="center"/>
          </w:tcPr>
          <w:p w14:paraId="0D340D1C" w14:textId="77777777" w:rsidR="00CC5D86" w:rsidRPr="009D5B83" w:rsidRDefault="00CC5D86" w:rsidP="00CC5D86">
            <w:pPr>
              <w:jc w:val="center"/>
              <w:rPr>
                <w:b/>
                <w:bCs/>
                <w:color w:val="000000"/>
                <w:sz w:val="20"/>
                <w:szCs w:val="20"/>
              </w:rPr>
            </w:pPr>
            <w:r w:rsidRPr="009D5B83">
              <w:rPr>
                <w:rFonts w:eastAsia="Calibri"/>
                <w:color w:val="000000"/>
                <w:sz w:val="20"/>
                <w:szCs w:val="20"/>
                <w:lang w:eastAsia="en-US"/>
              </w:rPr>
              <w:t>375,95</w:t>
            </w:r>
          </w:p>
        </w:tc>
        <w:tc>
          <w:tcPr>
            <w:tcW w:w="469" w:type="pct"/>
            <w:shd w:val="clear" w:color="auto" w:fill="auto"/>
            <w:vAlign w:val="center"/>
          </w:tcPr>
          <w:p w14:paraId="20E7979B" w14:textId="77777777" w:rsidR="00CC5D86" w:rsidRPr="009D5B83" w:rsidRDefault="00CC5D86" w:rsidP="00CC5D86">
            <w:pPr>
              <w:jc w:val="center"/>
              <w:rPr>
                <w:b/>
                <w:bCs/>
                <w:color w:val="000000"/>
                <w:sz w:val="20"/>
                <w:szCs w:val="20"/>
              </w:rPr>
            </w:pPr>
            <w:r w:rsidRPr="009D5B83">
              <w:rPr>
                <w:rFonts w:eastAsia="Calibri"/>
                <w:color w:val="000000"/>
                <w:sz w:val="20"/>
                <w:szCs w:val="20"/>
                <w:lang w:eastAsia="en-US"/>
              </w:rPr>
              <w:t>344,75</w:t>
            </w:r>
          </w:p>
        </w:tc>
        <w:tc>
          <w:tcPr>
            <w:tcW w:w="548" w:type="pct"/>
            <w:shd w:val="clear" w:color="auto" w:fill="auto"/>
            <w:vAlign w:val="center"/>
          </w:tcPr>
          <w:p w14:paraId="6FAFE421" w14:textId="77777777" w:rsidR="00CC5D86" w:rsidRPr="009D5B83" w:rsidRDefault="00CC5D86" w:rsidP="00CC5D86">
            <w:pPr>
              <w:jc w:val="center"/>
              <w:rPr>
                <w:b/>
                <w:bCs/>
                <w:color w:val="000000"/>
                <w:sz w:val="20"/>
                <w:szCs w:val="20"/>
              </w:rPr>
            </w:pPr>
            <w:r w:rsidRPr="009D5B83">
              <w:rPr>
                <w:rFonts w:eastAsia="Calibri"/>
                <w:color w:val="000000"/>
                <w:sz w:val="20"/>
                <w:szCs w:val="20"/>
                <w:lang w:eastAsia="en-US"/>
              </w:rPr>
              <w:t>331,15</w:t>
            </w:r>
          </w:p>
        </w:tc>
        <w:tc>
          <w:tcPr>
            <w:tcW w:w="528" w:type="pct"/>
            <w:shd w:val="clear" w:color="auto" w:fill="auto"/>
            <w:vAlign w:val="center"/>
          </w:tcPr>
          <w:p w14:paraId="49CFC97D" w14:textId="77777777" w:rsidR="00CC5D86" w:rsidRPr="009D5B83" w:rsidRDefault="00CC5D86" w:rsidP="00CC5D86">
            <w:pPr>
              <w:jc w:val="center"/>
              <w:rPr>
                <w:b/>
                <w:bCs/>
                <w:color w:val="000000"/>
                <w:sz w:val="20"/>
                <w:szCs w:val="20"/>
              </w:rPr>
            </w:pPr>
            <w:r w:rsidRPr="009D5B83">
              <w:rPr>
                <w:rFonts w:eastAsia="Calibri"/>
                <w:color w:val="000000"/>
                <w:sz w:val="20"/>
                <w:szCs w:val="20"/>
                <w:lang w:eastAsia="en-US"/>
              </w:rPr>
              <w:t>239,16</w:t>
            </w:r>
          </w:p>
        </w:tc>
        <w:tc>
          <w:tcPr>
            <w:tcW w:w="460" w:type="pct"/>
            <w:shd w:val="clear" w:color="auto" w:fill="auto"/>
            <w:noWrap/>
            <w:vAlign w:val="center"/>
          </w:tcPr>
          <w:p w14:paraId="437191DB" w14:textId="0188DFFE"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-8,3</w:t>
            </w:r>
          </w:p>
        </w:tc>
        <w:tc>
          <w:tcPr>
            <w:tcW w:w="460" w:type="pct"/>
            <w:shd w:val="clear" w:color="auto" w:fill="auto"/>
            <w:noWrap/>
            <w:vAlign w:val="center"/>
          </w:tcPr>
          <w:p w14:paraId="76F56967" w14:textId="4FB82517"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-11,9</w:t>
            </w:r>
          </w:p>
        </w:tc>
        <w:tc>
          <w:tcPr>
            <w:tcW w:w="504" w:type="pct"/>
            <w:shd w:val="clear" w:color="auto" w:fill="auto"/>
            <w:noWrap/>
            <w:vAlign w:val="center"/>
          </w:tcPr>
          <w:p w14:paraId="3FD9955F" w14:textId="02655B79"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-36,4</w:t>
            </w:r>
          </w:p>
        </w:tc>
      </w:tr>
      <w:tr w:rsidR="00CC5D86" w:rsidRPr="009D5B83" w14:paraId="477361BD" w14:textId="77777777" w:rsidTr="00CC5D86">
        <w:trPr>
          <w:trHeight w:val="315"/>
        </w:trPr>
        <w:tc>
          <w:tcPr>
            <w:tcW w:w="1484" w:type="pct"/>
          </w:tcPr>
          <w:p w14:paraId="66C7A37D" w14:textId="77777777" w:rsidR="00CC5D86" w:rsidRPr="009D5B83" w:rsidRDefault="00CC5D86" w:rsidP="00CC5D86">
            <w:pPr>
              <w:rPr>
                <w:b/>
                <w:color w:val="000000"/>
                <w:sz w:val="20"/>
                <w:szCs w:val="20"/>
              </w:rPr>
            </w:pPr>
            <w:r w:rsidRPr="009D5B83">
              <w:rPr>
                <w:rFonts w:eastAsia="Calibri"/>
                <w:b/>
                <w:color w:val="000000"/>
                <w:sz w:val="20"/>
                <w:szCs w:val="20"/>
                <w:lang w:eastAsia="en-US"/>
              </w:rPr>
              <w:t>Федеральные проекты</w:t>
            </w:r>
          </w:p>
        </w:tc>
        <w:tc>
          <w:tcPr>
            <w:tcW w:w="547" w:type="pct"/>
            <w:shd w:val="clear" w:color="auto" w:fill="auto"/>
            <w:vAlign w:val="center"/>
          </w:tcPr>
          <w:p w14:paraId="13D7E6A1"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344,80</w:t>
            </w:r>
          </w:p>
        </w:tc>
        <w:tc>
          <w:tcPr>
            <w:tcW w:w="469" w:type="pct"/>
            <w:shd w:val="clear" w:color="auto" w:fill="auto"/>
            <w:vAlign w:val="center"/>
          </w:tcPr>
          <w:p w14:paraId="5CB75766"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313,76</w:t>
            </w:r>
          </w:p>
        </w:tc>
        <w:tc>
          <w:tcPr>
            <w:tcW w:w="548" w:type="pct"/>
            <w:shd w:val="clear" w:color="auto" w:fill="auto"/>
            <w:vAlign w:val="center"/>
          </w:tcPr>
          <w:p w14:paraId="00A0C4A4"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301,05</w:t>
            </w:r>
          </w:p>
        </w:tc>
        <w:tc>
          <w:tcPr>
            <w:tcW w:w="528" w:type="pct"/>
            <w:shd w:val="clear" w:color="auto" w:fill="auto"/>
            <w:vAlign w:val="center"/>
          </w:tcPr>
          <w:p w14:paraId="32A4803A"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208,41</w:t>
            </w:r>
          </w:p>
        </w:tc>
        <w:tc>
          <w:tcPr>
            <w:tcW w:w="460" w:type="pct"/>
            <w:shd w:val="clear" w:color="auto" w:fill="auto"/>
            <w:noWrap/>
            <w:vAlign w:val="center"/>
          </w:tcPr>
          <w:p w14:paraId="6BD7F0D5" w14:textId="6C6DA012"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-9,0</w:t>
            </w:r>
          </w:p>
        </w:tc>
        <w:tc>
          <w:tcPr>
            <w:tcW w:w="460" w:type="pct"/>
            <w:shd w:val="clear" w:color="auto" w:fill="auto"/>
            <w:noWrap/>
            <w:vAlign w:val="center"/>
          </w:tcPr>
          <w:p w14:paraId="563F16D2" w14:textId="44B3DC07"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-12,7</w:t>
            </w:r>
          </w:p>
        </w:tc>
        <w:tc>
          <w:tcPr>
            <w:tcW w:w="504" w:type="pct"/>
            <w:shd w:val="clear" w:color="auto" w:fill="auto"/>
            <w:noWrap/>
            <w:vAlign w:val="center"/>
          </w:tcPr>
          <w:p w14:paraId="4D5B6D0D" w14:textId="78552510"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-39,6</w:t>
            </w:r>
          </w:p>
        </w:tc>
      </w:tr>
      <w:tr w:rsidR="00CC5D86" w:rsidRPr="009D5B83" w14:paraId="66B78386" w14:textId="77777777" w:rsidTr="00CC5D86">
        <w:trPr>
          <w:trHeight w:val="542"/>
        </w:trPr>
        <w:tc>
          <w:tcPr>
            <w:tcW w:w="1484" w:type="pct"/>
          </w:tcPr>
          <w:p w14:paraId="30797D95" w14:textId="13A32FCD"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Развитие отраслей и техническая модернизация АПК</w:t>
            </w:r>
            <w:r w:rsidRPr="009D5B83">
              <w:rPr>
                <w:rFonts w:eastAsia="Calibri"/>
                <w:color w:val="000000"/>
                <w:sz w:val="20"/>
                <w:szCs w:val="20"/>
                <w:lang w:eastAsia="en-US"/>
              </w:rPr>
              <w:t>»</w:t>
            </w:r>
          </w:p>
        </w:tc>
        <w:tc>
          <w:tcPr>
            <w:tcW w:w="547" w:type="pct"/>
            <w:shd w:val="clear" w:color="auto" w:fill="auto"/>
            <w:vAlign w:val="center"/>
          </w:tcPr>
          <w:p w14:paraId="3FD38283"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89,50</w:t>
            </w:r>
          </w:p>
        </w:tc>
        <w:tc>
          <w:tcPr>
            <w:tcW w:w="469" w:type="pct"/>
            <w:shd w:val="clear" w:color="auto" w:fill="auto"/>
            <w:vAlign w:val="center"/>
          </w:tcPr>
          <w:p w14:paraId="3042BD13"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81,92</w:t>
            </w:r>
          </w:p>
        </w:tc>
        <w:tc>
          <w:tcPr>
            <w:tcW w:w="548" w:type="pct"/>
            <w:shd w:val="clear" w:color="auto" w:fill="auto"/>
            <w:vAlign w:val="center"/>
          </w:tcPr>
          <w:p w14:paraId="0B5C4172"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86,87</w:t>
            </w:r>
          </w:p>
        </w:tc>
        <w:tc>
          <w:tcPr>
            <w:tcW w:w="528" w:type="pct"/>
            <w:shd w:val="clear" w:color="auto" w:fill="auto"/>
            <w:vAlign w:val="center"/>
          </w:tcPr>
          <w:p w14:paraId="6D476716"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89,20</w:t>
            </w:r>
          </w:p>
        </w:tc>
        <w:tc>
          <w:tcPr>
            <w:tcW w:w="460" w:type="pct"/>
            <w:shd w:val="clear" w:color="auto" w:fill="auto"/>
            <w:noWrap/>
            <w:vAlign w:val="center"/>
          </w:tcPr>
          <w:p w14:paraId="674AAB6E" w14:textId="4D2A1DFB"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-8,5</w:t>
            </w:r>
          </w:p>
        </w:tc>
        <w:tc>
          <w:tcPr>
            <w:tcW w:w="460" w:type="pct"/>
            <w:shd w:val="clear" w:color="auto" w:fill="auto"/>
            <w:noWrap/>
            <w:vAlign w:val="center"/>
          </w:tcPr>
          <w:p w14:paraId="369F7F4A" w14:textId="57B1F410"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-2,9</w:t>
            </w:r>
          </w:p>
        </w:tc>
        <w:tc>
          <w:tcPr>
            <w:tcW w:w="504" w:type="pct"/>
            <w:shd w:val="clear" w:color="auto" w:fill="auto"/>
            <w:noWrap/>
            <w:vAlign w:val="center"/>
          </w:tcPr>
          <w:p w14:paraId="1FE31C0B" w14:textId="22C776FE"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-0,3</w:t>
            </w:r>
          </w:p>
        </w:tc>
      </w:tr>
      <w:tr w:rsidR="00CC5D86" w:rsidRPr="009D5B83" w14:paraId="709A9465" w14:textId="77777777" w:rsidTr="00CC5D86">
        <w:trPr>
          <w:trHeight w:val="394"/>
        </w:trPr>
        <w:tc>
          <w:tcPr>
            <w:tcW w:w="1484" w:type="pct"/>
          </w:tcPr>
          <w:p w14:paraId="293D87FE" w14:textId="744EEC5D" w:rsidR="00CC5D86" w:rsidRPr="009D5B83" w:rsidRDefault="005B11ED" w:rsidP="00CC5D86">
            <w:pPr>
              <w:rPr>
                <w:color w:val="000000"/>
                <w:sz w:val="20"/>
                <w:szCs w:val="20"/>
              </w:rPr>
            </w:pPr>
            <w:r w:rsidRPr="009D5B83">
              <w:rPr>
                <w:rFonts w:eastAsia="Calibri"/>
                <w:bCs/>
                <w:color w:val="000000"/>
                <w:sz w:val="20"/>
                <w:szCs w:val="20"/>
                <w:lang w:eastAsia="en-US"/>
              </w:rPr>
              <w:t>«</w:t>
            </w:r>
            <w:r w:rsidR="00CC5D86" w:rsidRPr="009D5B83">
              <w:rPr>
                <w:rFonts w:eastAsia="Calibri"/>
                <w:bCs/>
                <w:color w:val="000000"/>
                <w:sz w:val="20"/>
                <w:szCs w:val="20"/>
                <w:lang w:eastAsia="en-US"/>
              </w:rPr>
              <w:t>Стимулирование инвестиционной деятельности в АПК</w:t>
            </w:r>
            <w:r w:rsidRPr="009D5B83">
              <w:rPr>
                <w:rFonts w:eastAsia="Calibri"/>
                <w:bCs/>
                <w:color w:val="000000"/>
                <w:sz w:val="20"/>
                <w:szCs w:val="20"/>
                <w:lang w:eastAsia="en-US"/>
              </w:rPr>
              <w:t>»</w:t>
            </w:r>
          </w:p>
        </w:tc>
        <w:tc>
          <w:tcPr>
            <w:tcW w:w="547" w:type="pct"/>
            <w:shd w:val="clear" w:color="auto" w:fill="auto"/>
            <w:vAlign w:val="center"/>
          </w:tcPr>
          <w:p w14:paraId="3896ECB9"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183,18</w:t>
            </w:r>
          </w:p>
        </w:tc>
        <w:tc>
          <w:tcPr>
            <w:tcW w:w="469" w:type="pct"/>
            <w:shd w:val="clear" w:color="auto" w:fill="auto"/>
            <w:vAlign w:val="center"/>
          </w:tcPr>
          <w:p w14:paraId="110439B2"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173,41</w:t>
            </w:r>
          </w:p>
        </w:tc>
        <w:tc>
          <w:tcPr>
            <w:tcW w:w="548" w:type="pct"/>
            <w:shd w:val="clear" w:color="auto" w:fill="auto"/>
            <w:vAlign w:val="center"/>
          </w:tcPr>
          <w:p w14:paraId="6A2615E3"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135,98</w:t>
            </w:r>
          </w:p>
        </w:tc>
        <w:tc>
          <w:tcPr>
            <w:tcW w:w="528" w:type="pct"/>
            <w:shd w:val="clear" w:color="auto" w:fill="auto"/>
            <w:vAlign w:val="center"/>
          </w:tcPr>
          <w:p w14:paraId="5222967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108,97</w:t>
            </w:r>
          </w:p>
        </w:tc>
        <w:tc>
          <w:tcPr>
            <w:tcW w:w="460" w:type="pct"/>
            <w:shd w:val="clear" w:color="auto" w:fill="auto"/>
            <w:noWrap/>
            <w:vAlign w:val="center"/>
          </w:tcPr>
          <w:p w14:paraId="13F2DD0D" w14:textId="32876DBF"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-5,3</w:t>
            </w:r>
          </w:p>
        </w:tc>
        <w:tc>
          <w:tcPr>
            <w:tcW w:w="460" w:type="pct"/>
            <w:shd w:val="clear" w:color="auto" w:fill="auto"/>
            <w:noWrap/>
            <w:vAlign w:val="center"/>
          </w:tcPr>
          <w:p w14:paraId="6716E754" w14:textId="3B75C67B"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-25,8</w:t>
            </w:r>
          </w:p>
        </w:tc>
        <w:tc>
          <w:tcPr>
            <w:tcW w:w="504" w:type="pct"/>
            <w:shd w:val="clear" w:color="auto" w:fill="auto"/>
            <w:noWrap/>
            <w:vAlign w:val="center"/>
          </w:tcPr>
          <w:p w14:paraId="74B576C7" w14:textId="56E8AAED"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-40,5</w:t>
            </w:r>
          </w:p>
        </w:tc>
      </w:tr>
      <w:tr w:rsidR="00CC5D86" w:rsidRPr="009D5B83" w14:paraId="0A976019" w14:textId="77777777" w:rsidTr="00CC5D86">
        <w:trPr>
          <w:trHeight w:val="840"/>
        </w:trPr>
        <w:tc>
          <w:tcPr>
            <w:tcW w:w="1484" w:type="pct"/>
          </w:tcPr>
          <w:p w14:paraId="753BDA4E" w14:textId="51821DEA" w:rsidR="00CC5D86" w:rsidRPr="009D5B83" w:rsidRDefault="005B11ED" w:rsidP="00CC5D86">
            <w:pPr>
              <w:rPr>
                <w:color w:val="000000"/>
                <w:sz w:val="20"/>
                <w:szCs w:val="20"/>
              </w:rPr>
            </w:pPr>
            <w:r w:rsidRPr="009D5B83">
              <w:rPr>
                <w:rFonts w:eastAsia="Calibri"/>
                <w:bCs/>
                <w:color w:val="000000"/>
                <w:sz w:val="20"/>
                <w:szCs w:val="20"/>
                <w:lang w:eastAsia="en-US"/>
              </w:rPr>
              <w:lastRenderedPageBreak/>
              <w:t>«</w:t>
            </w:r>
            <w:r w:rsidR="00CC5D86" w:rsidRPr="009D5B83">
              <w:rPr>
                <w:rFonts w:eastAsia="Calibri"/>
                <w:bCs/>
                <w:color w:val="000000"/>
                <w:sz w:val="20"/>
                <w:szCs w:val="20"/>
                <w:lang w:eastAsia="en-US"/>
              </w:rPr>
              <w:t>Создание условий для независимости и конкурентоспособности отечественного АПК</w:t>
            </w:r>
            <w:r w:rsidRPr="009D5B83">
              <w:rPr>
                <w:rFonts w:eastAsia="Calibri"/>
                <w:bCs/>
                <w:color w:val="000000"/>
                <w:sz w:val="20"/>
                <w:szCs w:val="20"/>
                <w:lang w:eastAsia="en-US"/>
              </w:rPr>
              <w:t>»</w:t>
            </w:r>
          </w:p>
        </w:tc>
        <w:tc>
          <w:tcPr>
            <w:tcW w:w="547" w:type="pct"/>
            <w:shd w:val="clear" w:color="auto" w:fill="auto"/>
            <w:vAlign w:val="center"/>
          </w:tcPr>
          <w:p w14:paraId="1432C6AB"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0,83</w:t>
            </w:r>
          </w:p>
        </w:tc>
        <w:tc>
          <w:tcPr>
            <w:tcW w:w="469" w:type="pct"/>
            <w:shd w:val="clear" w:color="auto" w:fill="auto"/>
            <w:vAlign w:val="center"/>
          </w:tcPr>
          <w:p w14:paraId="7AFC49FC"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1,71</w:t>
            </w:r>
          </w:p>
        </w:tc>
        <w:tc>
          <w:tcPr>
            <w:tcW w:w="548" w:type="pct"/>
            <w:shd w:val="clear" w:color="auto" w:fill="auto"/>
            <w:vAlign w:val="center"/>
          </w:tcPr>
          <w:p w14:paraId="3BAF4DC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1,84</w:t>
            </w:r>
          </w:p>
        </w:tc>
        <w:tc>
          <w:tcPr>
            <w:tcW w:w="528" w:type="pct"/>
            <w:shd w:val="clear" w:color="auto" w:fill="auto"/>
            <w:vAlign w:val="center"/>
          </w:tcPr>
          <w:p w14:paraId="4F4756E8"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1,84</w:t>
            </w:r>
          </w:p>
        </w:tc>
        <w:tc>
          <w:tcPr>
            <w:tcW w:w="460" w:type="pct"/>
            <w:shd w:val="clear" w:color="auto" w:fill="auto"/>
            <w:noWrap/>
            <w:vAlign w:val="center"/>
          </w:tcPr>
          <w:p w14:paraId="7EDDE209" w14:textId="39A90640"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106,0</w:t>
            </w:r>
          </w:p>
        </w:tc>
        <w:tc>
          <w:tcPr>
            <w:tcW w:w="460" w:type="pct"/>
            <w:shd w:val="clear" w:color="auto" w:fill="auto"/>
            <w:noWrap/>
            <w:vAlign w:val="center"/>
          </w:tcPr>
          <w:p w14:paraId="213578B8" w14:textId="58047BC7"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121,7</w:t>
            </w:r>
          </w:p>
        </w:tc>
        <w:tc>
          <w:tcPr>
            <w:tcW w:w="504" w:type="pct"/>
            <w:shd w:val="clear" w:color="auto" w:fill="auto"/>
            <w:noWrap/>
            <w:vAlign w:val="center"/>
          </w:tcPr>
          <w:p w14:paraId="1B64F1A7" w14:textId="1D87C506"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121,7</w:t>
            </w:r>
          </w:p>
        </w:tc>
      </w:tr>
      <w:tr w:rsidR="00CC5D86" w:rsidRPr="009D5B83" w14:paraId="6EA3845C" w14:textId="77777777" w:rsidTr="00CC5D86">
        <w:trPr>
          <w:trHeight w:val="615"/>
        </w:trPr>
        <w:tc>
          <w:tcPr>
            <w:tcW w:w="1484" w:type="pct"/>
          </w:tcPr>
          <w:p w14:paraId="6C4E5D0C" w14:textId="08C1F925"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Стимулирование развития виноградарства и виноделия</w:t>
            </w:r>
            <w:r w:rsidRPr="009D5B83">
              <w:rPr>
                <w:rFonts w:eastAsia="Calibri"/>
                <w:color w:val="000000"/>
                <w:sz w:val="20"/>
                <w:szCs w:val="20"/>
                <w:lang w:eastAsia="en-US"/>
              </w:rPr>
              <w:t>»</w:t>
            </w:r>
          </w:p>
        </w:tc>
        <w:tc>
          <w:tcPr>
            <w:tcW w:w="547" w:type="pct"/>
            <w:shd w:val="clear" w:color="auto" w:fill="auto"/>
            <w:vAlign w:val="center"/>
          </w:tcPr>
          <w:p w14:paraId="1554778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2,40</w:t>
            </w:r>
          </w:p>
        </w:tc>
        <w:tc>
          <w:tcPr>
            <w:tcW w:w="469" w:type="pct"/>
            <w:shd w:val="clear" w:color="auto" w:fill="auto"/>
            <w:vAlign w:val="center"/>
          </w:tcPr>
          <w:p w14:paraId="6479DAFE"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3,50</w:t>
            </w:r>
          </w:p>
        </w:tc>
        <w:tc>
          <w:tcPr>
            <w:tcW w:w="548" w:type="pct"/>
            <w:shd w:val="clear" w:color="auto" w:fill="auto"/>
            <w:vAlign w:val="center"/>
          </w:tcPr>
          <w:p w14:paraId="31D32C86"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2,60</w:t>
            </w:r>
          </w:p>
        </w:tc>
        <w:tc>
          <w:tcPr>
            <w:tcW w:w="528" w:type="pct"/>
            <w:shd w:val="clear" w:color="auto" w:fill="auto"/>
            <w:vAlign w:val="center"/>
          </w:tcPr>
          <w:p w14:paraId="0D5FD9E3"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2,70</w:t>
            </w:r>
          </w:p>
        </w:tc>
        <w:tc>
          <w:tcPr>
            <w:tcW w:w="460" w:type="pct"/>
            <w:shd w:val="clear" w:color="auto" w:fill="auto"/>
            <w:noWrap/>
            <w:vAlign w:val="center"/>
          </w:tcPr>
          <w:p w14:paraId="31369EB3" w14:textId="6BB936B4"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45,8</w:t>
            </w:r>
          </w:p>
        </w:tc>
        <w:tc>
          <w:tcPr>
            <w:tcW w:w="460" w:type="pct"/>
            <w:shd w:val="clear" w:color="auto" w:fill="auto"/>
            <w:noWrap/>
            <w:vAlign w:val="center"/>
          </w:tcPr>
          <w:p w14:paraId="17730C93" w14:textId="5A5F43A8"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8,3</w:t>
            </w:r>
          </w:p>
        </w:tc>
        <w:tc>
          <w:tcPr>
            <w:tcW w:w="504" w:type="pct"/>
            <w:shd w:val="clear" w:color="auto" w:fill="auto"/>
            <w:noWrap/>
            <w:vAlign w:val="center"/>
          </w:tcPr>
          <w:p w14:paraId="33B62B2F" w14:textId="288659FB"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12,5</w:t>
            </w:r>
          </w:p>
        </w:tc>
      </w:tr>
      <w:tr w:rsidR="00CC5D86" w:rsidRPr="009D5B83" w14:paraId="66C9FE99" w14:textId="77777777" w:rsidTr="00CC5D86">
        <w:trPr>
          <w:trHeight w:val="195"/>
        </w:trPr>
        <w:tc>
          <w:tcPr>
            <w:tcW w:w="1484" w:type="pct"/>
          </w:tcPr>
          <w:p w14:paraId="1219B8E8" w14:textId="2C8796D9"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Развитие сельского туризма</w:t>
            </w:r>
            <w:r w:rsidRPr="009D5B83">
              <w:rPr>
                <w:rFonts w:eastAsia="Calibri"/>
                <w:color w:val="000000"/>
                <w:sz w:val="20"/>
                <w:szCs w:val="20"/>
                <w:lang w:eastAsia="en-US"/>
              </w:rPr>
              <w:t>»</w:t>
            </w:r>
          </w:p>
        </w:tc>
        <w:tc>
          <w:tcPr>
            <w:tcW w:w="547" w:type="pct"/>
            <w:shd w:val="clear" w:color="auto" w:fill="auto"/>
            <w:vAlign w:val="center"/>
          </w:tcPr>
          <w:p w14:paraId="7FD75CF1"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0,30</w:t>
            </w:r>
          </w:p>
        </w:tc>
        <w:tc>
          <w:tcPr>
            <w:tcW w:w="469" w:type="pct"/>
            <w:shd w:val="clear" w:color="auto" w:fill="auto"/>
            <w:vAlign w:val="center"/>
          </w:tcPr>
          <w:p w14:paraId="04158064"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0,50</w:t>
            </w:r>
          </w:p>
        </w:tc>
        <w:tc>
          <w:tcPr>
            <w:tcW w:w="548" w:type="pct"/>
            <w:shd w:val="clear" w:color="auto" w:fill="auto"/>
            <w:vAlign w:val="center"/>
          </w:tcPr>
          <w:p w14:paraId="47EB331A"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0,70</w:t>
            </w:r>
          </w:p>
        </w:tc>
        <w:tc>
          <w:tcPr>
            <w:tcW w:w="528" w:type="pct"/>
            <w:shd w:val="clear" w:color="auto" w:fill="auto"/>
            <w:vAlign w:val="center"/>
          </w:tcPr>
          <w:p w14:paraId="25143DD2"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0,70</w:t>
            </w:r>
          </w:p>
        </w:tc>
        <w:tc>
          <w:tcPr>
            <w:tcW w:w="460" w:type="pct"/>
            <w:shd w:val="clear" w:color="auto" w:fill="auto"/>
            <w:noWrap/>
            <w:vAlign w:val="center"/>
          </w:tcPr>
          <w:p w14:paraId="14945ECF" w14:textId="18E045A0"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66,7</w:t>
            </w:r>
          </w:p>
        </w:tc>
        <w:tc>
          <w:tcPr>
            <w:tcW w:w="460" w:type="pct"/>
            <w:shd w:val="clear" w:color="auto" w:fill="auto"/>
            <w:noWrap/>
            <w:vAlign w:val="center"/>
          </w:tcPr>
          <w:p w14:paraId="1B05E38C" w14:textId="3FFFD4A1"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133,3</w:t>
            </w:r>
          </w:p>
        </w:tc>
        <w:tc>
          <w:tcPr>
            <w:tcW w:w="504" w:type="pct"/>
            <w:shd w:val="clear" w:color="auto" w:fill="auto"/>
            <w:noWrap/>
            <w:vAlign w:val="center"/>
          </w:tcPr>
          <w:p w14:paraId="4BF73C1D" w14:textId="1CA8840D"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133,3</w:t>
            </w:r>
          </w:p>
        </w:tc>
      </w:tr>
      <w:tr w:rsidR="00CC5D86" w:rsidRPr="009D5B83" w14:paraId="4F7ECED9" w14:textId="77777777" w:rsidTr="00CC5D86">
        <w:trPr>
          <w:trHeight w:val="615"/>
        </w:trPr>
        <w:tc>
          <w:tcPr>
            <w:tcW w:w="1484" w:type="pct"/>
          </w:tcPr>
          <w:p w14:paraId="6E391A28" w14:textId="2258AFBB"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Развитие отраслей овощеводства и картофелеводства</w:t>
            </w:r>
            <w:r w:rsidRPr="009D5B83">
              <w:rPr>
                <w:rFonts w:eastAsia="Calibri"/>
                <w:color w:val="000000"/>
                <w:sz w:val="20"/>
                <w:szCs w:val="20"/>
                <w:lang w:eastAsia="en-US"/>
              </w:rPr>
              <w:t>»</w:t>
            </w:r>
          </w:p>
        </w:tc>
        <w:tc>
          <w:tcPr>
            <w:tcW w:w="547" w:type="pct"/>
            <w:shd w:val="clear" w:color="auto" w:fill="auto"/>
            <w:vAlign w:val="center"/>
          </w:tcPr>
          <w:p w14:paraId="1FAD63EC"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0,00</w:t>
            </w:r>
          </w:p>
        </w:tc>
        <w:tc>
          <w:tcPr>
            <w:tcW w:w="469" w:type="pct"/>
            <w:shd w:val="clear" w:color="auto" w:fill="auto"/>
            <w:vAlign w:val="center"/>
          </w:tcPr>
          <w:p w14:paraId="59DF241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5,00</w:t>
            </w:r>
          </w:p>
        </w:tc>
        <w:tc>
          <w:tcPr>
            <w:tcW w:w="548" w:type="pct"/>
            <w:shd w:val="clear" w:color="auto" w:fill="auto"/>
            <w:vAlign w:val="center"/>
          </w:tcPr>
          <w:p w14:paraId="6078212E"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5,00</w:t>
            </w:r>
          </w:p>
        </w:tc>
        <w:tc>
          <w:tcPr>
            <w:tcW w:w="528" w:type="pct"/>
            <w:shd w:val="clear" w:color="auto" w:fill="auto"/>
            <w:vAlign w:val="center"/>
          </w:tcPr>
          <w:p w14:paraId="7B9DBC98"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5,00</w:t>
            </w:r>
          </w:p>
        </w:tc>
        <w:tc>
          <w:tcPr>
            <w:tcW w:w="460" w:type="pct"/>
            <w:shd w:val="clear" w:color="auto" w:fill="auto"/>
            <w:noWrap/>
            <w:vAlign w:val="center"/>
          </w:tcPr>
          <w:p w14:paraId="6D592015" w14:textId="77777777" w:rsidR="00CC5D86" w:rsidRPr="009D5B83" w:rsidRDefault="00CC5D86" w:rsidP="00CC5D86">
            <w:pPr>
              <w:jc w:val="center"/>
              <w:rPr>
                <w:rFonts w:eastAsia="Calibri"/>
                <w:color w:val="000000"/>
                <w:sz w:val="20"/>
                <w:szCs w:val="20"/>
                <w:lang w:eastAsia="en-US"/>
              </w:rPr>
            </w:pPr>
          </w:p>
        </w:tc>
        <w:tc>
          <w:tcPr>
            <w:tcW w:w="460" w:type="pct"/>
            <w:shd w:val="clear" w:color="auto" w:fill="auto"/>
            <w:noWrap/>
            <w:vAlign w:val="center"/>
          </w:tcPr>
          <w:p w14:paraId="0F30B20E" w14:textId="77777777" w:rsidR="00CC5D86" w:rsidRPr="009D5B83" w:rsidRDefault="00CC5D86" w:rsidP="00CC5D86">
            <w:pPr>
              <w:jc w:val="center"/>
              <w:rPr>
                <w:rFonts w:eastAsia="Calibri"/>
                <w:color w:val="000000"/>
                <w:sz w:val="20"/>
                <w:szCs w:val="20"/>
                <w:lang w:eastAsia="en-US"/>
              </w:rPr>
            </w:pPr>
          </w:p>
        </w:tc>
        <w:tc>
          <w:tcPr>
            <w:tcW w:w="504" w:type="pct"/>
            <w:shd w:val="clear" w:color="auto" w:fill="auto"/>
            <w:noWrap/>
            <w:vAlign w:val="center"/>
          </w:tcPr>
          <w:p w14:paraId="5A2B7044" w14:textId="77777777" w:rsidR="00CC5D86" w:rsidRPr="009D5B83" w:rsidRDefault="00CC5D86" w:rsidP="00CC5D86">
            <w:pPr>
              <w:jc w:val="center"/>
              <w:rPr>
                <w:rFonts w:eastAsia="Calibri"/>
                <w:color w:val="000000"/>
                <w:sz w:val="20"/>
                <w:szCs w:val="20"/>
                <w:lang w:eastAsia="en-US"/>
              </w:rPr>
            </w:pPr>
          </w:p>
        </w:tc>
      </w:tr>
      <w:tr w:rsidR="00CC5D86" w:rsidRPr="009D5B83" w14:paraId="5B0EAA5D" w14:textId="77777777" w:rsidTr="00CC5D86">
        <w:trPr>
          <w:trHeight w:val="615"/>
        </w:trPr>
        <w:tc>
          <w:tcPr>
            <w:tcW w:w="1484" w:type="pct"/>
          </w:tcPr>
          <w:p w14:paraId="4ED2351F" w14:textId="7BDDA3B0"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Акселерация субъектов малого и среднего предпринимательства</w:t>
            </w:r>
            <w:r w:rsidRPr="009D5B83">
              <w:rPr>
                <w:rFonts w:eastAsia="Calibri"/>
                <w:color w:val="000000"/>
                <w:sz w:val="20"/>
                <w:szCs w:val="20"/>
                <w:lang w:eastAsia="en-US"/>
              </w:rPr>
              <w:t>»</w:t>
            </w:r>
          </w:p>
        </w:tc>
        <w:tc>
          <w:tcPr>
            <w:tcW w:w="547" w:type="pct"/>
            <w:shd w:val="clear" w:color="auto" w:fill="auto"/>
            <w:vAlign w:val="center"/>
          </w:tcPr>
          <w:p w14:paraId="714CBB61"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5,63</w:t>
            </w:r>
          </w:p>
        </w:tc>
        <w:tc>
          <w:tcPr>
            <w:tcW w:w="469" w:type="pct"/>
            <w:shd w:val="clear" w:color="auto" w:fill="auto"/>
            <w:vAlign w:val="center"/>
          </w:tcPr>
          <w:p w14:paraId="27BD5F44"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6,36</w:t>
            </w:r>
          </w:p>
        </w:tc>
        <w:tc>
          <w:tcPr>
            <w:tcW w:w="548" w:type="pct"/>
            <w:shd w:val="clear" w:color="auto" w:fill="auto"/>
            <w:vAlign w:val="center"/>
          </w:tcPr>
          <w:p w14:paraId="26FC8441"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9,12</w:t>
            </w:r>
          </w:p>
        </w:tc>
        <w:tc>
          <w:tcPr>
            <w:tcW w:w="528" w:type="pct"/>
            <w:shd w:val="clear" w:color="auto" w:fill="auto"/>
            <w:vAlign w:val="center"/>
          </w:tcPr>
          <w:p w14:paraId="406A6F34"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0,00</w:t>
            </w:r>
          </w:p>
        </w:tc>
        <w:tc>
          <w:tcPr>
            <w:tcW w:w="460" w:type="pct"/>
            <w:shd w:val="clear" w:color="auto" w:fill="auto"/>
            <w:noWrap/>
            <w:vAlign w:val="center"/>
          </w:tcPr>
          <w:p w14:paraId="4E390391" w14:textId="5C85B24B"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13,0</w:t>
            </w:r>
          </w:p>
        </w:tc>
        <w:tc>
          <w:tcPr>
            <w:tcW w:w="460" w:type="pct"/>
            <w:shd w:val="clear" w:color="auto" w:fill="auto"/>
            <w:noWrap/>
            <w:vAlign w:val="center"/>
          </w:tcPr>
          <w:p w14:paraId="7C4ABE2B" w14:textId="06A9C059"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62,0</w:t>
            </w:r>
          </w:p>
        </w:tc>
        <w:tc>
          <w:tcPr>
            <w:tcW w:w="504" w:type="pct"/>
            <w:shd w:val="clear" w:color="auto" w:fill="auto"/>
            <w:noWrap/>
            <w:vAlign w:val="center"/>
          </w:tcPr>
          <w:p w14:paraId="5A6E786C" w14:textId="16D7BA40"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-100,0</w:t>
            </w:r>
          </w:p>
        </w:tc>
      </w:tr>
      <w:tr w:rsidR="00CC5D86" w:rsidRPr="009D5B83" w14:paraId="276E4DE8" w14:textId="77777777" w:rsidTr="00CC5D86">
        <w:trPr>
          <w:trHeight w:val="162"/>
        </w:trPr>
        <w:tc>
          <w:tcPr>
            <w:tcW w:w="1484" w:type="pct"/>
          </w:tcPr>
          <w:p w14:paraId="5CAA9789" w14:textId="767920C1"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Экспорт продукции АПК</w:t>
            </w:r>
            <w:r w:rsidRPr="009D5B83">
              <w:rPr>
                <w:rFonts w:eastAsia="Calibri"/>
                <w:color w:val="000000"/>
                <w:sz w:val="20"/>
                <w:szCs w:val="20"/>
                <w:lang w:eastAsia="en-US"/>
              </w:rPr>
              <w:t>»</w:t>
            </w:r>
          </w:p>
        </w:tc>
        <w:tc>
          <w:tcPr>
            <w:tcW w:w="547" w:type="pct"/>
            <w:shd w:val="clear" w:color="auto" w:fill="auto"/>
            <w:vAlign w:val="center"/>
          </w:tcPr>
          <w:p w14:paraId="1784563D"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62,96</w:t>
            </w:r>
          </w:p>
        </w:tc>
        <w:tc>
          <w:tcPr>
            <w:tcW w:w="469" w:type="pct"/>
            <w:shd w:val="clear" w:color="auto" w:fill="auto"/>
            <w:vAlign w:val="center"/>
          </w:tcPr>
          <w:p w14:paraId="4AED121D"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41,36</w:t>
            </w:r>
          </w:p>
        </w:tc>
        <w:tc>
          <w:tcPr>
            <w:tcW w:w="548" w:type="pct"/>
            <w:shd w:val="clear" w:color="auto" w:fill="auto"/>
            <w:vAlign w:val="center"/>
          </w:tcPr>
          <w:p w14:paraId="03DCC5F8"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58,94</w:t>
            </w:r>
          </w:p>
        </w:tc>
        <w:tc>
          <w:tcPr>
            <w:tcW w:w="528" w:type="pct"/>
            <w:shd w:val="clear" w:color="auto" w:fill="auto"/>
            <w:vAlign w:val="center"/>
          </w:tcPr>
          <w:p w14:paraId="47A36FFE"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0,00</w:t>
            </w:r>
          </w:p>
        </w:tc>
        <w:tc>
          <w:tcPr>
            <w:tcW w:w="460" w:type="pct"/>
            <w:shd w:val="clear" w:color="auto" w:fill="auto"/>
            <w:noWrap/>
            <w:vAlign w:val="center"/>
          </w:tcPr>
          <w:p w14:paraId="640C4640" w14:textId="02C24016"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-34,3</w:t>
            </w:r>
          </w:p>
        </w:tc>
        <w:tc>
          <w:tcPr>
            <w:tcW w:w="460" w:type="pct"/>
            <w:shd w:val="clear" w:color="auto" w:fill="auto"/>
            <w:noWrap/>
            <w:vAlign w:val="center"/>
          </w:tcPr>
          <w:p w14:paraId="45F0036E" w14:textId="4BFCEAF8"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-6,4</w:t>
            </w:r>
          </w:p>
        </w:tc>
        <w:tc>
          <w:tcPr>
            <w:tcW w:w="504" w:type="pct"/>
            <w:shd w:val="clear" w:color="auto" w:fill="auto"/>
            <w:noWrap/>
            <w:vAlign w:val="center"/>
          </w:tcPr>
          <w:p w14:paraId="23C0684E" w14:textId="26ADF65E"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-100,0</w:t>
            </w:r>
          </w:p>
        </w:tc>
      </w:tr>
      <w:tr w:rsidR="00CC5D86" w:rsidRPr="009D5B83" w14:paraId="2285A58D" w14:textId="77777777" w:rsidTr="00CC5D86">
        <w:trPr>
          <w:trHeight w:val="315"/>
        </w:trPr>
        <w:tc>
          <w:tcPr>
            <w:tcW w:w="1484" w:type="pct"/>
          </w:tcPr>
          <w:p w14:paraId="4DAF8164" w14:textId="77777777" w:rsidR="00CC5D86" w:rsidRPr="009D5B83" w:rsidRDefault="00CC5D86" w:rsidP="00CC5D86">
            <w:pPr>
              <w:rPr>
                <w:b/>
                <w:color w:val="000000"/>
                <w:sz w:val="20"/>
                <w:szCs w:val="20"/>
              </w:rPr>
            </w:pPr>
            <w:r w:rsidRPr="009D5B83">
              <w:rPr>
                <w:rFonts w:eastAsia="Calibri"/>
                <w:b/>
                <w:color w:val="000000"/>
                <w:sz w:val="20"/>
                <w:szCs w:val="20"/>
                <w:lang w:eastAsia="en-US"/>
              </w:rPr>
              <w:t>Ведомственные проекты</w:t>
            </w:r>
          </w:p>
        </w:tc>
        <w:tc>
          <w:tcPr>
            <w:tcW w:w="547" w:type="pct"/>
            <w:shd w:val="clear" w:color="auto" w:fill="auto"/>
            <w:vAlign w:val="center"/>
          </w:tcPr>
          <w:p w14:paraId="6103B770"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0,98</w:t>
            </w:r>
          </w:p>
        </w:tc>
        <w:tc>
          <w:tcPr>
            <w:tcW w:w="469" w:type="pct"/>
            <w:shd w:val="clear" w:color="auto" w:fill="auto"/>
            <w:vAlign w:val="center"/>
          </w:tcPr>
          <w:p w14:paraId="66A122EB"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0,95</w:t>
            </w:r>
          </w:p>
        </w:tc>
        <w:tc>
          <w:tcPr>
            <w:tcW w:w="548" w:type="pct"/>
            <w:shd w:val="clear" w:color="auto" w:fill="auto"/>
            <w:vAlign w:val="center"/>
          </w:tcPr>
          <w:p w14:paraId="4EC58C67"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0,61</w:t>
            </w:r>
          </w:p>
        </w:tc>
        <w:tc>
          <w:tcPr>
            <w:tcW w:w="528" w:type="pct"/>
            <w:shd w:val="clear" w:color="auto" w:fill="auto"/>
            <w:vAlign w:val="center"/>
          </w:tcPr>
          <w:p w14:paraId="0BA82F00"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0,60</w:t>
            </w:r>
          </w:p>
        </w:tc>
        <w:tc>
          <w:tcPr>
            <w:tcW w:w="460" w:type="pct"/>
            <w:shd w:val="clear" w:color="auto" w:fill="auto"/>
            <w:noWrap/>
            <w:vAlign w:val="center"/>
          </w:tcPr>
          <w:p w14:paraId="4E1FD5D6" w14:textId="5B6EA7B6"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-3,1</w:t>
            </w:r>
          </w:p>
        </w:tc>
        <w:tc>
          <w:tcPr>
            <w:tcW w:w="460" w:type="pct"/>
            <w:shd w:val="clear" w:color="auto" w:fill="auto"/>
            <w:noWrap/>
            <w:vAlign w:val="center"/>
          </w:tcPr>
          <w:p w14:paraId="365B4D7B" w14:textId="2EEBCC1C"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-37,8</w:t>
            </w:r>
          </w:p>
        </w:tc>
        <w:tc>
          <w:tcPr>
            <w:tcW w:w="504" w:type="pct"/>
            <w:shd w:val="clear" w:color="auto" w:fill="auto"/>
            <w:noWrap/>
            <w:vAlign w:val="center"/>
          </w:tcPr>
          <w:p w14:paraId="67B8403F" w14:textId="0902FABA"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-38,8</w:t>
            </w:r>
          </w:p>
        </w:tc>
      </w:tr>
      <w:tr w:rsidR="00CC5D86" w:rsidRPr="009D5B83" w14:paraId="542E21D6" w14:textId="77777777" w:rsidTr="00CC5D86">
        <w:trPr>
          <w:trHeight w:val="240"/>
        </w:trPr>
        <w:tc>
          <w:tcPr>
            <w:tcW w:w="1484" w:type="pct"/>
          </w:tcPr>
          <w:p w14:paraId="7C2CE4F1" w14:textId="04DE4299"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Цифровое сельское хозяйство</w:t>
            </w:r>
            <w:r w:rsidRPr="009D5B83">
              <w:rPr>
                <w:rFonts w:eastAsia="Calibri"/>
                <w:color w:val="000000"/>
                <w:sz w:val="20"/>
                <w:szCs w:val="20"/>
                <w:lang w:eastAsia="en-US"/>
              </w:rPr>
              <w:t>»</w:t>
            </w:r>
          </w:p>
        </w:tc>
        <w:tc>
          <w:tcPr>
            <w:tcW w:w="547" w:type="pct"/>
            <w:shd w:val="clear" w:color="auto" w:fill="auto"/>
            <w:vAlign w:val="center"/>
          </w:tcPr>
          <w:p w14:paraId="6157DFC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0,12</w:t>
            </w:r>
          </w:p>
        </w:tc>
        <w:tc>
          <w:tcPr>
            <w:tcW w:w="469" w:type="pct"/>
            <w:shd w:val="clear" w:color="auto" w:fill="auto"/>
            <w:vAlign w:val="center"/>
          </w:tcPr>
          <w:p w14:paraId="033069E7"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0,23</w:t>
            </w:r>
          </w:p>
        </w:tc>
        <w:tc>
          <w:tcPr>
            <w:tcW w:w="548" w:type="pct"/>
            <w:shd w:val="clear" w:color="auto" w:fill="auto"/>
            <w:vAlign w:val="center"/>
          </w:tcPr>
          <w:p w14:paraId="735B748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0,10</w:t>
            </w:r>
          </w:p>
        </w:tc>
        <w:tc>
          <w:tcPr>
            <w:tcW w:w="528" w:type="pct"/>
            <w:shd w:val="clear" w:color="auto" w:fill="auto"/>
            <w:vAlign w:val="center"/>
          </w:tcPr>
          <w:p w14:paraId="1691F59A"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0,09</w:t>
            </w:r>
          </w:p>
        </w:tc>
        <w:tc>
          <w:tcPr>
            <w:tcW w:w="460" w:type="pct"/>
            <w:shd w:val="clear" w:color="auto" w:fill="auto"/>
            <w:noWrap/>
            <w:vAlign w:val="center"/>
          </w:tcPr>
          <w:p w14:paraId="7887D2E8" w14:textId="0468E454"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91,7</w:t>
            </w:r>
          </w:p>
        </w:tc>
        <w:tc>
          <w:tcPr>
            <w:tcW w:w="460" w:type="pct"/>
            <w:shd w:val="clear" w:color="auto" w:fill="auto"/>
            <w:noWrap/>
            <w:vAlign w:val="center"/>
          </w:tcPr>
          <w:p w14:paraId="0DB316CE" w14:textId="409CA870"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-16,7</w:t>
            </w:r>
          </w:p>
        </w:tc>
        <w:tc>
          <w:tcPr>
            <w:tcW w:w="504" w:type="pct"/>
            <w:shd w:val="clear" w:color="auto" w:fill="auto"/>
            <w:noWrap/>
            <w:vAlign w:val="center"/>
          </w:tcPr>
          <w:p w14:paraId="2A7E8E84" w14:textId="1C8BA967"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-25,0</w:t>
            </w:r>
          </w:p>
        </w:tc>
      </w:tr>
      <w:tr w:rsidR="00CC5D86" w:rsidRPr="009D5B83" w14:paraId="689E5668" w14:textId="77777777" w:rsidTr="00CC5D86">
        <w:trPr>
          <w:trHeight w:val="938"/>
        </w:trPr>
        <w:tc>
          <w:tcPr>
            <w:tcW w:w="1484" w:type="pct"/>
          </w:tcPr>
          <w:p w14:paraId="08D4FE50" w14:textId="27AEE417" w:rsidR="00CC5D86" w:rsidRPr="009D5B83" w:rsidRDefault="005B11ED" w:rsidP="00CC5D86">
            <w:pPr>
              <w:rPr>
                <w:color w:val="000000"/>
                <w:sz w:val="20"/>
                <w:szCs w:val="20"/>
              </w:rPr>
            </w:pPr>
            <w:r w:rsidRPr="009D5B83">
              <w:rPr>
                <w:rFonts w:eastAsia="Calibri"/>
                <w:color w:val="000000"/>
                <w:sz w:val="20"/>
                <w:szCs w:val="20"/>
                <w:lang w:eastAsia="en-US"/>
              </w:rPr>
              <w:t>«</w:t>
            </w:r>
            <w:r w:rsidR="00CC5D86" w:rsidRPr="009D5B83">
              <w:rPr>
                <w:rFonts w:eastAsia="Calibri"/>
                <w:color w:val="000000"/>
                <w:sz w:val="20"/>
                <w:szCs w:val="20"/>
                <w:lang w:eastAsia="en-US"/>
              </w:rPr>
              <w:t>Укрепление материально-технической базы Федеральной службы по ветеринарному и фитосанитарному надзору</w:t>
            </w:r>
            <w:r w:rsidRPr="009D5B83">
              <w:rPr>
                <w:rFonts w:eastAsia="Calibri"/>
                <w:color w:val="000000"/>
                <w:sz w:val="20"/>
                <w:szCs w:val="20"/>
                <w:lang w:eastAsia="en-US"/>
              </w:rPr>
              <w:t>»</w:t>
            </w:r>
          </w:p>
        </w:tc>
        <w:tc>
          <w:tcPr>
            <w:tcW w:w="547" w:type="pct"/>
            <w:shd w:val="clear" w:color="auto" w:fill="auto"/>
            <w:vAlign w:val="center"/>
          </w:tcPr>
          <w:p w14:paraId="6E2D084B"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0,86</w:t>
            </w:r>
          </w:p>
        </w:tc>
        <w:tc>
          <w:tcPr>
            <w:tcW w:w="469" w:type="pct"/>
            <w:shd w:val="clear" w:color="auto" w:fill="auto"/>
            <w:vAlign w:val="center"/>
          </w:tcPr>
          <w:p w14:paraId="50A41F27"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0,72</w:t>
            </w:r>
          </w:p>
        </w:tc>
        <w:tc>
          <w:tcPr>
            <w:tcW w:w="548" w:type="pct"/>
            <w:shd w:val="clear" w:color="auto" w:fill="auto"/>
            <w:vAlign w:val="center"/>
          </w:tcPr>
          <w:p w14:paraId="434C0963"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0,51</w:t>
            </w:r>
          </w:p>
        </w:tc>
        <w:tc>
          <w:tcPr>
            <w:tcW w:w="528" w:type="pct"/>
            <w:shd w:val="clear" w:color="auto" w:fill="auto"/>
            <w:vAlign w:val="center"/>
          </w:tcPr>
          <w:p w14:paraId="5710FC38"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0,51</w:t>
            </w:r>
          </w:p>
        </w:tc>
        <w:tc>
          <w:tcPr>
            <w:tcW w:w="460" w:type="pct"/>
            <w:shd w:val="clear" w:color="auto" w:fill="auto"/>
            <w:noWrap/>
            <w:vAlign w:val="center"/>
          </w:tcPr>
          <w:p w14:paraId="41A8E7B4" w14:textId="1AC79479"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-16,3</w:t>
            </w:r>
          </w:p>
        </w:tc>
        <w:tc>
          <w:tcPr>
            <w:tcW w:w="460" w:type="pct"/>
            <w:shd w:val="clear" w:color="auto" w:fill="auto"/>
            <w:noWrap/>
            <w:vAlign w:val="center"/>
          </w:tcPr>
          <w:p w14:paraId="07CDCBCC" w14:textId="684FD00F"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-40,7</w:t>
            </w:r>
          </w:p>
        </w:tc>
        <w:tc>
          <w:tcPr>
            <w:tcW w:w="504" w:type="pct"/>
            <w:shd w:val="clear" w:color="auto" w:fill="auto"/>
            <w:noWrap/>
            <w:vAlign w:val="center"/>
          </w:tcPr>
          <w:p w14:paraId="7D0FF7B2" w14:textId="0176109B"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-40,7</w:t>
            </w:r>
          </w:p>
        </w:tc>
      </w:tr>
      <w:tr w:rsidR="00CC5D86" w:rsidRPr="009D5B83" w14:paraId="1E5DC6C4" w14:textId="77777777" w:rsidTr="00CC5D86">
        <w:trPr>
          <w:trHeight w:val="315"/>
        </w:trPr>
        <w:tc>
          <w:tcPr>
            <w:tcW w:w="1484" w:type="pct"/>
          </w:tcPr>
          <w:p w14:paraId="1D65BF9B" w14:textId="77777777" w:rsidR="00CC5D86" w:rsidRPr="009D5B83" w:rsidRDefault="00CC5D86" w:rsidP="00CC5D86">
            <w:pPr>
              <w:rPr>
                <w:b/>
                <w:color w:val="000000"/>
                <w:sz w:val="20"/>
                <w:szCs w:val="20"/>
              </w:rPr>
            </w:pPr>
            <w:r w:rsidRPr="009D5B83">
              <w:rPr>
                <w:rFonts w:eastAsia="Calibri"/>
                <w:b/>
                <w:color w:val="000000"/>
                <w:sz w:val="20"/>
                <w:szCs w:val="20"/>
                <w:lang w:eastAsia="en-US"/>
              </w:rPr>
              <w:t>Комплексы процессных мероприятий</w:t>
            </w:r>
          </w:p>
        </w:tc>
        <w:tc>
          <w:tcPr>
            <w:tcW w:w="547" w:type="pct"/>
            <w:shd w:val="clear" w:color="auto" w:fill="auto"/>
            <w:vAlign w:val="center"/>
          </w:tcPr>
          <w:p w14:paraId="63745F65"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30,16</w:t>
            </w:r>
          </w:p>
        </w:tc>
        <w:tc>
          <w:tcPr>
            <w:tcW w:w="469" w:type="pct"/>
            <w:shd w:val="clear" w:color="auto" w:fill="auto"/>
            <w:vAlign w:val="center"/>
          </w:tcPr>
          <w:p w14:paraId="027C877A"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30,04</w:t>
            </w:r>
          </w:p>
        </w:tc>
        <w:tc>
          <w:tcPr>
            <w:tcW w:w="548" w:type="pct"/>
            <w:shd w:val="clear" w:color="auto" w:fill="auto"/>
            <w:vAlign w:val="center"/>
          </w:tcPr>
          <w:p w14:paraId="7E66085E"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29,49</w:t>
            </w:r>
          </w:p>
        </w:tc>
        <w:tc>
          <w:tcPr>
            <w:tcW w:w="528" w:type="pct"/>
            <w:shd w:val="clear" w:color="auto" w:fill="auto"/>
            <w:vAlign w:val="center"/>
          </w:tcPr>
          <w:p w14:paraId="2B5BEF12"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30,15</w:t>
            </w:r>
          </w:p>
        </w:tc>
        <w:tc>
          <w:tcPr>
            <w:tcW w:w="460" w:type="pct"/>
            <w:shd w:val="clear" w:color="auto" w:fill="auto"/>
            <w:noWrap/>
            <w:vAlign w:val="center"/>
          </w:tcPr>
          <w:p w14:paraId="00EF45C2" w14:textId="64D10546"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-0,4</w:t>
            </w:r>
          </w:p>
        </w:tc>
        <w:tc>
          <w:tcPr>
            <w:tcW w:w="460" w:type="pct"/>
            <w:shd w:val="clear" w:color="auto" w:fill="auto"/>
            <w:noWrap/>
            <w:vAlign w:val="center"/>
          </w:tcPr>
          <w:p w14:paraId="7653CA23" w14:textId="16D59054"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-2,2</w:t>
            </w:r>
          </w:p>
        </w:tc>
        <w:tc>
          <w:tcPr>
            <w:tcW w:w="504" w:type="pct"/>
            <w:shd w:val="clear" w:color="auto" w:fill="auto"/>
            <w:noWrap/>
            <w:vAlign w:val="center"/>
          </w:tcPr>
          <w:p w14:paraId="077E966F" w14:textId="39FACF7F"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0,0</w:t>
            </w:r>
          </w:p>
        </w:tc>
      </w:tr>
      <w:tr w:rsidR="00CC5D86" w:rsidRPr="009D5B83" w14:paraId="70DA7D0D" w14:textId="77777777" w:rsidTr="00CC5D86">
        <w:trPr>
          <w:trHeight w:val="583"/>
        </w:trPr>
        <w:tc>
          <w:tcPr>
            <w:tcW w:w="1484" w:type="pct"/>
          </w:tcPr>
          <w:p w14:paraId="0E9F07A7" w14:textId="61C9E33B" w:rsidR="00CC5D86" w:rsidRPr="009D5B83" w:rsidRDefault="00CC5D86" w:rsidP="00CC5D86">
            <w:pPr>
              <w:jc w:val="both"/>
              <w:rPr>
                <w:color w:val="000000"/>
                <w:sz w:val="20"/>
                <w:szCs w:val="20"/>
              </w:rPr>
            </w:pPr>
            <w:r w:rsidRPr="009D5B83">
              <w:rPr>
                <w:rFonts w:eastAsia="Calibri"/>
                <w:bCs/>
                <w:color w:val="000000"/>
                <w:sz w:val="20"/>
                <w:szCs w:val="20"/>
                <w:lang w:eastAsia="en-US"/>
              </w:rPr>
              <w:t xml:space="preserve">КПМ </w:t>
            </w:r>
            <w:r w:rsidR="005B11ED" w:rsidRPr="009D5B83">
              <w:rPr>
                <w:rFonts w:eastAsia="Calibri"/>
                <w:bCs/>
                <w:color w:val="000000"/>
                <w:sz w:val="20"/>
                <w:szCs w:val="20"/>
                <w:lang w:eastAsia="en-US"/>
              </w:rPr>
              <w:t>«</w:t>
            </w:r>
            <w:r w:rsidRPr="009D5B83">
              <w:rPr>
                <w:rFonts w:eastAsia="Calibri"/>
                <w:bCs/>
                <w:color w:val="000000"/>
                <w:sz w:val="20"/>
                <w:szCs w:val="20"/>
                <w:lang w:eastAsia="en-US"/>
              </w:rPr>
              <w:t>Обеспечение деятельности Минсельхоза РФ и подведомственных организаций</w:t>
            </w:r>
            <w:r w:rsidR="005B11ED" w:rsidRPr="009D5B83">
              <w:rPr>
                <w:rFonts w:eastAsia="Calibri"/>
                <w:bCs/>
                <w:color w:val="000000"/>
                <w:sz w:val="20"/>
                <w:szCs w:val="20"/>
                <w:lang w:eastAsia="en-US"/>
              </w:rPr>
              <w:t>»</w:t>
            </w:r>
          </w:p>
        </w:tc>
        <w:tc>
          <w:tcPr>
            <w:tcW w:w="547" w:type="pct"/>
            <w:shd w:val="clear" w:color="auto" w:fill="auto"/>
            <w:vAlign w:val="center"/>
          </w:tcPr>
          <w:p w14:paraId="05F538DC"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17,50</w:t>
            </w:r>
          </w:p>
        </w:tc>
        <w:tc>
          <w:tcPr>
            <w:tcW w:w="469" w:type="pct"/>
            <w:shd w:val="clear" w:color="auto" w:fill="auto"/>
            <w:vAlign w:val="center"/>
          </w:tcPr>
          <w:p w14:paraId="2B930353"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19,76</w:t>
            </w:r>
          </w:p>
        </w:tc>
        <w:tc>
          <w:tcPr>
            <w:tcW w:w="548" w:type="pct"/>
            <w:shd w:val="clear" w:color="auto" w:fill="auto"/>
            <w:vAlign w:val="center"/>
          </w:tcPr>
          <w:p w14:paraId="41F351DB"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18,85</w:t>
            </w:r>
          </w:p>
        </w:tc>
        <w:tc>
          <w:tcPr>
            <w:tcW w:w="528" w:type="pct"/>
            <w:shd w:val="clear" w:color="auto" w:fill="auto"/>
            <w:vAlign w:val="center"/>
          </w:tcPr>
          <w:p w14:paraId="2E981C12"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19,23</w:t>
            </w:r>
          </w:p>
        </w:tc>
        <w:tc>
          <w:tcPr>
            <w:tcW w:w="460" w:type="pct"/>
            <w:shd w:val="clear" w:color="auto" w:fill="auto"/>
            <w:noWrap/>
            <w:vAlign w:val="center"/>
          </w:tcPr>
          <w:p w14:paraId="1C79AC64" w14:textId="3BD57972"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12,9</w:t>
            </w:r>
          </w:p>
        </w:tc>
        <w:tc>
          <w:tcPr>
            <w:tcW w:w="460" w:type="pct"/>
            <w:shd w:val="clear" w:color="auto" w:fill="auto"/>
            <w:noWrap/>
            <w:vAlign w:val="center"/>
          </w:tcPr>
          <w:p w14:paraId="02D7479B" w14:textId="304D7CE1"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7,7</w:t>
            </w:r>
          </w:p>
        </w:tc>
        <w:tc>
          <w:tcPr>
            <w:tcW w:w="504" w:type="pct"/>
            <w:shd w:val="clear" w:color="auto" w:fill="auto"/>
            <w:noWrap/>
            <w:vAlign w:val="center"/>
          </w:tcPr>
          <w:p w14:paraId="17E2BF88" w14:textId="07867E17"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9,9</w:t>
            </w:r>
          </w:p>
        </w:tc>
      </w:tr>
      <w:tr w:rsidR="00CC5D86" w:rsidRPr="009D5B83" w14:paraId="59F4189C" w14:textId="77777777" w:rsidTr="00CC5D86">
        <w:trPr>
          <w:trHeight w:val="264"/>
        </w:trPr>
        <w:tc>
          <w:tcPr>
            <w:tcW w:w="1484" w:type="pct"/>
          </w:tcPr>
          <w:p w14:paraId="08FC58DB" w14:textId="1FDCCEFB" w:rsidR="00CC5D86" w:rsidRPr="009D5B83" w:rsidRDefault="00CC5D86" w:rsidP="00CC5D86">
            <w:pPr>
              <w:jc w:val="both"/>
              <w:rPr>
                <w:color w:val="000000"/>
                <w:sz w:val="20"/>
                <w:szCs w:val="20"/>
              </w:rPr>
            </w:pPr>
            <w:r w:rsidRPr="009D5B83">
              <w:rPr>
                <w:rFonts w:eastAsia="Calibri"/>
                <w:color w:val="000000"/>
                <w:sz w:val="20"/>
                <w:szCs w:val="20"/>
                <w:lang w:eastAsia="en-US"/>
              </w:rPr>
              <w:t xml:space="preserve">КПМ </w:t>
            </w:r>
            <w:r w:rsidR="005B11ED" w:rsidRPr="009D5B83">
              <w:rPr>
                <w:rFonts w:eastAsia="Calibri"/>
                <w:color w:val="000000"/>
                <w:sz w:val="20"/>
                <w:szCs w:val="20"/>
                <w:lang w:eastAsia="en-US"/>
              </w:rPr>
              <w:t>«</w:t>
            </w:r>
            <w:r w:rsidRPr="009D5B83">
              <w:rPr>
                <w:rFonts w:eastAsia="Calibri"/>
                <w:color w:val="000000"/>
                <w:sz w:val="20"/>
                <w:szCs w:val="20"/>
                <w:lang w:eastAsia="en-US"/>
              </w:rPr>
              <w:t>Организация ветеринарного и фитосанитарного надзора</w:t>
            </w:r>
            <w:r w:rsidR="005B11ED" w:rsidRPr="009D5B83">
              <w:rPr>
                <w:rFonts w:eastAsia="Calibri"/>
                <w:color w:val="000000"/>
                <w:sz w:val="20"/>
                <w:szCs w:val="20"/>
                <w:lang w:eastAsia="en-US"/>
              </w:rPr>
              <w:t>»</w:t>
            </w:r>
          </w:p>
        </w:tc>
        <w:tc>
          <w:tcPr>
            <w:tcW w:w="547" w:type="pct"/>
            <w:shd w:val="clear" w:color="auto" w:fill="auto"/>
            <w:vAlign w:val="center"/>
          </w:tcPr>
          <w:p w14:paraId="53E98A39"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12,66</w:t>
            </w:r>
          </w:p>
        </w:tc>
        <w:tc>
          <w:tcPr>
            <w:tcW w:w="469" w:type="pct"/>
            <w:shd w:val="clear" w:color="auto" w:fill="auto"/>
            <w:vAlign w:val="center"/>
          </w:tcPr>
          <w:p w14:paraId="41687D2E"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10,28</w:t>
            </w:r>
          </w:p>
        </w:tc>
        <w:tc>
          <w:tcPr>
            <w:tcW w:w="548" w:type="pct"/>
            <w:shd w:val="clear" w:color="auto" w:fill="auto"/>
            <w:vAlign w:val="center"/>
          </w:tcPr>
          <w:p w14:paraId="60972AB2"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10,64</w:t>
            </w:r>
          </w:p>
        </w:tc>
        <w:tc>
          <w:tcPr>
            <w:tcW w:w="528" w:type="pct"/>
            <w:shd w:val="clear" w:color="auto" w:fill="auto"/>
            <w:vAlign w:val="center"/>
          </w:tcPr>
          <w:p w14:paraId="224DD877" w14:textId="77777777" w:rsidR="00CC5D86" w:rsidRPr="009D5B83" w:rsidRDefault="00CC5D86" w:rsidP="00CC5D86">
            <w:pPr>
              <w:jc w:val="center"/>
              <w:rPr>
                <w:color w:val="000000"/>
                <w:sz w:val="20"/>
                <w:szCs w:val="20"/>
              </w:rPr>
            </w:pPr>
            <w:r w:rsidRPr="009D5B83">
              <w:rPr>
                <w:rFonts w:eastAsia="Calibri"/>
                <w:color w:val="000000"/>
                <w:sz w:val="20"/>
                <w:szCs w:val="20"/>
                <w:lang w:eastAsia="en-US"/>
              </w:rPr>
              <w:t>10,92</w:t>
            </w:r>
          </w:p>
        </w:tc>
        <w:tc>
          <w:tcPr>
            <w:tcW w:w="460" w:type="pct"/>
            <w:shd w:val="clear" w:color="auto" w:fill="auto"/>
            <w:noWrap/>
            <w:vAlign w:val="center"/>
          </w:tcPr>
          <w:p w14:paraId="1F7612FE" w14:textId="16F10B36"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-18,8</w:t>
            </w:r>
          </w:p>
        </w:tc>
        <w:tc>
          <w:tcPr>
            <w:tcW w:w="460" w:type="pct"/>
            <w:shd w:val="clear" w:color="auto" w:fill="auto"/>
            <w:noWrap/>
            <w:vAlign w:val="center"/>
          </w:tcPr>
          <w:p w14:paraId="0FC351E0" w14:textId="3E859115"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-16,0</w:t>
            </w:r>
          </w:p>
        </w:tc>
        <w:tc>
          <w:tcPr>
            <w:tcW w:w="504" w:type="pct"/>
            <w:shd w:val="clear" w:color="auto" w:fill="auto"/>
            <w:noWrap/>
            <w:vAlign w:val="center"/>
          </w:tcPr>
          <w:p w14:paraId="5328A94F" w14:textId="63DBAAAD" w:rsidR="00CC5D86" w:rsidRPr="009D5B83" w:rsidRDefault="00CC5D86" w:rsidP="00CC5D86">
            <w:pPr>
              <w:jc w:val="center"/>
              <w:rPr>
                <w:rFonts w:eastAsia="Calibri"/>
                <w:color w:val="000000"/>
                <w:sz w:val="20"/>
                <w:szCs w:val="20"/>
                <w:lang w:eastAsia="en-US"/>
              </w:rPr>
            </w:pPr>
            <w:r w:rsidRPr="009D5B83">
              <w:rPr>
                <w:rFonts w:eastAsia="Calibri"/>
                <w:color w:val="000000"/>
                <w:sz w:val="20"/>
                <w:szCs w:val="20"/>
                <w:lang w:eastAsia="en-US"/>
              </w:rPr>
              <w:t>-13,7</w:t>
            </w:r>
          </w:p>
        </w:tc>
      </w:tr>
    </w:tbl>
    <w:p w14:paraId="0460FB82" w14:textId="4E115537" w:rsidR="00CC5D86" w:rsidRPr="009D5B83" w:rsidRDefault="00C572ED" w:rsidP="00AA0954">
      <w:pPr>
        <w:spacing w:after="60"/>
        <w:ind w:left="720"/>
        <w:contextualSpacing/>
        <w:jc w:val="both"/>
        <w:rPr>
          <w:rFonts w:eastAsia="Calibri"/>
          <w:sz w:val="20"/>
          <w:szCs w:val="20"/>
          <w:lang w:eastAsia="en-US"/>
        </w:rPr>
      </w:pPr>
      <w:r w:rsidRPr="009D5B83">
        <w:rPr>
          <w:rFonts w:eastAsia="Calibri"/>
          <w:i/>
          <w:iCs/>
          <w:sz w:val="20"/>
          <w:szCs w:val="20"/>
          <w:lang w:eastAsia="en-US"/>
        </w:rPr>
        <w:t>Примечание</w:t>
      </w:r>
      <w:r w:rsidRPr="009D5B83">
        <w:rPr>
          <w:rFonts w:eastAsia="Calibri"/>
          <w:sz w:val="20"/>
          <w:szCs w:val="20"/>
          <w:lang w:eastAsia="en-US"/>
        </w:rPr>
        <w:t xml:space="preserve">: </w:t>
      </w:r>
      <w:r w:rsidR="00CC5D86" w:rsidRPr="009D5B83">
        <w:rPr>
          <w:rFonts w:eastAsia="Calibri"/>
          <w:sz w:val="20"/>
          <w:szCs w:val="20"/>
          <w:lang w:eastAsia="en-US"/>
        </w:rPr>
        <w:t xml:space="preserve">* по </w:t>
      </w:r>
      <w:r w:rsidR="00F85D41">
        <w:rPr>
          <w:rFonts w:eastAsia="Calibri"/>
          <w:sz w:val="20"/>
          <w:szCs w:val="20"/>
          <w:lang w:eastAsia="en-US"/>
        </w:rPr>
        <w:t xml:space="preserve">СБР </w:t>
      </w:r>
      <w:r w:rsidR="00CC5D86" w:rsidRPr="009D5B83">
        <w:rPr>
          <w:rFonts w:eastAsia="Calibri"/>
          <w:sz w:val="20"/>
          <w:szCs w:val="20"/>
          <w:lang w:eastAsia="en-US"/>
        </w:rPr>
        <w:t>на сентябрь 2022 г.</w:t>
      </w:r>
    </w:p>
    <w:p w14:paraId="179D4DBF" w14:textId="3377B188" w:rsidR="00CC5D86" w:rsidRPr="009D5B83" w:rsidRDefault="00CC5D86" w:rsidP="00AA0954">
      <w:pPr>
        <w:spacing w:after="60"/>
        <w:ind w:firstLine="709"/>
        <w:jc w:val="both"/>
        <w:rPr>
          <w:rFonts w:eastAsia="Calibri"/>
          <w:sz w:val="20"/>
          <w:szCs w:val="20"/>
          <w:lang w:eastAsia="en-US"/>
        </w:rPr>
      </w:pPr>
      <w:r w:rsidRPr="009D5B83">
        <w:rPr>
          <w:rFonts w:eastAsia="Calibri"/>
          <w:i/>
          <w:sz w:val="20"/>
          <w:szCs w:val="20"/>
          <w:lang w:eastAsia="en-US"/>
        </w:rPr>
        <w:t>Источник:</w:t>
      </w:r>
      <w:r w:rsidRPr="009D5B83">
        <w:rPr>
          <w:rFonts w:eastAsia="Calibri"/>
          <w:sz w:val="20"/>
          <w:szCs w:val="20"/>
          <w:lang w:eastAsia="en-US"/>
        </w:rPr>
        <w:t xml:space="preserve"> Приложение 10 к Пояснительной записке, расчеты автор</w:t>
      </w:r>
      <w:r w:rsidR="007931B0" w:rsidRPr="009D5B83">
        <w:rPr>
          <w:rFonts w:eastAsia="Calibri"/>
          <w:sz w:val="20"/>
          <w:szCs w:val="20"/>
          <w:lang w:eastAsia="en-US"/>
        </w:rPr>
        <w:t>ов.</w:t>
      </w:r>
    </w:p>
    <w:p w14:paraId="08BC4F9D" w14:textId="77777777" w:rsidR="00CC5D86" w:rsidRPr="009D5B83" w:rsidRDefault="00CC5D86" w:rsidP="00CC5D86">
      <w:pPr>
        <w:ind w:firstLine="709"/>
        <w:jc w:val="both"/>
        <w:rPr>
          <w:rFonts w:eastAsia="Calibri"/>
          <w:lang w:eastAsia="en-US"/>
        </w:rPr>
      </w:pPr>
    </w:p>
    <w:p w14:paraId="3B46E87E" w14:textId="174B8E91" w:rsidR="00CC5D86" w:rsidRPr="00E103B9" w:rsidRDefault="00CC5D86" w:rsidP="000B02DC">
      <w:pPr>
        <w:spacing w:after="60"/>
        <w:ind w:firstLine="709"/>
        <w:jc w:val="both"/>
        <w:rPr>
          <w:rFonts w:eastAsia="Calibri"/>
          <w:sz w:val="28"/>
          <w:lang w:eastAsia="en-US"/>
        </w:rPr>
      </w:pPr>
      <w:r w:rsidRPr="00E103B9">
        <w:rPr>
          <w:rFonts w:eastAsia="Calibri"/>
          <w:sz w:val="28"/>
          <w:lang w:eastAsia="en-US"/>
        </w:rPr>
        <w:t xml:space="preserve">Как видно из </w:t>
      </w:r>
      <w:r w:rsidRPr="00E103B9">
        <w:rPr>
          <w:rFonts w:eastAsia="Calibri"/>
          <w:i/>
          <w:iCs/>
          <w:sz w:val="28"/>
          <w:lang w:eastAsia="en-US"/>
        </w:rPr>
        <w:t xml:space="preserve">таблицы </w:t>
      </w:r>
      <w:r w:rsidR="000B02DC" w:rsidRPr="00E103B9">
        <w:rPr>
          <w:rFonts w:eastAsia="Calibri"/>
          <w:i/>
          <w:iCs/>
          <w:sz w:val="28"/>
          <w:lang w:eastAsia="en-US"/>
        </w:rPr>
        <w:t>17</w:t>
      </w:r>
      <w:r w:rsidRPr="00E103B9">
        <w:rPr>
          <w:rFonts w:eastAsia="Calibri"/>
          <w:sz w:val="28"/>
          <w:lang w:eastAsia="en-US"/>
        </w:rPr>
        <w:t xml:space="preserve">, в 2022-2025 гг. сократится финансирование федеральных проектов </w:t>
      </w:r>
      <w:r w:rsidR="005B11ED" w:rsidRPr="00E103B9">
        <w:rPr>
          <w:rFonts w:eastAsia="Calibri"/>
          <w:sz w:val="28"/>
          <w:lang w:eastAsia="en-US"/>
        </w:rPr>
        <w:t>«</w:t>
      </w:r>
      <w:r w:rsidRPr="00E103B9">
        <w:rPr>
          <w:rFonts w:eastAsia="Calibri"/>
          <w:sz w:val="28"/>
          <w:lang w:eastAsia="en-US"/>
        </w:rPr>
        <w:t>Стимулирование инвестиционной деятельности в АПК</w:t>
      </w:r>
      <w:r w:rsidR="005B11ED" w:rsidRPr="00E103B9">
        <w:rPr>
          <w:rFonts w:eastAsia="Calibri"/>
          <w:sz w:val="28"/>
          <w:lang w:eastAsia="en-US"/>
        </w:rPr>
        <w:t>»</w:t>
      </w:r>
      <w:r w:rsidRPr="00E103B9">
        <w:rPr>
          <w:rFonts w:eastAsia="Calibri"/>
          <w:sz w:val="28"/>
          <w:lang w:eastAsia="en-US"/>
        </w:rPr>
        <w:t xml:space="preserve">, </w:t>
      </w:r>
      <w:r w:rsidR="005B11ED" w:rsidRPr="00E103B9">
        <w:rPr>
          <w:rFonts w:eastAsia="Calibri"/>
          <w:sz w:val="28"/>
          <w:lang w:eastAsia="en-US"/>
        </w:rPr>
        <w:t>«</w:t>
      </w:r>
      <w:r w:rsidRPr="00E103B9">
        <w:rPr>
          <w:rFonts w:eastAsia="Calibri"/>
          <w:sz w:val="28"/>
          <w:lang w:eastAsia="en-US"/>
        </w:rPr>
        <w:t>Развитие отраслей и техническая модернизация АПК</w:t>
      </w:r>
      <w:r w:rsidR="005B11ED" w:rsidRPr="00E103B9">
        <w:rPr>
          <w:rFonts w:eastAsia="Calibri"/>
          <w:sz w:val="28"/>
          <w:lang w:eastAsia="en-US"/>
        </w:rPr>
        <w:t>»</w:t>
      </w:r>
      <w:r w:rsidRPr="00E103B9">
        <w:rPr>
          <w:rFonts w:eastAsia="Calibri"/>
          <w:sz w:val="28"/>
          <w:lang w:eastAsia="en-US"/>
        </w:rPr>
        <w:t xml:space="preserve">, </w:t>
      </w:r>
      <w:r w:rsidR="005B11ED" w:rsidRPr="00E103B9">
        <w:rPr>
          <w:rFonts w:eastAsia="Calibri"/>
          <w:sz w:val="28"/>
          <w:lang w:eastAsia="en-US"/>
        </w:rPr>
        <w:t>«</w:t>
      </w:r>
      <w:r w:rsidRPr="00E103B9">
        <w:rPr>
          <w:rFonts w:eastAsia="Calibri"/>
          <w:sz w:val="28"/>
          <w:lang w:eastAsia="en-US"/>
        </w:rPr>
        <w:t>Экспорт продукции АПК</w:t>
      </w:r>
      <w:r w:rsidR="005B11ED" w:rsidRPr="00E103B9">
        <w:rPr>
          <w:rFonts w:eastAsia="Calibri"/>
          <w:sz w:val="28"/>
          <w:lang w:eastAsia="en-US"/>
        </w:rPr>
        <w:t>»</w:t>
      </w:r>
      <w:r w:rsidRPr="00E103B9">
        <w:rPr>
          <w:rFonts w:eastAsia="Calibri"/>
          <w:sz w:val="28"/>
          <w:lang w:eastAsia="en-US"/>
        </w:rPr>
        <w:t xml:space="preserve">. К 2025 г. планируется завершить ФП </w:t>
      </w:r>
      <w:r w:rsidR="005B11ED" w:rsidRPr="00E103B9">
        <w:rPr>
          <w:rFonts w:eastAsia="Calibri"/>
          <w:sz w:val="28"/>
          <w:lang w:eastAsia="en-US"/>
        </w:rPr>
        <w:t>«</w:t>
      </w:r>
      <w:r w:rsidRPr="00E103B9">
        <w:rPr>
          <w:rFonts w:eastAsia="Calibri"/>
          <w:sz w:val="28"/>
          <w:lang w:eastAsia="en-US"/>
        </w:rPr>
        <w:t>Акселерация субъектов малого и среднего предпринимательства</w:t>
      </w:r>
      <w:r w:rsidR="005B11ED" w:rsidRPr="00E103B9">
        <w:rPr>
          <w:rFonts w:eastAsia="Calibri"/>
          <w:sz w:val="28"/>
          <w:lang w:eastAsia="en-US"/>
        </w:rPr>
        <w:t>»</w:t>
      </w:r>
      <w:r w:rsidRPr="00E103B9">
        <w:rPr>
          <w:rFonts w:eastAsia="Calibri"/>
          <w:sz w:val="28"/>
          <w:lang w:eastAsia="en-US"/>
        </w:rPr>
        <w:t xml:space="preserve">, при этом МСП лишатся в 2025 г. 9 </w:t>
      </w:r>
      <w:proofErr w:type="gramStart"/>
      <w:r w:rsidRPr="00E103B9">
        <w:rPr>
          <w:rFonts w:eastAsia="Calibri"/>
          <w:sz w:val="28"/>
          <w:lang w:eastAsia="en-US"/>
        </w:rPr>
        <w:t>млрд</w:t>
      </w:r>
      <w:proofErr w:type="gramEnd"/>
      <w:r w:rsidRPr="00E103B9">
        <w:rPr>
          <w:rFonts w:eastAsia="Calibri"/>
          <w:sz w:val="28"/>
          <w:lang w:eastAsia="en-US"/>
        </w:rPr>
        <w:t xml:space="preserve"> руб. финансирования, ранее выделявшегося им в рамках этого проекта в 2024 г. без видимой замены. Чрезмерным выглядит сокращение финансирования ФП </w:t>
      </w:r>
      <w:r w:rsidR="005B11ED" w:rsidRPr="00E103B9">
        <w:rPr>
          <w:rFonts w:eastAsia="Calibri"/>
          <w:sz w:val="28"/>
          <w:lang w:eastAsia="en-US"/>
        </w:rPr>
        <w:t>«</w:t>
      </w:r>
      <w:r w:rsidRPr="00E103B9">
        <w:rPr>
          <w:rFonts w:eastAsia="Calibri"/>
          <w:sz w:val="28"/>
          <w:lang w:eastAsia="en-US"/>
        </w:rPr>
        <w:t>Экспорт продукции АПК</w:t>
      </w:r>
      <w:r w:rsidR="005B11ED" w:rsidRPr="00E103B9">
        <w:rPr>
          <w:rFonts w:eastAsia="Calibri"/>
          <w:sz w:val="28"/>
          <w:lang w:eastAsia="en-US"/>
        </w:rPr>
        <w:t>»</w:t>
      </w:r>
      <w:r w:rsidRPr="00E103B9">
        <w:rPr>
          <w:rFonts w:eastAsia="Calibri"/>
          <w:sz w:val="28"/>
          <w:lang w:eastAsia="en-US"/>
        </w:rPr>
        <w:t xml:space="preserve"> с 63 </w:t>
      </w:r>
      <w:proofErr w:type="gramStart"/>
      <w:r w:rsidRPr="00E103B9">
        <w:rPr>
          <w:rFonts w:eastAsia="Calibri"/>
          <w:sz w:val="28"/>
          <w:lang w:eastAsia="en-US"/>
        </w:rPr>
        <w:t>млрд</w:t>
      </w:r>
      <w:proofErr w:type="gramEnd"/>
      <w:r w:rsidRPr="00E103B9">
        <w:rPr>
          <w:rFonts w:eastAsia="Calibri"/>
          <w:sz w:val="28"/>
          <w:lang w:eastAsia="en-US"/>
        </w:rPr>
        <w:t xml:space="preserve"> руб. в 2022 г. до 0 в 2025 г. Парадоксально, но перестает поддерживаться направление, с которым, судя по названию, напрямую связано поступление экспортных доходов в бюджет. </w:t>
      </w:r>
      <w:proofErr w:type="gramStart"/>
      <w:r w:rsidRPr="00E103B9">
        <w:rPr>
          <w:rFonts w:eastAsia="Calibri"/>
          <w:sz w:val="28"/>
          <w:lang w:eastAsia="en-US"/>
        </w:rPr>
        <w:t>Причем обоснование в пояснительной записке туманное – «в связи с применением общих подходов и особенностей распределения и (или) перераспределения предельных базовых бюджетных ассигнований»</w:t>
      </w:r>
      <w:r w:rsidRPr="00E103B9">
        <w:rPr>
          <w:rFonts w:eastAsia="Calibri"/>
          <w:sz w:val="28"/>
          <w:vertAlign w:val="superscript"/>
          <w:lang w:eastAsia="en-US"/>
        </w:rPr>
        <w:footnoteReference w:id="52"/>
      </w:r>
      <w:r w:rsidRPr="00E103B9">
        <w:rPr>
          <w:rFonts w:eastAsia="Calibri"/>
          <w:sz w:val="28"/>
          <w:lang w:eastAsia="en-US"/>
        </w:rPr>
        <w:t xml:space="preserve">, что естественным образом вызывает ряд вопросов и в первую очередь, неужели в 2025 г. отпадет необходимость в поддержке организаций в целях продвижения продукции АПК на внешние рынки, а также во многих других мерах, включенных в этот </w:t>
      </w:r>
      <w:r w:rsidR="005B11ED" w:rsidRPr="00E103B9">
        <w:rPr>
          <w:rFonts w:eastAsia="Calibri"/>
          <w:sz w:val="28"/>
          <w:lang w:eastAsia="en-US"/>
        </w:rPr>
        <w:t>ФП</w:t>
      </w:r>
      <w:r w:rsidRPr="00E103B9">
        <w:rPr>
          <w:rFonts w:eastAsia="Calibri"/>
          <w:sz w:val="28"/>
          <w:lang w:eastAsia="en-US"/>
        </w:rPr>
        <w:t>?</w:t>
      </w:r>
      <w:proofErr w:type="gramEnd"/>
      <w:r w:rsidRPr="00E103B9">
        <w:rPr>
          <w:rFonts w:eastAsia="Calibri"/>
          <w:sz w:val="28"/>
          <w:lang w:eastAsia="en-US"/>
        </w:rPr>
        <w:t xml:space="preserve"> </w:t>
      </w:r>
      <w:proofErr w:type="gramStart"/>
      <w:r w:rsidRPr="00E103B9">
        <w:rPr>
          <w:rFonts w:eastAsia="Calibri"/>
          <w:sz w:val="28"/>
          <w:lang w:eastAsia="en-US"/>
        </w:rPr>
        <w:t xml:space="preserve">По сути </w:t>
      </w:r>
      <w:r w:rsidR="005B11ED" w:rsidRPr="00E103B9">
        <w:rPr>
          <w:rFonts w:eastAsia="Calibri"/>
          <w:sz w:val="28"/>
          <w:lang w:eastAsia="en-US"/>
        </w:rPr>
        <w:t xml:space="preserve">указанный ФП </w:t>
      </w:r>
      <w:r w:rsidRPr="00E103B9">
        <w:rPr>
          <w:rFonts w:eastAsia="Calibri"/>
          <w:sz w:val="28"/>
          <w:lang w:eastAsia="en-US"/>
        </w:rPr>
        <w:lastRenderedPageBreak/>
        <w:t>планируется закрыть без всякого анализа эффективности включенных в него мер, предложений по их включению в другие проекты или меры процессного характера.</w:t>
      </w:r>
      <w:proofErr w:type="gramEnd"/>
      <w:r w:rsidRPr="00E103B9">
        <w:rPr>
          <w:rFonts w:eastAsia="Calibri"/>
          <w:sz w:val="28"/>
          <w:lang w:eastAsia="en-US"/>
        </w:rPr>
        <w:t xml:space="preserve"> Такой подход едва ли можно считать взвешенным.</w:t>
      </w:r>
    </w:p>
    <w:p w14:paraId="2A51F4EE" w14:textId="77777777" w:rsidR="00CC5D86" w:rsidRPr="00E103B9" w:rsidRDefault="00CC5D86" w:rsidP="000B02DC">
      <w:pPr>
        <w:spacing w:after="60"/>
        <w:ind w:firstLine="709"/>
        <w:jc w:val="both"/>
        <w:rPr>
          <w:rFonts w:eastAsia="Calibri"/>
          <w:sz w:val="28"/>
          <w:lang w:eastAsia="en-US"/>
        </w:rPr>
      </w:pPr>
      <w:r w:rsidRPr="00E103B9">
        <w:rPr>
          <w:rFonts w:eastAsia="Calibri"/>
          <w:sz w:val="28"/>
          <w:lang w:eastAsia="en-US"/>
        </w:rPr>
        <w:t>В Госпрограмме финансирование направлено в основном на малобюджетные узкие отраслевые проекты - картофелеводство, виноградарство и виноделие, сельский туризм.</w:t>
      </w:r>
    </w:p>
    <w:p w14:paraId="252E090F" w14:textId="64A7A31F" w:rsidR="00CC5D86" w:rsidRPr="00E103B9" w:rsidRDefault="00CC5D86" w:rsidP="000B02DC">
      <w:pPr>
        <w:spacing w:after="60"/>
        <w:ind w:firstLine="709"/>
        <w:jc w:val="both"/>
        <w:rPr>
          <w:rFonts w:eastAsia="Calibri"/>
          <w:sz w:val="28"/>
          <w:lang w:eastAsia="en-US"/>
        </w:rPr>
      </w:pPr>
      <w:r w:rsidRPr="00E103B9">
        <w:rPr>
          <w:rFonts w:eastAsia="Calibri"/>
          <w:sz w:val="28"/>
          <w:lang w:eastAsia="en-US"/>
        </w:rPr>
        <w:t xml:space="preserve"> Финансирование ФП </w:t>
      </w:r>
      <w:r w:rsidR="005B11ED" w:rsidRPr="00E103B9">
        <w:rPr>
          <w:rFonts w:eastAsia="Calibri"/>
          <w:sz w:val="28"/>
          <w:lang w:eastAsia="en-US"/>
        </w:rPr>
        <w:t>«</w:t>
      </w:r>
      <w:r w:rsidRPr="00E103B9">
        <w:rPr>
          <w:rFonts w:eastAsia="Calibri"/>
          <w:sz w:val="28"/>
          <w:lang w:eastAsia="en-US"/>
        </w:rPr>
        <w:t>Создание условий для независимости и конкурентоспособности отечественного АПК</w:t>
      </w:r>
      <w:r w:rsidR="005B11ED" w:rsidRPr="00E103B9">
        <w:rPr>
          <w:rFonts w:eastAsia="Calibri"/>
          <w:sz w:val="28"/>
          <w:lang w:eastAsia="en-US"/>
        </w:rPr>
        <w:t>»</w:t>
      </w:r>
      <w:r w:rsidRPr="00E103B9">
        <w:rPr>
          <w:rFonts w:eastAsia="Calibri"/>
          <w:sz w:val="28"/>
          <w:lang w:eastAsia="en-US"/>
        </w:rPr>
        <w:t xml:space="preserve"> планируется удвоить по сравнению с 2022 г., однако это малобюджетный проект (менее 2 </w:t>
      </w:r>
      <w:proofErr w:type="gramStart"/>
      <w:r w:rsidRPr="00E103B9">
        <w:rPr>
          <w:rFonts w:eastAsia="Calibri"/>
          <w:sz w:val="28"/>
          <w:lang w:eastAsia="en-US"/>
        </w:rPr>
        <w:t>млрд</w:t>
      </w:r>
      <w:proofErr w:type="gramEnd"/>
      <w:r w:rsidRPr="00E103B9">
        <w:rPr>
          <w:rFonts w:eastAsia="Calibri"/>
          <w:sz w:val="28"/>
          <w:lang w:eastAsia="en-US"/>
        </w:rPr>
        <w:t xml:space="preserve"> руб. в год за период 2023-2025 гг.), что не сопоставимо с сокращением на 74 млрд руб. в 2025 г. проекта по стимулированию инвестиционной деятельности в АПК. Снижение связано, в частности, «с перераспределением бюджетных ассигнований с льготного кредитования на более приоритетные направления агропромышленного комплекса в 2025 году на 11 431,6 </w:t>
      </w:r>
      <w:proofErr w:type="gramStart"/>
      <w:r w:rsidRPr="00E103B9">
        <w:rPr>
          <w:rFonts w:eastAsia="Calibri"/>
          <w:sz w:val="28"/>
          <w:lang w:eastAsia="en-US"/>
        </w:rPr>
        <w:t>млн</w:t>
      </w:r>
      <w:proofErr w:type="gramEnd"/>
      <w:r w:rsidRPr="00E103B9">
        <w:rPr>
          <w:rFonts w:eastAsia="Calibri"/>
          <w:sz w:val="28"/>
          <w:lang w:eastAsia="en-US"/>
        </w:rPr>
        <w:t xml:space="preserve"> рублей по сравнению с параметрами Бюджетного прогноза»</w:t>
      </w:r>
      <w:r w:rsidRPr="00E103B9">
        <w:rPr>
          <w:rFonts w:eastAsia="Calibri"/>
          <w:sz w:val="28"/>
          <w:vertAlign w:val="superscript"/>
          <w:lang w:eastAsia="en-US"/>
        </w:rPr>
        <w:footnoteReference w:id="53"/>
      </w:r>
      <w:r w:rsidRPr="00E103B9">
        <w:rPr>
          <w:rFonts w:eastAsia="Calibri"/>
          <w:sz w:val="28"/>
          <w:lang w:eastAsia="en-US"/>
        </w:rPr>
        <w:t xml:space="preserve">. С этим трудно согласиться, т.к. именно льготное кредитование являлось и является наиболее востребованным и приоритетным для сельхозпроизводителей, особенно краткосрочное. </w:t>
      </w:r>
    </w:p>
    <w:p w14:paraId="0C938DEE" w14:textId="0E29B880" w:rsidR="00CC5D86" w:rsidRPr="00E103B9" w:rsidRDefault="00CC5D86" w:rsidP="00AA0954">
      <w:pPr>
        <w:spacing w:after="60"/>
        <w:ind w:firstLine="709"/>
        <w:jc w:val="both"/>
        <w:rPr>
          <w:rFonts w:eastAsia="Calibri"/>
          <w:sz w:val="28"/>
          <w:lang w:eastAsia="en-US"/>
        </w:rPr>
      </w:pPr>
      <w:r w:rsidRPr="00E103B9">
        <w:rPr>
          <w:rFonts w:eastAsia="Calibri"/>
          <w:sz w:val="28"/>
          <w:lang w:eastAsia="en-US"/>
        </w:rPr>
        <w:t xml:space="preserve">Таким образом, содержащихся в </w:t>
      </w:r>
      <w:r w:rsidR="005B11ED" w:rsidRPr="00E103B9">
        <w:rPr>
          <w:rFonts w:eastAsia="Calibri"/>
          <w:sz w:val="28"/>
          <w:lang w:eastAsia="en-US"/>
        </w:rPr>
        <w:t>П</w:t>
      </w:r>
      <w:r w:rsidRPr="00E103B9">
        <w:rPr>
          <w:rFonts w:eastAsia="Calibri"/>
          <w:sz w:val="28"/>
          <w:lang w:eastAsia="en-US"/>
        </w:rPr>
        <w:t>ояснительной записке обоснований сокращения бюджетных расходов на поддержку сельского хозяйства представляется явно недостаточным для понимания причин и перспектив проводимой бюджетной политике в данной отрасли.</w:t>
      </w:r>
    </w:p>
    <w:p w14:paraId="13B8888E" w14:textId="06AA5288" w:rsidR="00CC5D86" w:rsidRPr="00E103B9" w:rsidRDefault="00CC5D86" w:rsidP="00AA0954">
      <w:pPr>
        <w:spacing w:before="120" w:after="120"/>
        <w:ind w:firstLine="709"/>
        <w:jc w:val="both"/>
        <w:rPr>
          <w:rFonts w:eastAsia="Calibri"/>
          <w:b/>
          <w:bCs/>
          <w:sz w:val="28"/>
          <w:lang w:eastAsia="en-US"/>
        </w:rPr>
      </w:pPr>
      <w:r w:rsidRPr="00E103B9">
        <w:rPr>
          <w:rFonts w:eastAsia="Calibri"/>
          <w:b/>
          <w:bCs/>
          <w:sz w:val="28"/>
          <w:lang w:eastAsia="en-US"/>
        </w:rPr>
        <w:t>2. Сокращение финансирования программы развития сельского хозяйства при планировании роста его производства</w:t>
      </w:r>
    </w:p>
    <w:p w14:paraId="295B5FB1" w14:textId="0616654C" w:rsidR="00CC5D86" w:rsidRPr="00E103B9" w:rsidRDefault="00CC5D86" w:rsidP="000B02DC">
      <w:pPr>
        <w:spacing w:after="60"/>
        <w:ind w:firstLine="709"/>
        <w:jc w:val="both"/>
        <w:rPr>
          <w:rFonts w:eastAsia="Calibri"/>
          <w:sz w:val="28"/>
          <w:lang w:eastAsia="en-US"/>
        </w:rPr>
      </w:pPr>
      <w:r w:rsidRPr="00E103B9">
        <w:rPr>
          <w:rFonts w:eastAsia="Calibri"/>
          <w:bCs/>
          <w:sz w:val="28"/>
          <w:lang w:eastAsia="en-US"/>
        </w:rPr>
        <w:t xml:space="preserve">При </w:t>
      </w:r>
      <w:r w:rsidRPr="00E103B9">
        <w:rPr>
          <w:rFonts w:eastAsia="Calibri"/>
          <w:sz w:val="28"/>
          <w:lang w:eastAsia="en-US"/>
        </w:rPr>
        <w:t xml:space="preserve">значительном сокращении финансирования Госпрограммы по сравнению с 2022 г.: на 31,2 </w:t>
      </w:r>
      <w:proofErr w:type="gramStart"/>
      <w:r w:rsidRPr="00E103B9">
        <w:rPr>
          <w:rFonts w:eastAsia="Calibri"/>
          <w:sz w:val="28"/>
          <w:lang w:eastAsia="en-US"/>
        </w:rPr>
        <w:t>млрд</w:t>
      </w:r>
      <w:proofErr w:type="gramEnd"/>
      <w:r w:rsidRPr="00E103B9">
        <w:rPr>
          <w:rFonts w:eastAsia="Calibri"/>
          <w:sz w:val="28"/>
          <w:lang w:eastAsia="en-US"/>
        </w:rPr>
        <w:t xml:space="preserve"> руб. (-8,3%) в 2023 г., 44,8 млрд руб</w:t>
      </w:r>
      <w:r w:rsidR="005B11ED" w:rsidRPr="00E103B9">
        <w:rPr>
          <w:rFonts w:eastAsia="Calibri"/>
          <w:sz w:val="28"/>
          <w:lang w:eastAsia="en-US"/>
        </w:rPr>
        <w:t>.</w:t>
      </w:r>
      <w:r w:rsidRPr="00E103B9">
        <w:rPr>
          <w:rFonts w:eastAsia="Calibri"/>
          <w:sz w:val="28"/>
          <w:lang w:eastAsia="en-US"/>
        </w:rPr>
        <w:t xml:space="preserve"> (-12%) в 2024 г. и рекордные 136,8 млрд руб. (-36,4%) в 2025 г., планируется последовательный рост производства продукции сельского хозяйства год к году</w:t>
      </w:r>
      <w:r w:rsidRPr="00E103B9">
        <w:rPr>
          <w:rFonts w:eastAsia="Calibri"/>
          <w:sz w:val="28"/>
          <w:vertAlign w:val="superscript"/>
          <w:lang w:eastAsia="en-US"/>
        </w:rPr>
        <w:footnoteReference w:id="54"/>
      </w:r>
      <w:r w:rsidRPr="00E103B9">
        <w:rPr>
          <w:rFonts w:eastAsia="Calibri"/>
          <w:sz w:val="28"/>
          <w:lang w:eastAsia="en-US"/>
        </w:rPr>
        <w:t xml:space="preserve">. Так, планируемое «увеличение валового сбора зерновых и зернобобовых культур в перспективе до 2025 г. должно составить 141,9 </w:t>
      </w:r>
      <w:proofErr w:type="gramStart"/>
      <w:r w:rsidRPr="00E103B9">
        <w:rPr>
          <w:rFonts w:eastAsia="Calibri"/>
          <w:sz w:val="28"/>
          <w:lang w:eastAsia="en-US"/>
        </w:rPr>
        <w:t>млн</w:t>
      </w:r>
      <w:proofErr w:type="gramEnd"/>
      <w:r w:rsidRPr="00E103B9">
        <w:rPr>
          <w:rFonts w:eastAsia="Calibri"/>
          <w:sz w:val="28"/>
          <w:lang w:eastAsia="en-US"/>
        </w:rPr>
        <w:t xml:space="preserve"> тонн, что на 16,9% выше уровня 2021 г</w:t>
      </w:r>
      <w:r w:rsidR="005B11ED" w:rsidRPr="00E103B9">
        <w:rPr>
          <w:rFonts w:eastAsia="Calibri"/>
          <w:sz w:val="28"/>
          <w:lang w:eastAsia="en-US"/>
        </w:rPr>
        <w:t>.</w:t>
      </w:r>
      <w:r w:rsidRPr="00E103B9">
        <w:rPr>
          <w:rFonts w:eastAsia="Calibri"/>
          <w:sz w:val="28"/>
          <w:lang w:eastAsia="en-US"/>
        </w:rPr>
        <w:t>»</w:t>
      </w:r>
      <w:r w:rsidRPr="00E103B9">
        <w:rPr>
          <w:rFonts w:eastAsia="Calibri"/>
          <w:sz w:val="28"/>
          <w:vertAlign w:val="superscript"/>
          <w:lang w:eastAsia="en-US"/>
        </w:rPr>
        <w:footnoteReference w:id="55"/>
      </w:r>
      <w:r w:rsidRPr="00E103B9">
        <w:rPr>
          <w:rFonts w:eastAsia="Calibri"/>
          <w:sz w:val="28"/>
          <w:lang w:eastAsia="en-US"/>
        </w:rPr>
        <w:t xml:space="preserve">. В Пояснительной записке не сказано, за счет каких источников будет осуществлен рост при уменьшении федерального финансирования, изъятия части прибыли за счет импортных пошлин и ограниченном возврате этих пошлин для развития отрасли. </w:t>
      </w:r>
    </w:p>
    <w:p w14:paraId="1D47875C" w14:textId="2438C371" w:rsidR="00CC5D86" w:rsidRPr="00E103B9" w:rsidRDefault="00CC5D86" w:rsidP="00AA0954">
      <w:pPr>
        <w:spacing w:after="60"/>
        <w:ind w:firstLine="709"/>
        <w:jc w:val="both"/>
        <w:rPr>
          <w:rFonts w:eastAsia="Calibri"/>
          <w:sz w:val="28"/>
          <w:lang w:eastAsia="en-US"/>
        </w:rPr>
      </w:pPr>
      <w:r w:rsidRPr="00E103B9">
        <w:rPr>
          <w:rFonts w:eastAsia="Calibri"/>
          <w:sz w:val="28"/>
          <w:lang w:eastAsia="en-US"/>
        </w:rPr>
        <w:t xml:space="preserve">Планируемый рост объемов производства продукции сельского хозяйства должен, по мнению авторов </w:t>
      </w:r>
      <w:r w:rsidR="005B11ED" w:rsidRPr="00E103B9">
        <w:rPr>
          <w:rFonts w:eastAsia="Calibri"/>
          <w:sz w:val="28"/>
          <w:lang w:eastAsia="en-US"/>
        </w:rPr>
        <w:t>П</w:t>
      </w:r>
      <w:r w:rsidRPr="00E103B9">
        <w:rPr>
          <w:rFonts w:eastAsia="Calibri"/>
          <w:sz w:val="28"/>
          <w:lang w:eastAsia="en-US"/>
        </w:rPr>
        <w:t xml:space="preserve">рогноза, обеспечиваться за счет привлечения инвестиций и создания благоприятных условий для них: </w:t>
      </w:r>
      <w:proofErr w:type="gramStart"/>
      <w:r w:rsidRPr="00E103B9">
        <w:rPr>
          <w:rFonts w:eastAsia="Calibri"/>
          <w:sz w:val="28"/>
          <w:lang w:eastAsia="en-US"/>
        </w:rPr>
        <w:t xml:space="preserve">«В целях достижения прогнозируемых объемов производства сельскохозяйственной и пищевой продукции важнейшим условием по-прежнему является сохранение </w:t>
      </w:r>
      <w:r w:rsidRPr="00E103B9">
        <w:rPr>
          <w:rFonts w:eastAsia="Calibri"/>
          <w:sz w:val="28"/>
          <w:lang w:eastAsia="en-US"/>
        </w:rPr>
        <w:lastRenderedPageBreak/>
        <w:t>благоприятных условий для привлечения инвестиций»</w:t>
      </w:r>
      <w:r w:rsidRPr="00E103B9">
        <w:rPr>
          <w:rFonts w:eastAsia="Calibri"/>
          <w:sz w:val="28"/>
          <w:vertAlign w:val="superscript"/>
          <w:lang w:eastAsia="en-US"/>
        </w:rPr>
        <w:footnoteReference w:id="56"/>
      </w:r>
      <w:r w:rsidRPr="00E103B9">
        <w:rPr>
          <w:rFonts w:eastAsia="Calibri"/>
          <w:sz w:val="28"/>
          <w:lang w:eastAsia="en-US"/>
        </w:rPr>
        <w:t xml:space="preserve">. Однако, именно меры, направленные на содействие частным инвестициям, создание благоприятных условий для малого бизнеса, развитие экспорта, </w:t>
      </w:r>
      <w:proofErr w:type="spellStart"/>
      <w:r w:rsidRPr="00E103B9">
        <w:rPr>
          <w:rFonts w:eastAsia="Calibri"/>
          <w:sz w:val="28"/>
          <w:lang w:eastAsia="en-US"/>
        </w:rPr>
        <w:t>секвестируются</w:t>
      </w:r>
      <w:proofErr w:type="spellEnd"/>
      <w:r w:rsidRPr="00E103B9">
        <w:rPr>
          <w:rFonts w:eastAsia="Calibri"/>
          <w:sz w:val="28"/>
          <w:lang w:eastAsia="en-US"/>
        </w:rPr>
        <w:t xml:space="preserve"> больше всего.</w:t>
      </w:r>
      <w:proofErr w:type="gramEnd"/>
    </w:p>
    <w:p w14:paraId="5C2091C9" w14:textId="7197D0FA" w:rsidR="00CC5D86" w:rsidRPr="00E103B9" w:rsidRDefault="00CC5D86" w:rsidP="00AA0954">
      <w:pPr>
        <w:spacing w:before="120" w:after="120"/>
        <w:ind w:firstLine="709"/>
        <w:jc w:val="both"/>
        <w:rPr>
          <w:rFonts w:eastAsia="Calibri"/>
          <w:b/>
          <w:iCs/>
          <w:sz w:val="28"/>
          <w:lang w:eastAsia="en-US"/>
        </w:rPr>
      </w:pPr>
      <w:r w:rsidRPr="00E103B9">
        <w:rPr>
          <w:rFonts w:eastAsia="Calibri"/>
          <w:b/>
          <w:bCs/>
          <w:sz w:val="28"/>
          <w:lang w:eastAsia="en-US"/>
        </w:rPr>
        <w:t xml:space="preserve">3. Кардинальное изменение в источниках финансирования сельского хозяйства: сельское хозяйство в значительной мере финансирует само себя. </w:t>
      </w:r>
      <w:r w:rsidRPr="00E103B9">
        <w:rPr>
          <w:rFonts w:eastAsia="Calibri"/>
          <w:b/>
          <w:iCs/>
          <w:sz w:val="28"/>
          <w:lang w:eastAsia="en-US"/>
        </w:rPr>
        <w:t>Однако было бы оправданным не увязывать сумму поддержки сельского хозяйства и развития сельских территорий с поступлениями в бюджет за счет экспортных пошлин в условиях высоких геополитических рисков (объем бюджетных доходов от пошлин не гарантирован)</w:t>
      </w:r>
    </w:p>
    <w:p w14:paraId="6885C327" w14:textId="556567FD" w:rsidR="00CC5D86" w:rsidRPr="00E103B9" w:rsidRDefault="00CC5D86" w:rsidP="000B02DC">
      <w:pPr>
        <w:spacing w:after="60"/>
        <w:ind w:firstLine="709"/>
        <w:contextualSpacing/>
        <w:jc w:val="both"/>
        <w:rPr>
          <w:rFonts w:eastAsia="Calibri"/>
          <w:sz w:val="28"/>
          <w:lang w:eastAsia="en-US"/>
        </w:rPr>
      </w:pPr>
      <w:r w:rsidRPr="00E103B9">
        <w:rPr>
          <w:rFonts w:eastAsia="Calibri"/>
          <w:sz w:val="28"/>
          <w:lang w:eastAsia="en-US"/>
        </w:rPr>
        <w:t>Введение экспортной пошлины на зерновые и продукты переработки масличных культур привело к одному из самых масштабных изъятий средств из этих отраслей сопоставимому с объемом федерального финансирования Госпрограммы. Так, согласно расчетам по статьям классификации доходов федерального бюджета на 2023 г</w:t>
      </w:r>
      <w:r w:rsidR="00EF562D" w:rsidRPr="00E103B9">
        <w:rPr>
          <w:rFonts w:eastAsia="Calibri"/>
          <w:sz w:val="28"/>
          <w:lang w:eastAsia="en-US"/>
        </w:rPr>
        <w:t>.</w:t>
      </w:r>
      <w:r w:rsidRPr="00E103B9">
        <w:rPr>
          <w:rFonts w:eastAsia="Calibri"/>
          <w:sz w:val="28"/>
          <w:lang w:eastAsia="en-US"/>
        </w:rPr>
        <w:t xml:space="preserve"> и на плановый период 2024 и 2025 </w:t>
      </w:r>
      <w:r w:rsidR="00EF562D" w:rsidRPr="00E103B9">
        <w:rPr>
          <w:rFonts w:eastAsia="Calibri"/>
          <w:sz w:val="28"/>
          <w:lang w:eastAsia="en-US"/>
        </w:rPr>
        <w:t xml:space="preserve">гг. </w:t>
      </w:r>
      <w:r w:rsidRPr="00E103B9">
        <w:rPr>
          <w:rFonts w:eastAsia="Calibri"/>
          <w:sz w:val="28"/>
          <w:lang w:eastAsia="en-US"/>
        </w:rPr>
        <w:t xml:space="preserve">сумма вывозных таможенных пошлин на зерновые культуры в 2023 г. составит 220,0 </w:t>
      </w:r>
      <w:proofErr w:type="gramStart"/>
      <w:r w:rsidRPr="00E103B9">
        <w:rPr>
          <w:rFonts w:eastAsia="Calibri"/>
          <w:sz w:val="28"/>
          <w:lang w:eastAsia="en-US"/>
        </w:rPr>
        <w:t>млрд</w:t>
      </w:r>
      <w:proofErr w:type="gramEnd"/>
      <w:r w:rsidRPr="00E103B9">
        <w:rPr>
          <w:rFonts w:eastAsia="Calibri"/>
          <w:sz w:val="28"/>
          <w:lang w:eastAsia="en-US"/>
        </w:rPr>
        <w:t xml:space="preserve"> руб</w:t>
      </w:r>
      <w:r w:rsidR="00EF562D" w:rsidRPr="00E103B9">
        <w:rPr>
          <w:rFonts w:eastAsia="Calibri"/>
          <w:sz w:val="28"/>
          <w:lang w:eastAsia="en-US"/>
        </w:rPr>
        <w:t>.</w:t>
      </w:r>
      <w:r w:rsidRPr="00E103B9">
        <w:rPr>
          <w:rFonts w:eastAsia="Calibri"/>
          <w:sz w:val="28"/>
          <w:lang w:eastAsia="en-US"/>
        </w:rPr>
        <w:t>, на масло подсолнечное – 12,9 млрд руб</w:t>
      </w:r>
      <w:r w:rsidR="00EF562D" w:rsidRPr="00E103B9">
        <w:rPr>
          <w:rFonts w:eastAsia="Calibri"/>
          <w:sz w:val="28"/>
          <w:lang w:eastAsia="en-US"/>
        </w:rPr>
        <w:t>.</w:t>
      </w:r>
      <w:r w:rsidRPr="00E103B9">
        <w:rPr>
          <w:rFonts w:eastAsia="Calibri"/>
          <w:sz w:val="28"/>
          <w:lang w:eastAsia="en-US"/>
        </w:rPr>
        <w:t>, на подсолнечный шрот – 3,8 млрд руб</w:t>
      </w:r>
      <w:r w:rsidR="00EF562D" w:rsidRPr="00E103B9">
        <w:rPr>
          <w:rFonts w:eastAsia="Calibri"/>
          <w:sz w:val="28"/>
          <w:lang w:eastAsia="en-US"/>
        </w:rPr>
        <w:t>.</w:t>
      </w:r>
      <w:r w:rsidRPr="00E103B9">
        <w:rPr>
          <w:rFonts w:eastAsia="Calibri"/>
          <w:sz w:val="28"/>
          <w:lang w:eastAsia="en-US"/>
        </w:rPr>
        <w:t xml:space="preserve"> Планируется, что общая сумма вывозных таможенных пошлин на аграрную продукцию в 2023 г. составит 236,7 </w:t>
      </w:r>
      <w:proofErr w:type="gramStart"/>
      <w:r w:rsidRPr="00E103B9">
        <w:rPr>
          <w:rFonts w:eastAsia="Calibri"/>
          <w:sz w:val="28"/>
          <w:lang w:eastAsia="en-US"/>
        </w:rPr>
        <w:t>млрд</w:t>
      </w:r>
      <w:proofErr w:type="gramEnd"/>
      <w:r w:rsidRPr="00E103B9">
        <w:rPr>
          <w:rFonts w:eastAsia="Calibri"/>
          <w:sz w:val="28"/>
          <w:lang w:eastAsia="en-US"/>
        </w:rPr>
        <w:t xml:space="preserve"> руб</w:t>
      </w:r>
      <w:r w:rsidR="00EF562D" w:rsidRPr="00E103B9">
        <w:rPr>
          <w:rFonts w:eastAsia="Calibri"/>
          <w:sz w:val="28"/>
          <w:lang w:eastAsia="en-US"/>
        </w:rPr>
        <w:t>.</w:t>
      </w:r>
      <w:r w:rsidRPr="00E103B9">
        <w:rPr>
          <w:rFonts w:eastAsia="Calibri"/>
          <w:sz w:val="28"/>
          <w:lang w:eastAsia="en-US"/>
        </w:rPr>
        <w:t xml:space="preserve"> – почти 70% от расходов на финансирование всей Госпрограммы в 2023 г. В ст. 6 Законопроекта установлено, что «бюджетные ассигнования на 2023 г</w:t>
      </w:r>
      <w:r w:rsidR="00EF562D" w:rsidRPr="00E103B9">
        <w:rPr>
          <w:rFonts w:eastAsia="Calibri"/>
          <w:sz w:val="28"/>
          <w:lang w:eastAsia="en-US"/>
        </w:rPr>
        <w:t xml:space="preserve">. </w:t>
      </w:r>
      <w:r w:rsidRPr="00E103B9">
        <w:rPr>
          <w:rFonts w:eastAsia="Calibri"/>
          <w:sz w:val="28"/>
          <w:lang w:eastAsia="en-US"/>
        </w:rPr>
        <w:t>в объеме до 179,6 млрд руб</w:t>
      </w:r>
      <w:r w:rsidR="00EF562D" w:rsidRPr="00E103B9">
        <w:rPr>
          <w:rFonts w:eastAsia="Calibri"/>
          <w:sz w:val="28"/>
          <w:lang w:eastAsia="en-US"/>
        </w:rPr>
        <w:t>.</w:t>
      </w:r>
      <w:r w:rsidRPr="00E103B9">
        <w:rPr>
          <w:rFonts w:eastAsia="Calibri"/>
          <w:sz w:val="28"/>
          <w:lang w:eastAsia="en-US"/>
        </w:rPr>
        <w:t>, на 2024 г</w:t>
      </w:r>
      <w:r w:rsidR="00EF562D" w:rsidRPr="00E103B9">
        <w:rPr>
          <w:rFonts w:eastAsia="Calibri"/>
          <w:sz w:val="28"/>
          <w:lang w:eastAsia="en-US"/>
        </w:rPr>
        <w:t>.</w:t>
      </w:r>
      <w:r w:rsidRPr="00E103B9">
        <w:rPr>
          <w:rFonts w:eastAsia="Calibri"/>
          <w:sz w:val="28"/>
          <w:lang w:eastAsia="en-US"/>
        </w:rPr>
        <w:t xml:space="preserve"> в объеме до 128,6 млрд руб</w:t>
      </w:r>
      <w:r w:rsidR="00EF562D" w:rsidRPr="00E103B9">
        <w:rPr>
          <w:rFonts w:eastAsia="Calibri"/>
          <w:sz w:val="28"/>
          <w:lang w:eastAsia="en-US"/>
        </w:rPr>
        <w:t>.</w:t>
      </w:r>
      <w:r w:rsidRPr="00E103B9">
        <w:rPr>
          <w:rFonts w:eastAsia="Calibri"/>
          <w:sz w:val="28"/>
          <w:lang w:eastAsia="en-US"/>
        </w:rPr>
        <w:t xml:space="preserve"> и на 2025 г</w:t>
      </w:r>
      <w:r w:rsidR="00EF562D" w:rsidRPr="00E103B9">
        <w:rPr>
          <w:rFonts w:eastAsia="Calibri"/>
          <w:sz w:val="28"/>
          <w:lang w:eastAsia="en-US"/>
        </w:rPr>
        <w:t>.</w:t>
      </w:r>
      <w:r w:rsidRPr="00E103B9">
        <w:rPr>
          <w:rFonts w:eastAsia="Calibri"/>
          <w:sz w:val="28"/>
          <w:lang w:eastAsia="en-US"/>
        </w:rPr>
        <w:t xml:space="preserve"> в объеме до 102,5млрд руб</w:t>
      </w:r>
      <w:r w:rsidR="00EF562D" w:rsidRPr="00E103B9">
        <w:rPr>
          <w:rFonts w:eastAsia="Calibri"/>
          <w:sz w:val="28"/>
          <w:lang w:eastAsia="en-US"/>
        </w:rPr>
        <w:t>.</w:t>
      </w:r>
      <w:r w:rsidRPr="00E103B9">
        <w:rPr>
          <w:rFonts w:eastAsia="Calibri"/>
          <w:sz w:val="28"/>
          <w:lang w:eastAsia="en-US"/>
        </w:rPr>
        <w:t xml:space="preserve"> предоставляются на реализацию мер </w:t>
      </w:r>
      <w:r w:rsidR="00EF562D" w:rsidRPr="00E103B9">
        <w:rPr>
          <w:rFonts w:eastAsia="Calibri"/>
          <w:sz w:val="28"/>
          <w:lang w:eastAsia="en-US"/>
        </w:rPr>
        <w:t xml:space="preserve">ГП </w:t>
      </w:r>
      <w:r w:rsidRPr="00E103B9">
        <w:rPr>
          <w:rFonts w:eastAsia="Calibri"/>
          <w:sz w:val="28"/>
          <w:lang w:eastAsia="en-US"/>
        </w:rPr>
        <w:t xml:space="preserve">развития сельского хозяйства, ГП «Эффективное </w:t>
      </w:r>
      <w:proofErr w:type="gramStart"/>
      <w:r w:rsidRPr="00E103B9">
        <w:rPr>
          <w:rFonts w:eastAsia="Calibri"/>
          <w:sz w:val="28"/>
          <w:lang w:eastAsia="en-US"/>
        </w:rPr>
        <w:t xml:space="preserve">вовлечение в оборот земель сельскохозяйственного назначения и развития мелиоративного комплекса», ГП </w:t>
      </w:r>
      <w:r w:rsidR="00EF562D" w:rsidRPr="00E103B9">
        <w:rPr>
          <w:rFonts w:eastAsia="Calibri"/>
          <w:sz w:val="28"/>
          <w:lang w:eastAsia="en-US"/>
        </w:rPr>
        <w:t>«</w:t>
      </w:r>
      <w:r w:rsidRPr="00E103B9">
        <w:rPr>
          <w:rFonts w:eastAsia="Calibri"/>
          <w:sz w:val="28"/>
          <w:lang w:eastAsia="en-US"/>
        </w:rPr>
        <w:t>Комплексное развитие сельских территорий</w:t>
      </w:r>
      <w:r w:rsidR="00EF562D" w:rsidRPr="00E103B9">
        <w:rPr>
          <w:rFonts w:eastAsia="Calibri"/>
          <w:sz w:val="28"/>
          <w:lang w:eastAsia="en-US"/>
        </w:rPr>
        <w:t>»</w:t>
      </w:r>
      <w:r w:rsidRPr="00E103B9">
        <w:rPr>
          <w:rFonts w:eastAsia="Calibri"/>
          <w:sz w:val="28"/>
          <w:lang w:eastAsia="en-US"/>
        </w:rPr>
        <w:t xml:space="preserve"> и ГП </w:t>
      </w:r>
      <w:r w:rsidR="00EF562D" w:rsidRPr="00E103B9">
        <w:rPr>
          <w:rFonts w:eastAsia="Calibri"/>
          <w:sz w:val="28"/>
          <w:lang w:eastAsia="en-US"/>
        </w:rPr>
        <w:t>«</w:t>
      </w:r>
      <w:r w:rsidRPr="00E103B9">
        <w:rPr>
          <w:rFonts w:eastAsia="Calibri"/>
          <w:sz w:val="28"/>
          <w:lang w:eastAsia="en-US"/>
        </w:rPr>
        <w:t>Научно-технологическое развитие Российской Федерации</w:t>
      </w:r>
      <w:r w:rsidR="00EF562D" w:rsidRPr="00E103B9">
        <w:rPr>
          <w:rFonts w:eastAsia="Calibri"/>
          <w:sz w:val="28"/>
          <w:lang w:eastAsia="en-US"/>
        </w:rPr>
        <w:t>»</w:t>
      </w:r>
      <w:r w:rsidRPr="00E103B9">
        <w:rPr>
          <w:rFonts w:eastAsia="Calibri"/>
          <w:sz w:val="28"/>
          <w:lang w:eastAsia="en-US"/>
        </w:rPr>
        <w:t xml:space="preserve"> в части расходов на сельское хозяйство в случае и в пределах поступления доходов федерального бюджета от уплаты вывозных таможенных пошлин на зерновые культуры, вывозимые из России за пределы государств - участников соглашений о Таможенном союзе».</w:t>
      </w:r>
      <w:proofErr w:type="gramEnd"/>
      <w:r w:rsidRPr="00E103B9">
        <w:rPr>
          <w:rFonts w:eastAsia="Calibri"/>
          <w:sz w:val="28"/>
          <w:lang w:eastAsia="en-US"/>
        </w:rPr>
        <w:t xml:space="preserve"> Таким образом, фактически от состояния зерновой отрасли и возможности экспорта зерна поставлено в зависимость финансирование всего сельского хозяйства. Роль экспорта зерновых и масличных как источника поступлений доходов становится ключевой, поскольку он выведен из-под западных санкций, однако сопутствующие барьеры, накладываемые на страхование, фрахт, заход судов в иностранные порты, сильно затрудняют его. Если не удастся преодолеть эти барьеры, производители </w:t>
      </w:r>
      <w:proofErr w:type="gramStart"/>
      <w:r w:rsidRPr="00E103B9">
        <w:rPr>
          <w:rFonts w:eastAsia="Calibri"/>
          <w:sz w:val="28"/>
          <w:lang w:eastAsia="en-US"/>
        </w:rPr>
        <w:t>столкнуться не только с невозможностью экспортировать</w:t>
      </w:r>
      <w:proofErr w:type="gramEnd"/>
      <w:r w:rsidRPr="00E103B9">
        <w:rPr>
          <w:rFonts w:eastAsia="Calibri"/>
          <w:sz w:val="28"/>
          <w:lang w:eastAsia="en-US"/>
        </w:rPr>
        <w:t xml:space="preserve"> зерно, но и с внутренним затовариванием, наблюдаемым уже в настоящее время.</w:t>
      </w:r>
    </w:p>
    <w:p w14:paraId="0AE6EDDC" w14:textId="4A308038" w:rsidR="00CC5D86" w:rsidRPr="00E103B9" w:rsidRDefault="00CC5D86" w:rsidP="00AA0954">
      <w:pPr>
        <w:spacing w:after="60"/>
        <w:ind w:firstLine="709"/>
        <w:contextualSpacing/>
        <w:jc w:val="both"/>
        <w:rPr>
          <w:rFonts w:eastAsia="Calibri"/>
          <w:sz w:val="28"/>
          <w:lang w:eastAsia="en-US"/>
        </w:rPr>
      </w:pPr>
      <w:r w:rsidRPr="00E103B9">
        <w:rPr>
          <w:rFonts w:eastAsia="Calibri"/>
          <w:sz w:val="28"/>
          <w:lang w:eastAsia="en-US"/>
        </w:rPr>
        <w:t xml:space="preserve">Сокращение числа производителей из-за мобилизации работников малых </w:t>
      </w:r>
      <w:proofErr w:type="spellStart"/>
      <w:r w:rsidRPr="00E103B9">
        <w:rPr>
          <w:rFonts w:eastAsia="Calibri"/>
          <w:sz w:val="28"/>
          <w:lang w:eastAsia="en-US"/>
        </w:rPr>
        <w:t>сельхозорганизаций</w:t>
      </w:r>
      <w:proofErr w:type="spellEnd"/>
      <w:r w:rsidRPr="00E103B9">
        <w:rPr>
          <w:rFonts w:eastAsia="Calibri"/>
          <w:sz w:val="28"/>
          <w:lang w:eastAsia="en-US"/>
        </w:rPr>
        <w:t xml:space="preserve"> и </w:t>
      </w:r>
      <w:r w:rsidR="00817132" w:rsidRPr="00E103B9">
        <w:rPr>
          <w:rFonts w:eastAsia="Calibri"/>
          <w:sz w:val="28"/>
          <w:lang w:eastAsia="en-US"/>
        </w:rPr>
        <w:t xml:space="preserve">крестьянских (фермерских) </w:t>
      </w:r>
      <w:r w:rsidR="00B06AC9" w:rsidRPr="00E103B9">
        <w:rPr>
          <w:rFonts w:eastAsia="Calibri"/>
          <w:sz w:val="28"/>
          <w:lang w:eastAsia="en-US"/>
        </w:rPr>
        <w:t>хозяйств</w:t>
      </w:r>
      <w:r w:rsidR="00817132" w:rsidRPr="00E103B9">
        <w:rPr>
          <w:rFonts w:eastAsia="Calibri"/>
          <w:sz w:val="28"/>
          <w:lang w:eastAsia="en-US"/>
        </w:rPr>
        <w:t xml:space="preserve"> </w:t>
      </w:r>
      <w:r w:rsidRPr="00E103B9">
        <w:rPr>
          <w:rFonts w:eastAsia="Calibri"/>
          <w:sz w:val="28"/>
          <w:lang w:eastAsia="en-US"/>
        </w:rPr>
        <w:t xml:space="preserve">также несет определенный риск </w:t>
      </w:r>
      <w:proofErr w:type="spellStart"/>
      <w:r w:rsidRPr="00E103B9">
        <w:rPr>
          <w:rFonts w:eastAsia="Calibri"/>
          <w:sz w:val="28"/>
          <w:lang w:eastAsia="en-US"/>
        </w:rPr>
        <w:t>недополучения</w:t>
      </w:r>
      <w:proofErr w:type="spellEnd"/>
      <w:r w:rsidRPr="00E103B9">
        <w:rPr>
          <w:rFonts w:eastAsia="Calibri"/>
          <w:sz w:val="28"/>
          <w:lang w:eastAsia="en-US"/>
        </w:rPr>
        <w:t xml:space="preserve"> запланированных доходов от пошлин. На наш взгляд, для обеспечения устойчивости сельского хозяйства не целесообразно </w:t>
      </w:r>
      <w:r w:rsidRPr="00E103B9">
        <w:rPr>
          <w:rFonts w:eastAsia="Calibri"/>
          <w:sz w:val="28"/>
          <w:lang w:eastAsia="en-US"/>
        </w:rPr>
        <w:lastRenderedPageBreak/>
        <w:t>ставить финансирование сельского хозяйства в прямую зависимость от поступления экспортных пошлин от зерновых, т.к. возможность экспорта зависит сейчас не только и не столько от сельхозпроизводителей. Предлагается вернуться к традиционному способу формирования бюджета, когда финансирование госпрограмм из федерального бюджета не привязывается к конкретному источнику финансирования.</w:t>
      </w:r>
    </w:p>
    <w:p w14:paraId="583FD82D" w14:textId="71AC1527" w:rsidR="00CC5D86" w:rsidRPr="00E103B9" w:rsidRDefault="00CC5D86" w:rsidP="00AA0954">
      <w:pPr>
        <w:spacing w:before="120" w:after="120"/>
        <w:ind w:firstLine="709"/>
        <w:jc w:val="both"/>
        <w:rPr>
          <w:rFonts w:eastAsia="Calibri"/>
          <w:b/>
          <w:bCs/>
          <w:sz w:val="28"/>
          <w:lang w:eastAsia="en-US"/>
        </w:rPr>
      </w:pPr>
      <w:bookmarkStart w:id="30" w:name="_Hlk113452006"/>
      <w:r w:rsidRPr="00E103B9">
        <w:rPr>
          <w:rFonts w:eastAsia="Calibri"/>
          <w:b/>
          <w:bCs/>
          <w:sz w:val="28"/>
          <w:lang w:eastAsia="en-US"/>
        </w:rPr>
        <w:t>4. Несогласованность в определении базовой цены на зерно, сверх которой будет взиматься пошлина, и ценой, которая признается низкой и требующей поддержки через товарные интервенции для обеспечения безубыточности производителей зерна</w:t>
      </w:r>
      <w:bookmarkEnd w:id="30"/>
    </w:p>
    <w:p w14:paraId="729C4218" w14:textId="1E3D80BD" w:rsidR="00CC5D86" w:rsidRPr="00E103B9" w:rsidRDefault="00CC5D86" w:rsidP="00AA0954">
      <w:pPr>
        <w:spacing w:after="60"/>
        <w:ind w:firstLine="709"/>
        <w:contextualSpacing/>
        <w:jc w:val="both"/>
        <w:rPr>
          <w:rFonts w:eastAsia="Calibri"/>
          <w:sz w:val="28"/>
          <w:lang w:eastAsia="en-US"/>
        </w:rPr>
      </w:pPr>
      <w:r w:rsidRPr="00E103B9">
        <w:rPr>
          <w:rFonts w:eastAsia="Calibri"/>
          <w:sz w:val="28"/>
          <w:lang w:eastAsia="en-US"/>
        </w:rPr>
        <w:t>В настоящее время действует базовая цена в размере 15 тыс. руб., с которой начинают исчисляться пошлины (Постановление Правительства РФ № 1179 от 30.06.2022</w:t>
      </w:r>
      <w:r w:rsidR="00EF562D" w:rsidRPr="00E103B9">
        <w:rPr>
          <w:rFonts w:eastAsia="Calibri"/>
          <w:sz w:val="28"/>
          <w:lang w:eastAsia="en-US"/>
        </w:rPr>
        <w:t xml:space="preserve"> </w:t>
      </w:r>
      <w:r w:rsidRPr="00E103B9">
        <w:rPr>
          <w:rFonts w:eastAsia="Calibri"/>
          <w:sz w:val="28"/>
          <w:lang w:eastAsia="en-US"/>
        </w:rPr>
        <w:t xml:space="preserve">г.). Тем самым признается, что сумма в 15 тыс. руб. является достаточной для покрытия издержек </w:t>
      </w:r>
      <w:proofErr w:type="spellStart"/>
      <w:r w:rsidRPr="00E103B9">
        <w:rPr>
          <w:rFonts w:eastAsia="Calibri"/>
          <w:sz w:val="28"/>
          <w:lang w:eastAsia="en-US"/>
        </w:rPr>
        <w:t>зернопроизводителей</w:t>
      </w:r>
      <w:proofErr w:type="spellEnd"/>
      <w:r w:rsidRPr="00E103B9">
        <w:rPr>
          <w:rFonts w:eastAsia="Calibri"/>
          <w:sz w:val="28"/>
          <w:lang w:eastAsia="en-US"/>
        </w:rPr>
        <w:t xml:space="preserve">, гарантируя им минимально допустимую прибыль. В то же время приказом Минсельхоза России на 2022-2023 гг. установлена минимальная цена на пшеницу мягкую 3-класса в сумме 15 840 руб. за тонну (с НДС). Тем самым фактически признается, что 15,8 тыс. руб. является критическим уровнем, </w:t>
      </w:r>
      <w:proofErr w:type="gramStart"/>
      <w:r w:rsidRPr="00E103B9">
        <w:rPr>
          <w:rFonts w:eastAsia="Calibri"/>
          <w:sz w:val="28"/>
          <w:lang w:eastAsia="en-US"/>
        </w:rPr>
        <w:t>требующем</w:t>
      </w:r>
      <w:proofErr w:type="gramEnd"/>
      <w:r w:rsidRPr="00E103B9">
        <w:rPr>
          <w:rFonts w:eastAsia="Calibri"/>
          <w:sz w:val="28"/>
          <w:lang w:eastAsia="en-US"/>
        </w:rPr>
        <w:t xml:space="preserve"> поддержки цены за счет интервенционных закупок государства. В этой связи представляется обоснованным </w:t>
      </w:r>
      <w:proofErr w:type="spellStart"/>
      <w:r w:rsidRPr="00E103B9">
        <w:rPr>
          <w:rFonts w:eastAsia="Calibri"/>
          <w:sz w:val="28"/>
          <w:lang w:eastAsia="en-US"/>
        </w:rPr>
        <w:t>взаимоувязать</w:t>
      </w:r>
      <w:proofErr w:type="spellEnd"/>
      <w:r w:rsidRPr="00E103B9">
        <w:rPr>
          <w:rFonts w:eastAsia="Calibri"/>
          <w:sz w:val="28"/>
          <w:lang w:eastAsia="en-US"/>
        </w:rPr>
        <w:t xml:space="preserve"> (уравнять) базовую цену, от которой начинает действие пошлина, и цену интервенций на одном из указанных уровней.</w:t>
      </w:r>
    </w:p>
    <w:p w14:paraId="6FA0771F" w14:textId="38808384" w:rsidR="00CC5D86" w:rsidRPr="00E103B9" w:rsidRDefault="00CC5D86" w:rsidP="00AA0954">
      <w:pPr>
        <w:spacing w:before="120" w:after="120"/>
        <w:ind w:firstLine="709"/>
        <w:jc w:val="both"/>
        <w:rPr>
          <w:rFonts w:eastAsia="Calibri"/>
          <w:b/>
          <w:bCs/>
          <w:sz w:val="28"/>
          <w:lang w:eastAsia="en-US"/>
        </w:rPr>
      </w:pPr>
      <w:r w:rsidRPr="00E103B9">
        <w:rPr>
          <w:rFonts w:eastAsia="Calibri"/>
          <w:b/>
          <w:bCs/>
          <w:sz w:val="28"/>
          <w:lang w:eastAsia="en-US"/>
        </w:rPr>
        <w:t>5. Несовершенный механизм формирования бюджета для проведения закупочных зерновых интервенций</w:t>
      </w:r>
    </w:p>
    <w:p w14:paraId="7168AECF" w14:textId="57B4637B" w:rsidR="00CC5D86" w:rsidRPr="00E103B9" w:rsidRDefault="00CC5D86" w:rsidP="00AA0954">
      <w:pPr>
        <w:spacing w:after="60"/>
        <w:ind w:firstLine="709"/>
        <w:contextualSpacing/>
        <w:jc w:val="both"/>
        <w:rPr>
          <w:rFonts w:eastAsia="Calibri"/>
          <w:sz w:val="28"/>
          <w:lang w:eastAsia="en-US"/>
        </w:rPr>
      </w:pPr>
      <w:r w:rsidRPr="00E103B9">
        <w:rPr>
          <w:rFonts w:eastAsia="Calibri"/>
          <w:sz w:val="28"/>
          <w:lang w:eastAsia="en-US"/>
        </w:rPr>
        <w:t>Ежегодные платежи для оказания закупочных интервенций на рынке зерна традиционно предусматриваются в бюджете. Потребность в них возникает только в отдельные годы (при неблагоприятной конъюнктуре). При этом ежегодная сумма, предусмотренная в федеральном бюджете, как правило, оказывается либо невостребованной, либо недостаточной для интервенций. Несмотря на это, отсутствует возможность накапливать ежегодные отчисления с тем, чтобы можно их было использовать при необходимости сверх суммы, предусмотренной в бюджете текущего года.  Таким образом, представляется целесообразным перейти к формированию Фонда зерновых интервенций, в котором будут аккумулироваться ежегодные платежи для осуществления зерновых интервенций. Этот шаг можно рассматривать в качестве промежуточного на пути к созданию системы страхования доходов сельхозпроизводителей.</w:t>
      </w:r>
    </w:p>
    <w:p w14:paraId="58071EED" w14:textId="354222EA" w:rsidR="00CC5D86" w:rsidRPr="00E103B9" w:rsidRDefault="00CC5D86" w:rsidP="00AA0954">
      <w:pPr>
        <w:spacing w:before="120" w:after="120"/>
        <w:ind w:firstLine="709"/>
        <w:jc w:val="both"/>
        <w:rPr>
          <w:rFonts w:eastAsia="Calibri"/>
          <w:sz w:val="28"/>
          <w:lang w:eastAsia="en-US"/>
        </w:rPr>
      </w:pPr>
      <w:r w:rsidRPr="00E103B9">
        <w:rPr>
          <w:rFonts w:eastAsia="Calibri"/>
          <w:b/>
          <w:bCs/>
          <w:sz w:val="28"/>
          <w:lang w:eastAsia="en-US"/>
        </w:rPr>
        <w:t>6. Необходимость пересмотра механизма товарно-закупочных интервенций для увеличения поступлений сре</w:t>
      </w:r>
      <w:proofErr w:type="gramStart"/>
      <w:r w:rsidRPr="00E103B9">
        <w:rPr>
          <w:rFonts w:eastAsia="Calibri"/>
          <w:b/>
          <w:bCs/>
          <w:sz w:val="28"/>
          <w:lang w:eastAsia="en-US"/>
        </w:rPr>
        <w:t>дств в ф</w:t>
      </w:r>
      <w:proofErr w:type="gramEnd"/>
      <w:r w:rsidRPr="00E103B9">
        <w:rPr>
          <w:rFonts w:eastAsia="Calibri"/>
          <w:b/>
          <w:bCs/>
          <w:sz w:val="28"/>
          <w:lang w:eastAsia="en-US"/>
        </w:rPr>
        <w:t>едеральный бюджет</w:t>
      </w:r>
    </w:p>
    <w:p w14:paraId="243A6150" w14:textId="230A3AF1" w:rsidR="00CC5D86" w:rsidRPr="00E103B9" w:rsidRDefault="00CC5D86" w:rsidP="000B02DC">
      <w:pPr>
        <w:spacing w:after="60"/>
        <w:ind w:firstLine="709"/>
        <w:contextualSpacing/>
        <w:jc w:val="both"/>
        <w:rPr>
          <w:rFonts w:eastAsia="Calibri"/>
          <w:sz w:val="28"/>
          <w:lang w:eastAsia="en-US"/>
        </w:rPr>
      </w:pPr>
      <w:r w:rsidRPr="00E103B9">
        <w:rPr>
          <w:rFonts w:eastAsia="Calibri"/>
          <w:sz w:val="28"/>
          <w:lang w:eastAsia="en-US"/>
        </w:rPr>
        <w:t xml:space="preserve">При росте рыночных цен на зерно сверх устанавливаемого ежегодно максимального уровня Минсельхоз России проводит товарные интервенции, </w:t>
      </w:r>
      <w:proofErr w:type="gramStart"/>
      <w:r w:rsidRPr="00E103B9">
        <w:rPr>
          <w:rFonts w:eastAsia="Calibri"/>
          <w:sz w:val="28"/>
          <w:lang w:eastAsia="en-US"/>
        </w:rPr>
        <w:t>т.е. продажу</w:t>
      </w:r>
      <w:proofErr w:type="gramEnd"/>
      <w:r w:rsidRPr="00E103B9">
        <w:rPr>
          <w:rFonts w:eastAsia="Calibri"/>
          <w:sz w:val="28"/>
          <w:lang w:eastAsia="en-US"/>
        </w:rPr>
        <w:t xml:space="preserve"> зерна из интервенционного фонда. Реализация по максимальным ценам зерна, закупленного в интервенционный фонд по минимальным ценам, делает возможными дополнительные поступления в бюджет. На деле за прошедшие годы федеральный бюджет не получал данных средств, а, напротив, доплачивал Агенту </w:t>
      </w:r>
      <w:r w:rsidRPr="00E103B9">
        <w:rPr>
          <w:rFonts w:eastAsia="Calibri"/>
          <w:sz w:val="28"/>
          <w:lang w:eastAsia="en-US"/>
        </w:rPr>
        <w:lastRenderedPageBreak/>
        <w:t xml:space="preserve">(ПАО ОЗК-Зерно) за хранение зерна в интервенционном фонде. </w:t>
      </w:r>
      <w:proofErr w:type="gramStart"/>
      <w:r w:rsidRPr="00E103B9">
        <w:rPr>
          <w:rFonts w:eastAsia="Calibri"/>
          <w:sz w:val="28"/>
          <w:lang w:eastAsia="en-US"/>
        </w:rPr>
        <w:t xml:space="preserve">Установленные Правительством РФ правила реализации зерна из интервенционного фонда содержат дестабилизирующие рынок зерна меры: в частности, продажу зерна по решениям Правительства </w:t>
      </w:r>
      <w:r w:rsidR="00EF562D" w:rsidRPr="00E103B9">
        <w:rPr>
          <w:rFonts w:eastAsia="Calibri"/>
          <w:sz w:val="28"/>
          <w:lang w:eastAsia="en-US"/>
        </w:rPr>
        <w:t xml:space="preserve">РФ </w:t>
      </w:r>
      <w:r w:rsidRPr="00E103B9">
        <w:rPr>
          <w:rFonts w:eastAsia="Calibri"/>
          <w:sz w:val="28"/>
          <w:lang w:eastAsia="en-US"/>
        </w:rPr>
        <w:t>по ценам ниже рыночных, длительное хранение зерна в интервенционном фонде с последующей продажей его по минимальным ценам закупки (например, закупленное в 2008 г. в интервенционный фонд зерно продавалось в 2016 г. по минимальным ценам закупки) и другие.</w:t>
      </w:r>
      <w:proofErr w:type="gramEnd"/>
      <w:r w:rsidRPr="00E103B9">
        <w:rPr>
          <w:rFonts w:eastAsia="Calibri"/>
          <w:sz w:val="28"/>
          <w:lang w:eastAsia="en-US"/>
        </w:rPr>
        <w:t xml:space="preserve"> В этой связи требуют обсуждения как новая концепция осуществления товарных интервенций в узком смысле (как проводить товарные интервенции, чтобы получать доход в бюджет), так и функционирование самого механизма закупочных и товарных интервенций в широком смысле.</w:t>
      </w:r>
    </w:p>
    <w:p w14:paraId="0173B66A" w14:textId="77777777" w:rsidR="004800BF" w:rsidRPr="00E103B9" w:rsidRDefault="004800BF" w:rsidP="00DE7F52">
      <w:pPr>
        <w:keepNext/>
        <w:spacing w:before="240" w:after="60"/>
        <w:jc w:val="center"/>
        <w:outlineLvl w:val="2"/>
        <w:rPr>
          <w:b/>
          <w:sz w:val="28"/>
          <w:szCs w:val="20"/>
        </w:rPr>
      </w:pPr>
      <w:bookmarkStart w:id="31" w:name="_Toc116593941"/>
      <w:r w:rsidRPr="00E103B9">
        <w:rPr>
          <w:b/>
          <w:sz w:val="28"/>
          <w:szCs w:val="20"/>
        </w:rPr>
        <w:t>Расходы на образование</w:t>
      </w:r>
      <w:bookmarkEnd w:id="31"/>
    </w:p>
    <w:p w14:paraId="10C154CE" w14:textId="77777777" w:rsidR="00B05689" w:rsidRPr="00E103B9" w:rsidRDefault="00B05689" w:rsidP="00C572ED">
      <w:pPr>
        <w:spacing w:after="60"/>
        <w:ind w:firstLine="709"/>
        <w:jc w:val="both"/>
        <w:rPr>
          <w:b/>
          <w:bCs/>
          <w:i/>
          <w:color w:val="000000"/>
          <w:sz w:val="28"/>
        </w:rPr>
      </w:pPr>
      <w:bookmarkStart w:id="32" w:name="_Toc526951469"/>
      <w:r w:rsidRPr="00E103B9">
        <w:rPr>
          <w:b/>
          <w:bCs/>
          <w:i/>
          <w:color w:val="000000"/>
          <w:sz w:val="28"/>
        </w:rPr>
        <w:t>Общие тенденции</w:t>
      </w:r>
    </w:p>
    <w:p w14:paraId="63DF29CB" w14:textId="353CB6BF" w:rsidR="00B05689" w:rsidRPr="00E103B9" w:rsidRDefault="00B05689" w:rsidP="00C572ED">
      <w:pPr>
        <w:spacing w:after="60"/>
        <w:ind w:firstLine="709"/>
        <w:jc w:val="both"/>
        <w:rPr>
          <w:iCs/>
          <w:color w:val="000000"/>
          <w:sz w:val="28"/>
        </w:rPr>
      </w:pPr>
      <w:proofErr w:type="gramStart"/>
      <w:r w:rsidRPr="00E103B9">
        <w:rPr>
          <w:iCs/>
          <w:color w:val="000000"/>
          <w:sz w:val="28"/>
        </w:rPr>
        <w:t>Большая часть расходов на образование традиционно приходится на субъекты Российской Федерации: согласно запланированным на 2022 г. расходам на образование, доля консолидированного бюджета субъектов РФ на образование должна составить порядка 77%. В 2023 г. в связи со складывающейся социально-экономической ситуацией можно ожидать определенных сложностей в исполнении региональных бюджетов, что в свою очередь способно негативно повлиять на бюджетное финансирование региональных и муниципальных</w:t>
      </w:r>
      <w:proofErr w:type="gramEnd"/>
      <w:r w:rsidRPr="00E103B9">
        <w:rPr>
          <w:iCs/>
          <w:color w:val="000000"/>
          <w:sz w:val="28"/>
        </w:rPr>
        <w:t xml:space="preserve"> систем образования. Соответственно, расходы федерального бюджета на образование должны были бы учитывать данную проблему и смягчать ее за счет </w:t>
      </w:r>
      <w:r w:rsidR="00F1192B" w:rsidRPr="00E103B9">
        <w:rPr>
          <w:iCs/>
          <w:color w:val="000000"/>
          <w:sz w:val="28"/>
        </w:rPr>
        <w:t>ГП</w:t>
      </w:r>
      <w:r w:rsidRPr="00E103B9">
        <w:rPr>
          <w:iCs/>
          <w:color w:val="000000"/>
          <w:sz w:val="28"/>
        </w:rPr>
        <w:t xml:space="preserve"> «Развитие образования» и </w:t>
      </w:r>
      <w:r w:rsidR="00F1192B" w:rsidRPr="00E103B9">
        <w:rPr>
          <w:iCs/>
          <w:color w:val="000000"/>
          <w:sz w:val="28"/>
        </w:rPr>
        <w:t>НП</w:t>
      </w:r>
      <w:r w:rsidRPr="00E103B9">
        <w:rPr>
          <w:iCs/>
          <w:color w:val="000000"/>
          <w:sz w:val="28"/>
        </w:rPr>
        <w:t xml:space="preserve"> «Образование». Вместе с тем по большинству позиций указанных стратегических документов происходит снижение бюджетных расходов (подробнее ниже в настоящем разделе), что может негативно повлиять на качество общего и среднего профессионального образования в субъектах РФ.</w:t>
      </w:r>
    </w:p>
    <w:p w14:paraId="03532B1D" w14:textId="77777777" w:rsidR="00B05689" w:rsidRPr="00E103B9" w:rsidRDefault="00B05689" w:rsidP="00C572ED">
      <w:pPr>
        <w:spacing w:after="60"/>
        <w:ind w:firstLine="709"/>
        <w:jc w:val="both"/>
        <w:rPr>
          <w:iCs/>
          <w:color w:val="000000"/>
          <w:sz w:val="28"/>
        </w:rPr>
      </w:pPr>
      <w:r w:rsidRPr="00E103B9">
        <w:rPr>
          <w:iCs/>
          <w:color w:val="000000"/>
          <w:sz w:val="28"/>
        </w:rPr>
        <w:t xml:space="preserve">Бюджетные расходы на высшее образование, напротив, практически полностью финансируются из федерального бюджета: в 2022 г. они должны были покрыть 96,3% расходов на эту цель. При этом необходимо учитывать, что в Российской Федерации доходы высших учебных заведений складываются из множества источников. </w:t>
      </w:r>
      <w:proofErr w:type="gramStart"/>
      <w:r w:rsidRPr="00E103B9">
        <w:rPr>
          <w:iCs/>
          <w:color w:val="000000"/>
          <w:sz w:val="28"/>
        </w:rPr>
        <w:t>В частности, удельный вес поступлений из федерального бюджета в общих доходах государственных высших учебных заведений составил в 2021 г. 56,4%, в свою очередь на долю населения приходилось 21,7% совокупных доходов ВУЗов и на долю организаций – 12,6%. В 2023 г. можно ожидать, с одной стороны, падения платежеспособного спроса на высшее образование как со стороны населения в силу сокращения доходов домохозяйств, так</w:t>
      </w:r>
      <w:proofErr w:type="gramEnd"/>
      <w:r w:rsidRPr="00E103B9">
        <w:rPr>
          <w:iCs/>
          <w:color w:val="000000"/>
          <w:sz w:val="28"/>
        </w:rPr>
        <w:t xml:space="preserve"> и со стороны организаций, что обусловлено вынужденной структурной трансформацией российской экономики. Данное обстоятельство актуализирует вопрос замещения внебюджетных доходов высших учебных заведений расходами федерального бюджета для обеспечения устойчивости системы высшего образования в изменяющейся внешней среде. С другой стороны, продолжение специальной военной операции и возможных последующих мобилизаций способны привести к росту поступлений выпускников школ в высшие учебные заведения (в последние </w:t>
      </w:r>
      <w:r w:rsidRPr="00E103B9">
        <w:rPr>
          <w:iCs/>
          <w:color w:val="000000"/>
          <w:sz w:val="28"/>
        </w:rPr>
        <w:lastRenderedPageBreak/>
        <w:t xml:space="preserve">годы нацеленность молодежи на высшее образование снижалась в противовес росту спроса на среднее профессиональное образование) для получения отсрочки от мобилизации. Кроме того, этот процесс может привести к сокращению спроса на программы среднего профессионального образования выпускников 9-го класса и увеличения их перехода в 10-й класс, что потенциально должно увеличить расходы региональных и муниципальных бюджетов на образование и, в случае дефицита указанных бюджетов, потребуется увеличение трансфертов (субсидий) со стороны Федерации. </w:t>
      </w:r>
    </w:p>
    <w:p w14:paraId="10689FE3" w14:textId="4084AB23" w:rsidR="00B05689" w:rsidRPr="00E103B9" w:rsidRDefault="00B05689" w:rsidP="00B30599">
      <w:pPr>
        <w:spacing w:after="60"/>
        <w:ind w:firstLine="709"/>
        <w:jc w:val="both"/>
        <w:rPr>
          <w:iCs/>
          <w:color w:val="000000"/>
          <w:sz w:val="28"/>
        </w:rPr>
      </w:pPr>
      <w:r w:rsidRPr="00E103B9">
        <w:rPr>
          <w:iCs/>
          <w:color w:val="000000"/>
          <w:sz w:val="28"/>
        </w:rPr>
        <w:t xml:space="preserve">Еще одной проблемой, обусловленной структурной трансформацией экономики, становится необходимость масштабной переподготовки работников с присвоением новой квалификации во многих отраслях российской экономики, что также потребует дополнительных расходов федерального бюджета, поскольку расходы частных организаций на эти цели будут продолжать снижаться (они уже сокращаются в 2022 г.). </w:t>
      </w:r>
    </w:p>
    <w:p w14:paraId="18CA88F4" w14:textId="77777777" w:rsidR="00B05689" w:rsidRPr="00E103B9" w:rsidRDefault="00B05689" w:rsidP="00C572ED">
      <w:pPr>
        <w:spacing w:after="60"/>
        <w:ind w:firstLine="709"/>
        <w:jc w:val="both"/>
        <w:rPr>
          <w:b/>
          <w:bCs/>
          <w:i/>
          <w:color w:val="000000"/>
          <w:sz w:val="28"/>
        </w:rPr>
      </w:pPr>
      <w:r w:rsidRPr="00E103B9">
        <w:rPr>
          <w:b/>
          <w:bCs/>
          <w:i/>
          <w:color w:val="000000"/>
          <w:sz w:val="28"/>
        </w:rPr>
        <w:t xml:space="preserve">Дошкольное образование </w:t>
      </w:r>
    </w:p>
    <w:p w14:paraId="2CF4C90A" w14:textId="753B9E31" w:rsidR="00B05689" w:rsidRPr="00E103B9" w:rsidRDefault="00B05689" w:rsidP="00C572ED">
      <w:pPr>
        <w:spacing w:after="60"/>
        <w:ind w:firstLine="709"/>
        <w:jc w:val="both"/>
        <w:rPr>
          <w:color w:val="000000"/>
          <w:sz w:val="28"/>
        </w:rPr>
      </w:pPr>
      <w:r w:rsidRPr="00E103B9">
        <w:rPr>
          <w:color w:val="000000"/>
          <w:sz w:val="28"/>
        </w:rPr>
        <w:t xml:space="preserve">Законопроектом предусмотрено ежегодное сокращение расходов федерального бюджета по подразделу «Дошкольное образование» с 2023 по 2025 </w:t>
      </w:r>
      <w:r w:rsidR="00F1192B" w:rsidRPr="00E103B9">
        <w:rPr>
          <w:color w:val="000000"/>
          <w:sz w:val="28"/>
        </w:rPr>
        <w:t>гг.</w:t>
      </w:r>
      <w:r w:rsidRPr="00E103B9">
        <w:rPr>
          <w:color w:val="000000"/>
          <w:sz w:val="28"/>
        </w:rPr>
        <w:t>, что согласуется с тенденцией сокращения численности детей дошкольного возраста.</w:t>
      </w:r>
    </w:p>
    <w:p w14:paraId="45D15AA7" w14:textId="0B30BD38" w:rsidR="00B05689" w:rsidRPr="00E103B9" w:rsidRDefault="00B05689" w:rsidP="00C572ED">
      <w:pPr>
        <w:spacing w:after="60"/>
        <w:ind w:firstLine="709"/>
        <w:jc w:val="both"/>
        <w:rPr>
          <w:color w:val="000000"/>
          <w:sz w:val="28"/>
        </w:rPr>
      </w:pPr>
      <w:r w:rsidRPr="00E103B9">
        <w:rPr>
          <w:color w:val="000000"/>
          <w:sz w:val="28"/>
        </w:rPr>
        <w:t xml:space="preserve">Паспортом </w:t>
      </w:r>
      <w:r w:rsidR="00F1192B" w:rsidRPr="00E103B9">
        <w:rPr>
          <w:color w:val="000000"/>
          <w:sz w:val="28"/>
        </w:rPr>
        <w:t xml:space="preserve">ГП </w:t>
      </w:r>
      <w:r w:rsidRPr="00E103B9">
        <w:rPr>
          <w:color w:val="000000"/>
          <w:sz w:val="28"/>
        </w:rPr>
        <w:t>«Развитие образования» предусмотрено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14:paraId="0B8F803A" w14:textId="378B7772" w:rsidR="00B05689" w:rsidRPr="00E103B9" w:rsidRDefault="00B05689" w:rsidP="00C572ED">
      <w:pPr>
        <w:spacing w:after="60"/>
        <w:ind w:firstLine="709"/>
        <w:jc w:val="both"/>
        <w:rPr>
          <w:color w:val="000000"/>
          <w:sz w:val="28"/>
        </w:rPr>
      </w:pPr>
      <w:r w:rsidRPr="00E103B9">
        <w:rPr>
          <w:color w:val="000000"/>
          <w:sz w:val="28"/>
        </w:rPr>
        <w:t xml:space="preserve">Согласно данным </w:t>
      </w:r>
      <w:proofErr w:type="spellStart"/>
      <w:r w:rsidRPr="00E103B9">
        <w:rPr>
          <w:color w:val="000000"/>
          <w:sz w:val="28"/>
        </w:rPr>
        <w:t>Минпросвещения</w:t>
      </w:r>
      <w:proofErr w:type="spellEnd"/>
      <w:r w:rsidRPr="00E103B9">
        <w:rPr>
          <w:color w:val="000000"/>
          <w:sz w:val="28"/>
        </w:rPr>
        <w:t xml:space="preserve"> России, доступность дошкольного образования для детей в возрасте от полутора до трех лет в Российской Федерации по итогам 2021 г</w:t>
      </w:r>
      <w:r w:rsidR="00F1192B" w:rsidRPr="00E103B9">
        <w:rPr>
          <w:color w:val="000000"/>
          <w:sz w:val="28"/>
        </w:rPr>
        <w:t>.</w:t>
      </w:r>
      <w:r w:rsidRPr="00E103B9">
        <w:rPr>
          <w:color w:val="000000"/>
          <w:sz w:val="28"/>
        </w:rPr>
        <w:t xml:space="preserve"> составила 96,3%, по состоянию на 1 сентября 2022 г</w:t>
      </w:r>
      <w:r w:rsidR="00F1192B" w:rsidRPr="00E103B9">
        <w:rPr>
          <w:color w:val="000000"/>
          <w:sz w:val="28"/>
        </w:rPr>
        <w:t>.</w:t>
      </w:r>
      <w:r w:rsidRPr="00E103B9">
        <w:rPr>
          <w:color w:val="000000"/>
          <w:sz w:val="28"/>
        </w:rPr>
        <w:t xml:space="preserve"> – 95,3%. Показатель доступности был ниже среднероссийского уровня в 24 субъектах </w:t>
      </w:r>
      <w:r w:rsidR="00F1192B" w:rsidRPr="00E103B9">
        <w:rPr>
          <w:color w:val="000000"/>
          <w:sz w:val="28"/>
        </w:rPr>
        <w:t>РФ</w:t>
      </w:r>
      <w:r w:rsidRPr="00E103B9">
        <w:rPr>
          <w:color w:val="000000"/>
          <w:sz w:val="28"/>
        </w:rPr>
        <w:t>. В 2021 г</w:t>
      </w:r>
      <w:r w:rsidR="00F1192B" w:rsidRPr="00E103B9">
        <w:rPr>
          <w:color w:val="000000"/>
          <w:sz w:val="28"/>
        </w:rPr>
        <w:t>.</w:t>
      </w:r>
      <w:r w:rsidRPr="00E103B9">
        <w:rPr>
          <w:color w:val="000000"/>
          <w:sz w:val="28"/>
        </w:rPr>
        <w:t xml:space="preserve"> охват детей от одного года до трех лет дошкольным образованием составил 37,4%. Показатель охвата оценен по данным Росстата исходя из соотношения числа воспитанников дошкольных организаций и общей численности детей соответствующего возраста.</w:t>
      </w:r>
    </w:p>
    <w:p w14:paraId="1B36F675" w14:textId="5D8C9B2D" w:rsidR="00B05689" w:rsidRPr="00E103B9" w:rsidRDefault="00B05689" w:rsidP="00C572ED">
      <w:pPr>
        <w:spacing w:after="60"/>
        <w:ind w:firstLine="709"/>
        <w:jc w:val="both"/>
        <w:rPr>
          <w:color w:val="000000"/>
          <w:sz w:val="28"/>
        </w:rPr>
      </w:pPr>
      <w:proofErr w:type="gramStart"/>
      <w:r w:rsidRPr="00E103B9">
        <w:rPr>
          <w:color w:val="000000"/>
          <w:sz w:val="28"/>
        </w:rPr>
        <w:t>Для детей в возрасте от трех до семи лет доступность дошкольного образования в Российской Федерации</w:t>
      </w:r>
      <w:proofErr w:type="gramEnd"/>
      <w:r w:rsidRPr="00E103B9">
        <w:rPr>
          <w:color w:val="000000"/>
          <w:sz w:val="28"/>
        </w:rPr>
        <w:t xml:space="preserve"> в 2021 г</w:t>
      </w:r>
      <w:r w:rsidR="00F1192B" w:rsidRPr="00E103B9">
        <w:rPr>
          <w:color w:val="000000"/>
          <w:sz w:val="28"/>
        </w:rPr>
        <w:t>.</w:t>
      </w:r>
      <w:r w:rsidRPr="00E103B9">
        <w:rPr>
          <w:color w:val="000000"/>
          <w:sz w:val="28"/>
        </w:rPr>
        <w:t xml:space="preserve"> составила 99,6%. Показатель ниже среднероссийского уровня отмечен в 5-ти субъектах </w:t>
      </w:r>
      <w:r w:rsidR="00F1192B" w:rsidRPr="00E103B9">
        <w:rPr>
          <w:color w:val="000000"/>
          <w:sz w:val="28"/>
        </w:rPr>
        <w:t>РФ</w:t>
      </w:r>
      <w:r w:rsidRPr="00E103B9">
        <w:rPr>
          <w:color w:val="000000"/>
          <w:sz w:val="28"/>
        </w:rPr>
        <w:t>. Охват детей от трех до семи лет дошкольным образованием в 2021 г</w:t>
      </w:r>
      <w:r w:rsidR="00F1192B" w:rsidRPr="00E103B9">
        <w:rPr>
          <w:color w:val="000000"/>
          <w:sz w:val="28"/>
        </w:rPr>
        <w:t>.</w:t>
      </w:r>
      <w:r w:rsidRPr="00E103B9">
        <w:rPr>
          <w:color w:val="000000"/>
          <w:sz w:val="28"/>
        </w:rPr>
        <w:t xml:space="preserve"> составил 85,2%.</w:t>
      </w:r>
    </w:p>
    <w:p w14:paraId="2699A1A0" w14:textId="77777777" w:rsidR="00B05689" w:rsidRPr="00E103B9" w:rsidRDefault="00B05689" w:rsidP="00C572ED">
      <w:pPr>
        <w:spacing w:after="60"/>
        <w:ind w:firstLine="709"/>
        <w:jc w:val="both"/>
        <w:rPr>
          <w:color w:val="000000"/>
          <w:sz w:val="28"/>
        </w:rPr>
      </w:pPr>
      <w:r w:rsidRPr="00E103B9">
        <w:rPr>
          <w:color w:val="000000"/>
          <w:sz w:val="28"/>
        </w:rPr>
        <w:t>Следовательно, охват дошкольным образованием детей от одного года до трех лет более чем в 2 раза ниже, чем для детей от трех до семи лет. Учитывая то, что сложная социально-экономическая ситуация может побудить женщин с детьми к трудоустройству, отсутствие достаточного числа мест в дошкольных организациях может затруднить выход на рынок труда женщин, имеющих детей раннего возраста, что ограничит потенциальные доходы домохозяйств. Незапланированный рост потребности мест в дошкольных организациях также может снизить показатель доступности дошкольного образования.</w:t>
      </w:r>
    </w:p>
    <w:p w14:paraId="6EDA36A9" w14:textId="7629F14D" w:rsidR="00B05689" w:rsidRPr="00E103B9" w:rsidRDefault="00B05689" w:rsidP="00C572ED">
      <w:pPr>
        <w:spacing w:after="60"/>
        <w:ind w:firstLine="709"/>
        <w:jc w:val="both"/>
        <w:rPr>
          <w:color w:val="000000"/>
          <w:sz w:val="28"/>
        </w:rPr>
      </w:pPr>
      <w:r w:rsidRPr="00E103B9">
        <w:rPr>
          <w:color w:val="000000"/>
          <w:sz w:val="28"/>
        </w:rPr>
        <w:lastRenderedPageBreak/>
        <w:t>В 2021 г</w:t>
      </w:r>
      <w:r w:rsidR="00F1192B" w:rsidRPr="00E103B9">
        <w:rPr>
          <w:color w:val="000000"/>
          <w:sz w:val="28"/>
        </w:rPr>
        <w:t>.</w:t>
      </w:r>
      <w:r w:rsidRPr="00E103B9">
        <w:rPr>
          <w:color w:val="000000"/>
          <w:sz w:val="28"/>
        </w:rPr>
        <w:t xml:space="preserve"> в частных детских садах воспитывалось 133,2 тыс. детей, что составляет 1,9% от общего числа детей в дошкольных организациях. В </w:t>
      </w:r>
      <w:proofErr w:type="gramStart"/>
      <w:r w:rsidRPr="00E103B9">
        <w:rPr>
          <w:color w:val="000000"/>
          <w:sz w:val="28"/>
        </w:rPr>
        <w:t>случае</w:t>
      </w:r>
      <w:proofErr w:type="gramEnd"/>
      <w:r w:rsidRPr="00E103B9">
        <w:rPr>
          <w:color w:val="000000"/>
          <w:sz w:val="28"/>
        </w:rPr>
        <w:t xml:space="preserve"> ухудшения социально-экономический ситуации часть семей не смогут оплачивать услуги частных детских садов и будут претендовать на места в государственных (муниципальных) организациях, что может сократить показатель доступности дошкольного образования.</w:t>
      </w:r>
    </w:p>
    <w:p w14:paraId="15C24A43" w14:textId="5FA65997" w:rsidR="00B05689" w:rsidRPr="00E103B9" w:rsidRDefault="00B05689" w:rsidP="00B30599">
      <w:pPr>
        <w:spacing w:after="60"/>
        <w:ind w:firstLine="709"/>
        <w:jc w:val="both"/>
        <w:rPr>
          <w:b/>
          <w:bCs/>
          <w:i/>
          <w:iCs/>
          <w:color w:val="000000"/>
          <w:sz w:val="28"/>
        </w:rPr>
      </w:pPr>
      <w:r w:rsidRPr="00E103B9">
        <w:rPr>
          <w:color w:val="000000"/>
          <w:sz w:val="28"/>
        </w:rPr>
        <w:t>Согласно Законопроекту субсидии из федерального бюджета (межбюджетные трансферты)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2023 г</w:t>
      </w:r>
      <w:r w:rsidR="00F1192B" w:rsidRPr="00E103B9">
        <w:rPr>
          <w:color w:val="000000"/>
          <w:sz w:val="28"/>
        </w:rPr>
        <w:t>.</w:t>
      </w:r>
      <w:r w:rsidRPr="00E103B9">
        <w:rPr>
          <w:color w:val="000000"/>
          <w:sz w:val="28"/>
        </w:rPr>
        <w:t xml:space="preserve"> составят 3,04 </w:t>
      </w:r>
      <w:proofErr w:type="gramStart"/>
      <w:r w:rsidRPr="00E103B9">
        <w:rPr>
          <w:color w:val="000000"/>
          <w:sz w:val="28"/>
        </w:rPr>
        <w:t>млрд</w:t>
      </w:r>
      <w:proofErr w:type="gramEnd"/>
      <w:r w:rsidRPr="00E103B9">
        <w:rPr>
          <w:color w:val="000000"/>
          <w:sz w:val="28"/>
        </w:rPr>
        <w:t xml:space="preserve"> руб., а с 2024 г</w:t>
      </w:r>
      <w:r w:rsidR="00F1192B" w:rsidRPr="00E103B9">
        <w:rPr>
          <w:color w:val="000000"/>
          <w:sz w:val="28"/>
        </w:rPr>
        <w:t>.</w:t>
      </w:r>
      <w:r w:rsidRPr="00E103B9">
        <w:rPr>
          <w:color w:val="000000"/>
          <w:sz w:val="28"/>
        </w:rPr>
        <w:t xml:space="preserve"> финансирование по этой позиции не предусмотрено. В целях предотвращения дефицита мест в дошкольных организациях целесообразно продлить предоставление указанных субсидий в плановом периоде 2024 и 2025 </w:t>
      </w:r>
      <w:r w:rsidR="00F1192B" w:rsidRPr="00E103B9">
        <w:rPr>
          <w:color w:val="000000"/>
          <w:sz w:val="28"/>
        </w:rPr>
        <w:t xml:space="preserve">гг. </w:t>
      </w:r>
      <w:r w:rsidRPr="00E103B9">
        <w:rPr>
          <w:color w:val="000000"/>
          <w:sz w:val="28"/>
        </w:rPr>
        <w:t xml:space="preserve">в объеме не менее 3 </w:t>
      </w:r>
      <w:proofErr w:type="gramStart"/>
      <w:r w:rsidRPr="00E103B9">
        <w:rPr>
          <w:color w:val="000000"/>
          <w:sz w:val="28"/>
        </w:rPr>
        <w:t>млрд</w:t>
      </w:r>
      <w:proofErr w:type="gramEnd"/>
      <w:r w:rsidRPr="00E103B9">
        <w:rPr>
          <w:color w:val="000000"/>
          <w:sz w:val="28"/>
        </w:rPr>
        <w:t xml:space="preserve"> руб. в год, а также зарезервировать на эти цели дополнительные средства в 2023 г.</w:t>
      </w:r>
    </w:p>
    <w:p w14:paraId="59A7B11F" w14:textId="77777777" w:rsidR="00B05689" w:rsidRPr="00E103B9" w:rsidRDefault="00B05689" w:rsidP="00AA0954">
      <w:pPr>
        <w:spacing w:before="120" w:after="120"/>
        <w:ind w:firstLine="709"/>
        <w:jc w:val="both"/>
        <w:rPr>
          <w:b/>
          <w:bCs/>
          <w:i/>
          <w:color w:val="000000"/>
          <w:sz w:val="28"/>
        </w:rPr>
      </w:pPr>
      <w:r w:rsidRPr="00E103B9">
        <w:rPr>
          <w:b/>
          <w:bCs/>
          <w:i/>
          <w:color w:val="000000"/>
          <w:sz w:val="28"/>
        </w:rPr>
        <w:t>Общее образование</w:t>
      </w:r>
    </w:p>
    <w:p w14:paraId="1142E8BA" w14:textId="0DA8D1C3" w:rsidR="00B05689" w:rsidRPr="00E103B9" w:rsidRDefault="00B05689" w:rsidP="00C572ED">
      <w:pPr>
        <w:spacing w:after="60"/>
        <w:ind w:firstLine="709"/>
        <w:jc w:val="both"/>
        <w:rPr>
          <w:color w:val="000000"/>
          <w:sz w:val="28"/>
        </w:rPr>
      </w:pPr>
      <w:r w:rsidRPr="00E103B9">
        <w:rPr>
          <w:color w:val="000000"/>
          <w:sz w:val="28"/>
        </w:rPr>
        <w:t>Законопроектом предусмотрено ежегодное увеличение расходов федерального бюджета по подразделу «Общее образование» в 2023-2024 гг. относительно предыдущих лет, что обусловлено ростом численности обучающихся, необходимостью замены ветхих зданий школ, ликвидацией обучения в третью смену.</w:t>
      </w:r>
      <w:r w:rsidRPr="00E103B9">
        <w:rPr>
          <w:rFonts w:eastAsia="Calibri"/>
          <w:color w:val="000000"/>
          <w:sz w:val="28"/>
          <w:lang w:eastAsia="en-US"/>
        </w:rPr>
        <w:t xml:space="preserve"> </w:t>
      </w:r>
      <w:r w:rsidRPr="00E103B9">
        <w:rPr>
          <w:color w:val="000000"/>
          <w:sz w:val="28"/>
        </w:rPr>
        <w:t xml:space="preserve">По сравнению с объемами, утвержденными Законом № 390-ФЗ, расходы лишь немного увеличены в 2023-2024 гг. В связи с завершением </w:t>
      </w:r>
      <w:r w:rsidR="00F1192B" w:rsidRPr="00E103B9">
        <w:rPr>
          <w:color w:val="000000"/>
          <w:sz w:val="28"/>
        </w:rPr>
        <w:t>НП</w:t>
      </w:r>
      <w:r w:rsidRPr="00E103B9">
        <w:rPr>
          <w:color w:val="000000"/>
          <w:sz w:val="28"/>
        </w:rPr>
        <w:t xml:space="preserve"> «Образование» расходы в 2025 г</w:t>
      </w:r>
      <w:r w:rsidR="00F1192B" w:rsidRPr="00E103B9">
        <w:rPr>
          <w:color w:val="000000"/>
          <w:sz w:val="28"/>
        </w:rPr>
        <w:t>.</w:t>
      </w:r>
      <w:r w:rsidRPr="00E103B9">
        <w:rPr>
          <w:color w:val="000000"/>
          <w:sz w:val="28"/>
        </w:rPr>
        <w:t xml:space="preserve"> будут в полтора раза меньше, чем в 2024 г.</w:t>
      </w:r>
    </w:p>
    <w:p w14:paraId="0A6E0186" w14:textId="643B2E33" w:rsidR="00B05689" w:rsidRPr="00E103B9" w:rsidRDefault="00B05689" w:rsidP="00B30599">
      <w:pPr>
        <w:spacing w:after="60"/>
        <w:ind w:firstLine="709"/>
        <w:jc w:val="both"/>
        <w:rPr>
          <w:color w:val="000000"/>
          <w:sz w:val="28"/>
        </w:rPr>
      </w:pPr>
      <w:r w:rsidRPr="00E103B9">
        <w:rPr>
          <w:color w:val="000000"/>
          <w:sz w:val="28"/>
        </w:rPr>
        <w:t xml:space="preserve">Согласно Законопроекту, расходы на реализацию </w:t>
      </w:r>
      <w:r w:rsidR="00F1192B" w:rsidRPr="00E103B9">
        <w:rPr>
          <w:color w:val="000000"/>
          <w:sz w:val="28"/>
        </w:rPr>
        <w:t>ФП</w:t>
      </w:r>
      <w:r w:rsidRPr="00E103B9">
        <w:rPr>
          <w:color w:val="000000"/>
          <w:sz w:val="28"/>
        </w:rPr>
        <w:t xml:space="preserve"> «Цифровая образовательная среда» по разделу «Общее образование» в 2023 г</w:t>
      </w:r>
      <w:r w:rsidR="00F1192B" w:rsidRPr="00E103B9">
        <w:rPr>
          <w:color w:val="000000"/>
          <w:sz w:val="28"/>
        </w:rPr>
        <w:t>.</w:t>
      </w:r>
      <w:r w:rsidRPr="00E103B9">
        <w:rPr>
          <w:color w:val="000000"/>
          <w:sz w:val="28"/>
        </w:rPr>
        <w:t xml:space="preserve"> составят 974,6 </w:t>
      </w:r>
      <w:proofErr w:type="gramStart"/>
      <w:r w:rsidRPr="00E103B9">
        <w:rPr>
          <w:color w:val="000000"/>
          <w:sz w:val="28"/>
        </w:rPr>
        <w:t>млн</w:t>
      </w:r>
      <w:proofErr w:type="gramEnd"/>
      <w:r w:rsidRPr="00E103B9">
        <w:rPr>
          <w:color w:val="000000"/>
          <w:sz w:val="28"/>
        </w:rPr>
        <w:t xml:space="preserve"> руб., что в 4,4 раза меньше относительно финансирования этой позиции в 2022 г</w:t>
      </w:r>
      <w:r w:rsidR="00F1192B" w:rsidRPr="00E103B9">
        <w:rPr>
          <w:color w:val="000000"/>
          <w:sz w:val="28"/>
        </w:rPr>
        <w:t>.</w:t>
      </w:r>
      <w:r w:rsidRPr="00E103B9">
        <w:rPr>
          <w:color w:val="000000"/>
          <w:sz w:val="28"/>
        </w:rPr>
        <w:t xml:space="preserve"> (4,3 млрд руб.), в 2024 г</w:t>
      </w:r>
      <w:r w:rsidR="00F1192B" w:rsidRPr="00E103B9">
        <w:rPr>
          <w:color w:val="000000"/>
          <w:sz w:val="28"/>
        </w:rPr>
        <w:t>.</w:t>
      </w:r>
      <w:r w:rsidRPr="00E103B9">
        <w:rPr>
          <w:color w:val="000000"/>
          <w:sz w:val="28"/>
        </w:rPr>
        <w:t xml:space="preserve"> – 989,6 млн руб., в 2025 г</w:t>
      </w:r>
      <w:r w:rsidR="00F1192B" w:rsidRPr="00E103B9">
        <w:rPr>
          <w:color w:val="000000"/>
          <w:sz w:val="28"/>
        </w:rPr>
        <w:t>.</w:t>
      </w:r>
      <w:r w:rsidRPr="00E103B9">
        <w:rPr>
          <w:color w:val="000000"/>
          <w:sz w:val="28"/>
        </w:rPr>
        <w:t xml:space="preserve"> финансирование не предусмотрено. По сравнению с объемами, утвержденными Законом № 390-ФЗ, в 2023 г</w:t>
      </w:r>
      <w:r w:rsidR="00F1192B" w:rsidRPr="00E103B9">
        <w:rPr>
          <w:color w:val="000000"/>
          <w:sz w:val="28"/>
        </w:rPr>
        <w:t>.</w:t>
      </w:r>
      <w:r w:rsidRPr="00E103B9">
        <w:rPr>
          <w:color w:val="000000"/>
          <w:sz w:val="28"/>
        </w:rPr>
        <w:t xml:space="preserve"> расходы снижены на 25,4 </w:t>
      </w:r>
      <w:proofErr w:type="gramStart"/>
      <w:r w:rsidRPr="00E103B9">
        <w:rPr>
          <w:color w:val="000000"/>
          <w:sz w:val="28"/>
        </w:rPr>
        <w:t>млн</w:t>
      </w:r>
      <w:proofErr w:type="gramEnd"/>
      <w:r w:rsidRPr="00E103B9">
        <w:rPr>
          <w:color w:val="000000"/>
          <w:sz w:val="28"/>
        </w:rPr>
        <w:t xml:space="preserve"> руб. (2,5%), а в 2024 г</w:t>
      </w:r>
      <w:r w:rsidR="00F1192B" w:rsidRPr="00E103B9">
        <w:rPr>
          <w:color w:val="000000"/>
          <w:sz w:val="28"/>
        </w:rPr>
        <w:t>.</w:t>
      </w:r>
      <w:r w:rsidRPr="00E103B9">
        <w:rPr>
          <w:color w:val="000000"/>
          <w:sz w:val="28"/>
        </w:rPr>
        <w:t xml:space="preserve"> на 1,08 млрд руб. (в 2 раза). Значительное сокращение объемов финансирования данного проекта связано с прекращением предоставления из федерального бюджета субсидий (межбюджетных трансфертов)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Объем этих субсидий в 2022 г</w:t>
      </w:r>
      <w:r w:rsidR="00F1192B" w:rsidRPr="00E103B9">
        <w:rPr>
          <w:color w:val="000000"/>
          <w:sz w:val="28"/>
        </w:rPr>
        <w:t>.</w:t>
      </w:r>
      <w:r w:rsidRPr="00E103B9">
        <w:rPr>
          <w:color w:val="000000"/>
          <w:sz w:val="28"/>
        </w:rPr>
        <w:t xml:space="preserve"> составляет 3,3 </w:t>
      </w:r>
      <w:proofErr w:type="gramStart"/>
      <w:r w:rsidRPr="00E103B9">
        <w:rPr>
          <w:color w:val="000000"/>
          <w:sz w:val="28"/>
        </w:rPr>
        <w:t>млрд</w:t>
      </w:r>
      <w:proofErr w:type="gramEnd"/>
      <w:r w:rsidRPr="00E103B9">
        <w:rPr>
          <w:color w:val="000000"/>
          <w:sz w:val="28"/>
        </w:rPr>
        <w:t xml:space="preserve"> руб. Законопроектом не предусмотрено предоставление указанной субсидии. Доля обучающихся по программам общего образования с применением электронного обучения в среднем по Российской Федерации составляет 20,5%. Этот показатель ниже среднероссийского уровня в 67 субъектах </w:t>
      </w:r>
      <w:r w:rsidR="00F1192B" w:rsidRPr="00E103B9">
        <w:rPr>
          <w:color w:val="000000"/>
          <w:sz w:val="28"/>
        </w:rPr>
        <w:t>РФ</w:t>
      </w:r>
      <w:r w:rsidRPr="00E103B9">
        <w:rPr>
          <w:color w:val="000000"/>
          <w:sz w:val="28"/>
        </w:rPr>
        <w:t xml:space="preserve">. В </w:t>
      </w:r>
      <w:r w:rsidR="00F1192B" w:rsidRPr="00E103B9">
        <w:rPr>
          <w:color w:val="000000"/>
          <w:sz w:val="28"/>
        </w:rPr>
        <w:t xml:space="preserve">г. </w:t>
      </w:r>
      <w:r w:rsidRPr="00E103B9">
        <w:rPr>
          <w:color w:val="000000"/>
          <w:sz w:val="28"/>
        </w:rPr>
        <w:t xml:space="preserve">Москве электронным обучением охвачено 96,4% школьников. Для выравнивания возможностей доступа школьников к электронному обучению целесообразно продолжить предоставление </w:t>
      </w:r>
      <w:r w:rsidRPr="00E103B9">
        <w:rPr>
          <w:color w:val="000000"/>
          <w:sz w:val="28"/>
        </w:rPr>
        <w:lastRenderedPageBreak/>
        <w:t xml:space="preserve">регионам субсидий в целях оснащения школ компьютерным, мультимедийным, презентационным оборудованием и программным обеспечением в период с 2023 по 2025 </w:t>
      </w:r>
      <w:r w:rsidR="00F1192B" w:rsidRPr="00E103B9">
        <w:rPr>
          <w:color w:val="000000"/>
          <w:sz w:val="28"/>
        </w:rPr>
        <w:t xml:space="preserve">гг. </w:t>
      </w:r>
      <w:r w:rsidRPr="00E103B9">
        <w:rPr>
          <w:color w:val="000000"/>
          <w:sz w:val="28"/>
        </w:rPr>
        <w:t xml:space="preserve">в объеме не менее 3,5 </w:t>
      </w:r>
      <w:proofErr w:type="gramStart"/>
      <w:r w:rsidRPr="00E103B9">
        <w:rPr>
          <w:color w:val="000000"/>
          <w:sz w:val="28"/>
        </w:rPr>
        <w:t>млрд</w:t>
      </w:r>
      <w:proofErr w:type="gramEnd"/>
      <w:r w:rsidRPr="00E103B9">
        <w:rPr>
          <w:color w:val="000000"/>
          <w:sz w:val="28"/>
        </w:rPr>
        <w:t xml:space="preserve"> руб. ежегодно.</w:t>
      </w:r>
    </w:p>
    <w:p w14:paraId="393D3591" w14:textId="77777777" w:rsidR="00B05689" w:rsidRPr="00E103B9" w:rsidRDefault="00B05689" w:rsidP="00AA0954">
      <w:pPr>
        <w:spacing w:before="120" w:after="120"/>
        <w:ind w:firstLine="709"/>
        <w:jc w:val="both"/>
        <w:rPr>
          <w:b/>
          <w:bCs/>
          <w:i/>
          <w:color w:val="000000"/>
          <w:sz w:val="28"/>
        </w:rPr>
      </w:pPr>
      <w:r w:rsidRPr="00E103B9">
        <w:rPr>
          <w:b/>
          <w:bCs/>
          <w:i/>
          <w:color w:val="000000"/>
          <w:sz w:val="28"/>
        </w:rPr>
        <w:t>Дополнительное образование детей</w:t>
      </w:r>
    </w:p>
    <w:p w14:paraId="4259D756" w14:textId="22CCE9CC" w:rsidR="00B05689" w:rsidRPr="00E103B9" w:rsidRDefault="00B05689" w:rsidP="001B4AA2">
      <w:pPr>
        <w:spacing w:after="60"/>
        <w:ind w:firstLine="709"/>
        <w:jc w:val="both"/>
        <w:rPr>
          <w:b/>
          <w:bCs/>
          <w:i/>
          <w:iCs/>
          <w:color w:val="000000"/>
          <w:sz w:val="28"/>
        </w:rPr>
      </w:pPr>
      <w:r w:rsidRPr="00E103B9">
        <w:rPr>
          <w:color w:val="000000"/>
          <w:sz w:val="28"/>
        </w:rPr>
        <w:t>Согласно Законопроекту, расходы федерального бюджета по подразделу «Дополнительное образование детей» в 2023 г</w:t>
      </w:r>
      <w:r w:rsidR="00F1192B" w:rsidRPr="00E103B9">
        <w:rPr>
          <w:color w:val="000000"/>
          <w:sz w:val="28"/>
        </w:rPr>
        <w:t>.</w:t>
      </w:r>
      <w:r w:rsidRPr="00E103B9">
        <w:rPr>
          <w:color w:val="000000"/>
          <w:sz w:val="28"/>
        </w:rPr>
        <w:t xml:space="preserve"> составят 30,9 </w:t>
      </w:r>
      <w:proofErr w:type="gramStart"/>
      <w:r w:rsidRPr="00E103B9">
        <w:rPr>
          <w:color w:val="000000"/>
          <w:sz w:val="28"/>
        </w:rPr>
        <w:t>млрд</w:t>
      </w:r>
      <w:proofErr w:type="gramEnd"/>
      <w:r w:rsidRPr="00E103B9">
        <w:rPr>
          <w:color w:val="000000"/>
          <w:sz w:val="28"/>
        </w:rPr>
        <w:t xml:space="preserve"> руб., что примерно на четверть больше, чем в 2022 г. В 2024 г</w:t>
      </w:r>
      <w:r w:rsidR="00F1192B" w:rsidRPr="00E103B9">
        <w:rPr>
          <w:color w:val="000000"/>
          <w:sz w:val="28"/>
        </w:rPr>
        <w:t>.</w:t>
      </w:r>
      <w:r w:rsidRPr="00E103B9">
        <w:rPr>
          <w:color w:val="000000"/>
          <w:sz w:val="28"/>
        </w:rPr>
        <w:t xml:space="preserve"> расходы будут снижены на 17,4%, относительно предыдущего года, а в 2025 г</w:t>
      </w:r>
      <w:r w:rsidR="00F1192B" w:rsidRPr="00E103B9">
        <w:rPr>
          <w:color w:val="000000"/>
          <w:sz w:val="28"/>
        </w:rPr>
        <w:t>.</w:t>
      </w:r>
      <w:r w:rsidRPr="00E103B9">
        <w:rPr>
          <w:color w:val="000000"/>
          <w:sz w:val="28"/>
        </w:rPr>
        <w:t xml:space="preserve"> – сокращены в два раза. </w:t>
      </w:r>
      <w:proofErr w:type="gramStart"/>
      <w:r w:rsidRPr="00E103B9">
        <w:rPr>
          <w:color w:val="000000"/>
          <w:sz w:val="28"/>
        </w:rPr>
        <w:t>По сравнению с объемами, утвержденными Законом № 390-ФЗ, в 2023 г</w:t>
      </w:r>
      <w:r w:rsidR="00F1192B" w:rsidRPr="00E103B9">
        <w:rPr>
          <w:color w:val="000000"/>
          <w:sz w:val="28"/>
        </w:rPr>
        <w:t>.</w:t>
      </w:r>
      <w:r w:rsidRPr="00E103B9">
        <w:rPr>
          <w:color w:val="000000"/>
          <w:sz w:val="28"/>
        </w:rPr>
        <w:t xml:space="preserve"> расходы увеличены на 8%, а в 2024 г</w:t>
      </w:r>
      <w:r w:rsidR="00F1192B" w:rsidRPr="00E103B9">
        <w:rPr>
          <w:color w:val="000000"/>
          <w:sz w:val="28"/>
        </w:rPr>
        <w:t>.</w:t>
      </w:r>
      <w:r w:rsidRPr="00E103B9">
        <w:rPr>
          <w:color w:val="000000"/>
          <w:sz w:val="28"/>
        </w:rPr>
        <w:t xml:space="preserve"> сокращены на 2,3%. Госпрограммой «Развитие образования» предусмотрено повышение охвата детей от 5 до 18 лет дополнительным образованием с 76% в 2021 г</w:t>
      </w:r>
      <w:r w:rsidR="00F1192B" w:rsidRPr="00E103B9">
        <w:rPr>
          <w:color w:val="000000"/>
          <w:sz w:val="28"/>
        </w:rPr>
        <w:t>.</w:t>
      </w:r>
      <w:r w:rsidRPr="00E103B9">
        <w:rPr>
          <w:color w:val="000000"/>
          <w:sz w:val="28"/>
        </w:rPr>
        <w:t xml:space="preserve"> до 80% в 2024 г. За этот период контингент детей данного возраста возрастет на 3%, что усложнит достижение целевого показателя</w:t>
      </w:r>
      <w:proofErr w:type="gramEnd"/>
      <w:r w:rsidRPr="00E103B9">
        <w:rPr>
          <w:color w:val="000000"/>
          <w:sz w:val="28"/>
        </w:rPr>
        <w:t>. В 2025 г</w:t>
      </w:r>
      <w:r w:rsidR="00F1192B" w:rsidRPr="00E103B9">
        <w:rPr>
          <w:color w:val="000000"/>
          <w:sz w:val="28"/>
        </w:rPr>
        <w:t>.</w:t>
      </w:r>
      <w:r w:rsidRPr="00E103B9">
        <w:rPr>
          <w:color w:val="000000"/>
          <w:sz w:val="28"/>
        </w:rPr>
        <w:t xml:space="preserve"> рост контингента, скорее всего, продолжится. Для обеспечения достижения целевых ориентиров данной программы представляется важным сохранение объема бюджетных расходов в 2024 г</w:t>
      </w:r>
      <w:r w:rsidR="00F1192B" w:rsidRPr="00E103B9">
        <w:rPr>
          <w:color w:val="000000"/>
          <w:sz w:val="28"/>
        </w:rPr>
        <w:t>.</w:t>
      </w:r>
      <w:r w:rsidRPr="00E103B9">
        <w:rPr>
          <w:color w:val="000000"/>
          <w:sz w:val="28"/>
        </w:rPr>
        <w:t xml:space="preserve"> на уровне 2023 г</w:t>
      </w:r>
      <w:r w:rsidR="00F1192B" w:rsidRPr="00E103B9">
        <w:rPr>
          <w:color w:val="000000"/>
          <w:sz w:val="28"/>
        </w:rPr>
        <w:t>.</w:t>
      </w:r>
      <w:r w:rsidRPr="00E103B9">
        <w:rPr>
          <w:color w:val="000000"/>
          <w:sz w:val="28"/>
        </w:rPr>
        <w:t>, а для закрепления достигнутых результатов – продолжение финансирования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2025 г</w:t>
      </w:r>
      <w:r w:rsidR="00F1192B" w:rsidRPr="00E103B9">
        <w:rPr>
          <w:color w:val="000000"/>
          <w:sz w:val="28"/>
        </w:rPr>
        <w:t>.</w:t>
      </w:r>
      <w:r w:rsidRPr="00E103B9">
        <w:rPr>
          <w:color w:val="000000"/>
          <w:sz w:val="28"/>
        </w:rPr>
        <w:t xml:space="preserve"> в объеме 2 </w:t>
      </w:r>
      <w:proofErr w:type="gramStart"/>
      <w:r w:rsidRPr="00E103B9">
        <w:rPr>
          <w:color w:val="000000"/>
          <w:sz w:val="28"/>
        </w:rPr>
        <w:t>млрд</w:t>
      </w:r>
      <w:proofErr w:type="gramEnd"/>
      <w:r w:rsidRPr="00E103B9">
        <w:rPr>
          <w:color w:val="000000"/>
          <w:sz w:val="28"/>
        </w:rPr>
        <w:t xml:space="preserve"> руб.</w:t>
      </w:r>
    </w:p>
    <w:p w14:paraId="0BA6D1CA" w14:textId="77777777" w:rsidR="00B05689" w:rsidRPr="00E103B9" w:rsidRDefault="00B05689" w:rsidP="00C572ED">
      <w:pPr>
        <w:spacing w:after="60"/>
        <w:ind w:firstLine="709"/>
        <w:jc w:val="both"/>
        <w:rPr>
          <w:b/>
          <w:bCs/>
          <w:i/>
          <w:iCs/>
          <w:color w:val="000000"/>
          <w:sz w:val="28"/>
        </w:rPr>
      </w:pPr>
      <w:r w:rsidRPr="00E103B9">
        <w:rPr>
          <w:b/>
          <w:bCs/>
          <w:i/>
          <w:iCs/>
          <w:color w:val="000000"/>
          <w:sz w:val="28"/>
        </w:rPr>
        <w:t>Среднее профессиональное образование (СПО)</w:t>
      </w:r>
    </w:p>
    <w:p w14:paraId="19CAFA2B" w14:textId="251ADA84" w:rsidR="00B05689" w:rsidRDefault="00B05689" w:rsidP="00C572ED">
      <w:pPr>
        <w:spacing w:after="60"/>
        <w:ind w:firstLine="709"/>
        <w:jc w:val="both"/>
        <w:rPr>
          <w:rFonts w:eastAsia="Calibri"/>
          <w:sz w:val="28"/>
          <w:lang w:eastAsia="en-US"/>
        </w:rPr>
      </w:pPr>
      <w:r w:rsidRPr="00E103B9">
        <w:rPr>
          <w:rFonts w:eastAsia="Calibri"/>
          <w:sz w:val="28"/>
          <w:lang w:eastAsia="en-US"/>
        </w:rPr>
        <w:t>Несмотря на постоянный рост финансирования СПО из консолидированного бюджета Российской Федерации и территориального государственного внебюджетного фонда на протяжении пятилетнего периода с 2017 по 2021 гг., доля финансирования СПО в общем финансировании образования все последние годы снижалась (</w:t>
      </w:r>
      <w:r w:rsidRPr="00E103B9">
        <w:rPr>
          <w:rFonts w:eastAsia="Calibri"/>
          <w:i/>
          <w:iCs/>
          <w:sz w:val="28"/>
          <w:lang w:eastAsia="en-US"/>
        </w:rPr>
        <w:t xml:space="preserve">рисунок </w:t>
      </w:r>
      <w:r w:rsidR="00923121" w:rsidRPr="00E103B9">
        <w:rPr>
          <w:rFonts w:eastAsia="Calibri"/>
          <w:i/>
          <w:iCs/>
          <w:sz w:val="28"/>
          <w:lang w:eastAsia="en-US"/>
        </w:rPr>
        <w:t>2</w:t>
      </w:r>
      <w:r w:rsidRPr="00E103B9">
        <w:rPr>
          <w:rFonts w:eastAsia="Calibri"/>
          <w:sz w:val="28"/>
          <w:lang w:eastAsia="en-US"/>
        </w:rPr>
        <w:t>).</w:t>
      </w:r>
    </w:p>
    <w:p w14:paraId="737872E8" w14:textId="77777777" w:rsidR="00E103B9" w:rsidRDefault="00E103B9" w:rsidP="00C572ED">
      <w:pPr>
        <w:spacing w:after="60"/>
        <w:ind w:firstLine="709"/>
        <w:jc w:val="both"/>
        <w:rPr>
          <w:rFonts w:eastAsia="Calibri"/>
          <w:sz w:val="28"/>
          <w:lang w:eastAsia="en-US"/>
        </w:rPr>
      </w:pPr>
    </w:p>
    <w:p w14:paraId="6EDD23D7" w14:textId="77777777" w:rsidR="00E103B9" w:rsidRDefault="00E103B9" w:rsidP="00C572ED">
      <w:pPr>
        <w:spacing w:after="60"/>
        <w:ind w:firstLine="709"/>
        <w:jc w:val="both"/>
        <w:rPr>
          <w:rFonts w:eastAsia="Calibri"/>
          <w:sz w:val="28"/>
          <w:lang w:eastAsia="en-US"/>
        </w:rPr>
      </w:pPr>
    </w:p>
    <w:p w14:paraId="34B4EF29" w14:textId="77777777" w:rsidR="00E103B9" w:rsidRDefault="00E103B9" w:rsidP="00C572ED">
      <w:pPr>
        <w:spacing w:after="60"/>
        <w:ind w:firstLine="709"/>
        <w:jc w:val="both"/>
        <w:rPr>
          <w:rFonts w:eastAsia="Calibri"/>
          <w:sz w:val="28"/>
          <w:lang w:eastAsia="en-US"/>
        </w:rPr>
      </w:pPr>
    </w:p>
    <w:p w14:paraId="1C47BBB5" w14:textId="77777777" w:rsidR="00E103B9" w:rsidRDefault="00E103B9" w:rsidP="00C572ED">
      <w:pPr>
        <w:spacing w:after="60"/>
        <w:ind w:firstLine="709"/>
        <w:jc w:val="both"/>
        <w:rPr>
          <w:rFonts w:eastAsia="Calibri"/>
          <w:sz w:val="28"/>
          <w:lang w:eastAsia="en-US"/>
        </w:rPr>
      </w:pPr>
    </w:p>
    <w:p w14:paraId="06F8D0FF" w14:textId="77777777" w:rsidR="00E103B9" w:rsidRDefault="00E103B9" w:rsidP="00C572ED">
      <w:pPr>
        <w:spacing w:after="60"/>
        <w:ind w:firstLine="709"/>
        <w:jc w:val="both"/>
        <w:rPr>
          <w:rFonts w:eastAsia="Calibri"/>
          <w:sz w:val="28"/>
          <w:lang w:eastAsia="en-US"/>
        </w:rPr>
      </w:pPr>
    </w:p>
    <w:p w14:paraId="127669A2" w14:textId="77777777" w:rsidR="00E103B9" w:rsidRDefault="00E103B9" w:rsidP="00C572ED">
      <w:pPr>
        <w:spacing w:after="60"/>
        <w:ind w:firstLine="709"/>
        <w:jc w:val="both"/>
        <w:rPr>
          <w:rFonts w:eastAsia="Calibri"/>
          <w:sz w:val="28"/>
          <w:lang w:eastAsia="en-US"/>
        </w:rPr>
      </w:pPr>
    </w:p>
    <w:p w14:paraId="63BF18A8" w14:textId="77777777" w:rsidR="00E103B9" w:rsidRDefault="00E103B9" w:rsidP="00C572ED">
      <w:pPr>
        <w:spacing w:after="60"/>
        <w:ind w:firstLine="709"/>
        <w:jc w:val="both"/>
        <w:rPr>
          <w:rFonts w:eastAsia="Calibri"/>
          <w:sz w:val="28"/>
          <w:lang w:eastAsia="en-US"/>
        </w:rPr>
      </w:pPr>
    </w:p>
    <w:p w14:paraId="3521D6B3" w14:textId="77777777" w:rsidR="00E103B9" w:rsidRDefault="00E103B9" w:rsidP="00C572ED">
      <w:pPr>
        <w:spacing w:after="60"/>
        <w:ind w:firstLine="709"/>
        <w:jc w:val="both"/>
        <w:rPr>
          <w:rFonts w:eastAsia="Calibri"/>
          <w:sz w:val="28"/>
          <w:lang w:eastAsia="en-US"/>
        </w:rPr>
      </w:pPr>
    </w:p>
    <w:p w14:paraId="6E36598E" w14:textId="77777777" w:rsidR="00E103B9" w:rsidRDefault="00E103B9" w:rsidP="00C572ED">
      <w:pPr>
        <w:spacing w:after="60"/>
        <w:ind w:firstLine="709"/>
        <w:jc w:val="both"/>
        <w:rPr>
          <w:rFonts w:eastAsia="Calibri"/>
          <w:sz w:val="28"/>
          <w:lang w:eastAsia="en-US"/>
        </w:rPr>
      </w:pPr>
    </w:p>
    <w:p w14:paraId="36169632" w14:textId="77777777" w:rsidR="00E103B9" w:rsidRDefault="00E103B9" w:rsidP="00C572ED">
      <w:pPr>
        <w:spacing w:after="60"/>
        <w:ind w:firstLine="709"/>
        <w:jc w:val="both"/>
        <w:rPr>
          <w:rFonts w:eastAsia="Calibri"/>
          <w:sz w:val="28"/>
          <w:lang w:eastAsia="en-US"/>
        </w:rPr>
      </w:pPr>
    </w:p>
    <w:p w14:paraId="1B8CCE83" w14:textId="77777777" w:rsidR="00E103B9" w:rsidRDefault="00E103B9" w:rsidP="00C572ED">
      <w:pPr>
        <w:spacing w:after="60"/>
        <w:ind w:firstLine="709"/>
        <w:jc w:val="both"/>
        <w:rPr>
          <w:rFonts w:eastAsia="Calibri"/>
          <w:sz w:val="28"/>
          <w:lang w:eastAsia="en-US"/>
        </w:rPr>
      </w:pPr>
    </w:p>
    <w:p w14:paraId="03DB42F9" w14:textId="77777777" w:rsidR="00E103B9" w:rsidRDefault="00E103B9" w:rsidP="00C572ED">
      <w:pPr>
        <w:spacing w:after="60"/>
        <w:ind w:firstLine="709"/>
        <w:jc w:val="both"/>
        <w:rPr>
          <w:rFonts w:eastAsia="Calibri"/>
          <w:sz w:val="28"/>
          <w:lang w:eastAsia="en-US"/>
        </w:rPr>
      </w:pPr>
    </w:p>
    <w:p w14:paraId="0DA4F399" w14:textId="77777777" w:rsidR="00E103B9" w:rsidRDefault="00E103B9" w:rsidP="00C572ED">
      <w:pPr>
        <w:spacing w:after="60"/>
        <w:ind w:firstLine="709"/>
        <w:jc w:val="both"/>
        <w:rPr>
          <w:rFonts w:eastAsia="Calibri"/>
          <w:sz w:val="28"/>
          <w:lang w:eastAsia="en-US"/>
        </w:rPr>
      </w:pPr>
    </w:p>
    <w:p w14:paraId="0C21DD59" w14:textId="77777777" w:rsidR="00E103B9" w:rsidRDefault="00E103B9" w:rsidP="00C572ED">
      <w:pPr>
        <w:spacing w:after="60"/>
        <w:ind w:firstLine="709"/>
        <w:jc w:val="both"/>
        <w:rPr>
          <w:rFonts w:eastAsia="Calibri"/>
          <w:sz w:val="28"/>
          <w:lang w:eastAsia="en-US"/>
        </w:rPr>
      </w:pPr>
    </w:p>
    <w:p w14:paraId="0A354B9E" w14:textId="77777777" w:rsidR="00E103B9" w:rsidRPr="00E103B9" w:rsidRDefault="00E103B9" w:rsidP="00C572ED">
      <w:pPr>
        <w:spacing w:after="60"/>
        <w:ind w:firstLine="709"/>
        <w:jc w:val="both"/>
        <w:rPr>
          <w:rFonts w:eastAsia="Calibri"/>
          <w:sz w:val="28"/>
          <w:lang w:eastAsia="en-US"/>
        </w:rPr>
      </w:pPr>
    </w:p>
    <w:p w14:paraId="383827B5" w14:textId="77777777" w:rsidR="00B05689" w:rsidRPr="009D5B83" w:rsidRDefault="00B05689" w:rsidP="00B05689">
      <w:pPr>
        <w:ind w:firstLine="709"/>
        <w:jc w:val="both"/>
        <w:rPr>
          <w:rFonts w:eastAsia="Calibri"/>
          <w:lang w:eastAsia="en-US"/>
        </w:rPr>
      </w:pPr>
    </w:p>
    <w:tbl>
      <w:tblPr>
        <w:tblStyle w:val="33"/>
        <w:tblW w:w="0" w:type="auto"/>
        <w:tblLook w:val="04A0" w:firstRow="1" w:lastRow="0" w:firstColumn="1" w:lastColumn="0" w:noHBand="0" w:noVBand="1"/>
      </w:tblPr>
      <w:tblGrid>
        <w:gridCol w:w="4776"/>
        <w:gridCol w:w="4626"/>
      </w:tblGrid>
      <w:tr w:rsidR="00B05689" w:rsidRPr="009D5B83" w14:paraId="1CD47FD9" w14:textId="77777777" w:rsidTr="00B05689">
        <w:tc>
          <w:tcPr>
            <w:tcW w:w="4603" w:type="dxa"/>
          </w:tcPr>
          <w:p w14:paraId="1AEBF78D" w14:textId="10658D6E" w:rsidR="00B05689" w:rsidRPr="009D5B83" w:rsidRDefault="00B05689" w:rsidP="00B05689">
            <w:pPr>
              <w:spacing w:line="276" w:lineRule="auto"/>
              <w:jc w:val="center"/>
              <w:rPr>
                <w:rFonts w:ascii="Times New Roman" w:hAnsi="Times New Roman"/>
                <w:sz w:val="20"/>
                <w:szCs w:val="20"/>
              </w:rPr>
            </w:pPr>
            <w:r w:rsidRPr="009D5B83">
              <w:rPr>
                <w:rFonts w:ascii="Times New Roman" w:hAnsi="Times New Roman"/>
                <w:sz w:val="20"/>
                <w:szCs w:val="20"/>
              </w:rPr>
              <w:t xml:space="preserve">Консолидированный бюджет субъекта РФ и территориального государственного внебюджетного фонда, </w:t>
            </w:r>
            <w:proofErr w:type="gramStart"/>
            <w:r w:rsidRPr="009D5B83">
              <w:rPr>
                <w:rFonts w:ascii="Times New Roman" w:hAnsi="Times New Roman"/>
                <w:sz w:val="20"/>
                <w:szCs w:val="20"/>
              </w:rPr>
              <w:t>млрд</w:t>
            </w:r>
            <w:proofErr w:type="gramEnd"/>
            <w:r w:rsidRPr="009D5B83">
              <w:rPr>
                <w:rFonts w:ascii="Times New Roman" w:hAnsi="Times New Roman"/>
                <w:sz w:val="20"/>
                <w:szCs w:val="20"/>
              </w:rPr>
              <w:t xml:space="preserve"> руб.</w:t>
            </w:r>
          </w:p>
        </w:tc>
        <w:tc>
          <w:tcPr>
            <w:tcW w:w="4458" w:type="dxa"/>
          </w:tcPr>
          <w:p w14:paraId="69848AFA" w14:textId="77777777" w:rsidR="00B05689" w:rsidRPr="009D5B83" w:rsidRDefault="00B05689" w:rsidP="00B05689">
            <w:pPr>
              <w:spacing w:line="276" w:lineRule="auto"/>
              <w:jc w:val="center"/>
              <w:rPr>
                <w:rFonts w:ascii="Times New Roman" w:hAnsi="Times New Roman"/>
                <w:sz w:val="20"/>
                <w:szCs w:val="20"/>
              </w:rPr>
            </w:pPr>
            <w:r w:rsidRPr="009D5B83">
              <w:rPr>
                <w:rFonts w:ascii="Times New Roman" w:hAnsi="Times New Roman"/>
                <w:sz w:val="20"/>
                <w:szCs w:val="20"/>
              </w:rPr>
              <w:t>Доля финансирования СПО в общем финансировании образовании из консолидированного Бюджета, %</w:t>
            </w:r>
          </w:p>
        </w:tc>
      </w:tr>
      <w:tr w:rsidR="00B05689" w:rsidRPr="009D5B83" w14:paraId="11A9A497" w14:textId="77777777" w:rsidTr="00B05689">
        <w:trPr>
          <w:trHeight w:val="4059"/>
        </w:trPr>
        <w:tc>
          <w:tcPr>
            <w:tcW w:w="4603" w:type="dxa"/>
          </w:tcPr>
          <w:p w14:paraId="1F39784F" w14:textId="77777777" w:rsidR="00B05689" w:rsidRPr="009D5B83" w:rsidRDefault="00B05689" w:rsidP="00B05689">
            <w:pPr>
              <w:spacing w:line="276" w:lineRule="auto"/>
              <w:jc w:val="both"/>
              <w:rPr>
                <w:rFonts w:ascii="Times New Roman" w:hAnsi="Times New Roman"/>
                <w:sz w:val="22"/>
                <w:szCs w:val="22"/>
              </w:rPr>
            </w:pPr>
            <w:r w:rsidRPr="009D5B83">
              <w:rPr>
                <w:noProof/>
                <w:sz w:val="22"/>
                <w:szCs w:val="22"/>
              </w:rPr>
              <w:drawing>
                <wp:inline distT="0" distB="0" distL="0" distR="0" wp14:anchorId="7DFE568F" wp14:editId="214BB705">
                  <wp:extent cx="28956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458" w:type="dxa"/>
          </w:tcPr>
          <w:p w14:paraId="7AC92552" w14:textId="77777777" w:rsidR="00B05689" w:rsidRPr="009D5B83" w:rsidRDefault="00B05689" w:rsidP="00B05689">
            <w:pPr>
              <w:spacing w:line="276" w:lineRule="auto"/>
              <w:jc w:val="both"/>
              <w:rPr>
                <w:rFonts w:ascii="Times New Roman" w:hAnsi="Times New Roman"/>
                <w:sz w:val="22"/>
                <w:szCs w:val="22"/>
              </w:rPr>
            </w:pPr>
            <w:r w:rsidRPr="009D5B83">
              <w:rPr>
                <w:noProof/>
                <w:sz w:val="22"/>
                <w:szCs w:val="22"/>
              </w:rPr>
              <w:drawing>
                <wp:inline distT="0" distB="0" distL="0" distR="0" wp14:anchorId="70B8F316" wp14:editId="02527CA5">
                  <wp:extent cx="280035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FD7E1CF" w14:textId="18C9AD69" w:rsidR="00B05689" w:rsidRPr="009D5B83" w:rsidRDefault="00B05689" w:rsidP="00B05689">
      <w:pPr>
        <w:ind w:firstLine="709"/>
        <w:rPr>
          <w:rFonts w:eastAsia="Calibri"/>
          <w:sz w:val="20"/>
          <w:szCs w:val="20"/>
          <w:lang w:eastAsia="en-US"/>
        </w:rPr>
      </w:pPr>
      <w:r w:rsidRPr="009D5B83">
        <w:rPr>
          <w:rFonts w:eastAsia="Calibri"/>
          <w:i/>
          <w:iCs/>
          <w:sz w:val="20"/>
          <w:szCs w:val="20"/>
          <w:lang w:eastAsia="en-US"/>
        </w:rPr>
        <w:t xml:space="preserve">Источник: </w:t>
      </w:r>
      <w:r w:rsidRPr="009D5B83">
        <w:rPr>
          <w:rFonts w:eastAsia="Calibri"/>
          <w:sz w:val="20"/>
          <w:szCs w:val="20"/>
          <w:lang w:eastAsia="en-US"/>
        </w:rPr>
        <w:t>расчеты авторов по данным Федерального казначейства.</w:t>
      </w:r>
    </w:p>
    <w:p w14:paraId="7AD2C360" w14:textId="77777777" w:rsidR="00B05689" w:rsidRPr="009D5B83" w:rsidRDefault="00B05689" w:rsidP="00B05689">
      <w:pPr>
        <w:ind w:firstLine="709"/>
        <w:jc w:val="center"/>
        <w:rPr>
          <w:rFonts w:eastAsia="Calibri"/>
          <w:i/>
          <w:iCs/>
          <w:szCs w:val="22"/>
          <w:highlight w:val="yellow"/>
          <w:lang w:eastAsia="en-US"/>
        </w:rPr>
      </w:pPr>
    </w:p>
    <w:p w14:paraId="341BFA9D" w14:textId="0A470298" w:rsidR="00B05689" w:rsidRPr="009D5B83" w:rsidRDefault="00B05689" w:rsidP="00B05689">
      <w:pPr>
        <w:ind w:firstLine="709"/>
        <w:jc w:val="center"/>
        <w:rPr>
          <w:rFonts w:eastAsia="Calibri"/>
          <w:lang w:eastAsia="en-US"/>
        </w:rPr>
      </w:pPr>
      <w:r w:rsidRPr="009D5B83">
        <w:rPr>
          <w:rFonts w:eastAsia="Calibri"/>
          <w:b/>
          <w:bCs/>
          <w:i/>
          <w:iCs/>
          <w:szCs w:val="22"/>
          <w:lang w:eastAsia="en-US"/>
        </w:rPr>
        <w:t xml:space="preserve">Рисунок </w:t>
      </w:r>
      <w:r w:rsidR="00923121" w:rsidRPr="009D5B83">
        <w:rPr>
          <w:rFonts w:eastAsia="Calibri"/>
          <w:b/>
          <w:bCs/>
          <w:i/>
          <w:iCs/>
          <w:szCs w:val="22"/>
          <w:lang w:eastAsia="en-US"/>
        </w:rPr>
        <w:t>2</w:t>
      </w:r>
      <w:r w:rsidRPr="009D5B83">
        <w:rPr>
          <w:rFonts w:eastAsia="Calibri"/>
          <w:b/>
          <w:bCs/>
          <w:szCs w:val="22"/>
          <w:lang w:eastAsia="en-US"/>
        </w:rPr>
        <w:t xml:space="preserve"> –</w:t>
      </w:r>
      <w:r w:rsidRPr="009D5B83">
        <w:rPr>
          <w:rFonts w:eastAsia="Calibri"/>
          <w:szCs w:val="22"/>
          <w:lang w:eastAsia="en-US"/>
        </w:rPr>
        <w:t xml:space="preserve"> </w:t>
      </w:r>
      <w:r w:rsidRPr="009D5B83">
        <w:rPr>
          <w:rFonts w:eastAsia="Calibri"/>
          <w:b/>
          <w:bCs/>
          <w:szCs w:val="22"/>
          <w:lang w:eastAsia="en-US"/>
        </w:rPr>
        <w:t xml:space="preserve">Изменения финансирования СПО и доли финансирования СПО в общем финансировании образования из </w:t>
      </w:r>
      <w:r w:rsidRPr="009D5B83">
        <w:rPr>
          <w:rFonts w:eastAsia="Calibri"/>
          <w:b/>
          <w:bCs/>
          <w:lang w:eastAsia="en-US"/>
        </w:rPr>
        <w:t>консолидированного бюджета Российской Федерации и территориального государственного внебюджетного фонда с 2017 г. по 2021 г.</w:t>
      </w:r>
    </w:p>
    <w:p w14:paraId="47069EBC" w14:textId="77777777" w:rsidR="00B05689" w:rsidRPr="009D5B83" w:rsidRDefault="00B05689" w:rsidP="00B05689">
      <w:pPr>
        <w:spacing w:line="276" w:lineRule="auto"/>
        <w:ind w:firstLine="709"/>
        <w:jc w:val="both"/>
        <w:rPr>
          <w:rFonts w:eastAsia="Calibri"/>
          <w:lang w:eastAsia="en-US"/>
        </w:rPr>
      </w:pPr>
    </w:p>
    <w:p w14:paraId="64047520" w14:textId="5C625BBA" w:rsidR="00B05689" w:rsidRPr="00E103B9" w:rsidRDefault="00B05689" w:rsidP="00C572ED">
      <w:pPr>
        <w:spacing w:after="60"/>
        <w:ind w:firstLine="709"/>
        <w:jc w:val="both"/>
        <w:rPr>
          <w:rFonts w:eastAsia="Calibri"/>
          <w:sz w:val="28"/>
          <w:szCs w:val="22"/>
          <w:lang w:eastAsia="en-US"/>
        </w:rPr>
      </w:pPr>
      <w:proofErr w:type="gramStart"/>
      <w:r w:rsidRPr="00E103B9">
        <w:rPr>
          <w:rFonts w:eastAsia="Calibri"/>
          <w:sz w:val="28"/>
          <w:szCs w:val="22"/>
          <w:lang w:eastAsia="en-US"/>
        </w:rPr>
        <w:t>Расходы на СПО из федерального бюджета начиная</w:t>
      </w:r>
      <w:proofErr w:type="gramEnd"/>
      <w:r w:rsidRPr="00E103B9">
        <w:rPr>
          <w:rFonts w:eastAsia="Calibri"/>
          <w:sz w:val="28"/>
          <w:szCs w:val="22"/>
          <w:lang w:eastAsia="en-US"/>
        </w:rPr>
        <w:t xml:space="preserve"> с 2017 г</w:t>
      </w:r>
      <w:r w:rsidR="00F1192B" w:rsidRPr="00E103B9">
        <w:rPr>
          <w:rFonts w:eastAsia="Calibri"/>
          <w:sz w:val="28"/>
          <w:szCs w:val="22"/>
          <w:lang w:eastAsia="en-US"/>
        </w:rPr>
        <w:t>.</w:t>
      </w:r>
      <w:r w:rsidRPr="00E103B9">
        <w:rPr>
          <w:rFonts w:eastAsia="Calibri"/>
          <w:sz w:val="28"/>
          <w:szCs w:val="22"/>
          <w:lang w:eastAsia="en-US"/>
        </w:rPr>
        <w:t xml:space="preserve"> довольно сильно выросли. Так, утвержденные бюджетные назначения составили от 10,6 </w:t>
      </w:r>
      <w:proofErr w:type="gramStart"/>
      <w:r w:rsidRPr="00E103B9">
        <w:rPr>
          <w:rFonts w:eastAsia="Calibri"/>
          <w:sz w:val="28"/>
          <w:szCs w:val="22"/>
          <w:lang w:eastAsia="en-US"/>
        </w:rPr>
        <w:t>млрд</w:t>
      </w:r>
      <w:proofErr w:type="gramEnd"/>
      <w:r w:rsidRPr="00E103B9">
        <w:rPr>
          <w:rFonts w:eastAsia="Calibri"/>
          <w:sz w:val="28"/>
          <w:szCs w:val="22"/>
          <w:lang w:eastAsia="en-US"/>
        </w:rPr>
        <w:t xml:space="preserve"> руб. в 2017 г. до 40,5 млрд руб. в 2021 г. и 62,5 млрд руб. в 2022 г. Доля финансирования СПО из </w:t>
      </w:r>
      <w:r w:rsidR="00EB52B3" w:rsidRPr="00E103B9">
        <w:rPr>
          <w:rFonts w:eastAsia="Calibri"/>
          <w:sz w:val="28"/>
          <w:szCs w:val="22"/>
          <w:lang w:eastAsia="en-US"/>
        </w:rPr>
        <w:t xml:space="preserve">федерального бюджета </w:t>
      </w:r>
      <w:r w:rsidRPr="00E103B9">
        <w:rPr>
          <w:rFonts w:eastAsia="Calibri"/>
          <w:sz w:val="28"/>
          <w:szCs w:val="22"/>
          <w:lang w:eastAsia="en-US"/>
        </w:rPr>
        <w:t xml:space="preserve">относительно общего финансирования образования выросла с 1,7% в 2017 г. до почти 4,2% в 2022 г. (согласно сводной бюджетной росписи). </w:t>
      </w:r>
    </w:p>
    <w:p w14:paraId="1A0E3CDF" w14:textId="10502F9D" w:rsidR="00B05689" w:rsidRPr="00E103B9" w:rsidRDefault="00B05689" w:rsidP="00C572ED">
      <w:pPr>
        <w:spacing w:after="60"/>
        <w:ind w:firstLine="709"/>
        <w:jc w:val="both"/>
        <w:rPr>
          <w:sz w:val="28"/>
        </w:rPr>
      </w:pPr>
      <w:r w:rsidRPr="00E103B9">
        <w:rPr>
          <w:rFonts w:eastAsia="Calibri"/>
          <w:sz w:val="28"/>
          <w:szCs w:val="22"/>
          <w:lang w:eastAsia="en-US"/>
        </w:rPr>
        <w:t>Законопроектом</w:t>
      </w:r>
      <w:r w:rsidRPr="00E103B9">
        <w:rPr>
          <w:sz w:val="28"/>
        </w:rPr>
        <w:t xml:space="preserve"> предусмотрено небольшое снижение бюджетных расходов на систему среднего профессионального образования по сравнению с Законом № 390-ФЗ: в 2023 году на 1,9% и на плановый период на 0,7% за счет расходов на обновление материально-технической базы профессиональных образовательных организаций и создание центров опережающей профессиональной подготовки. Значительно снизятся бюджетные расходы на </w:t>
      </w:r>
      <w:r w:rsidR="00EB52B3" w:rsidRPr="00E103B9">
        <w:rPr>
          <w:sz w:val="28"/>
        </w:rPr>
        <w:t>ФП</w:t>
      </w:r>
      <w:r w:rsidRPr="00E103B9">
        <w:rPr>
          <w:sz w:val="28"/>
        </w:rPr>
        <w:t xml:space="preserve"> «</w:t>
      </w:r>
      <w:proofErr w:type="spellStart"/>
      <w:r w:rsidRPr="00E103B9">
        <w:rPr>
          <w:sz w:val="28"/>
        </w:rPr>
        <w:t>Профессионалитет</w:t>
      </w:r>
      <w:proofErr w:type="spellEnd"/>
      <w:r w:rsidRPr="00E103B9">
        <w:rPr>
          <w:sz w:val="28"/>
        </w:rPr>
        <w:t>» - на 23,6% в 2023 г</w:t>
      </w:r>
      <w:r w:rsidR="00EB52B3" w:rsidRPr="00E103B9">
        <w:rPr>
          <w:sz w:val="28"/>
        </w:rPr>
        <w:t>.</w:t>
      </w:r>
      <w:r w:rsidRPr="00E103B9">
        <w:rPr>
          <w:sz w:val="28"/>
        </w:rPr>
        <w:t xml:space="preserve"> и на 20,7% в плановом периоде. Указанное снижение может негативно отразиться на трудоустройстве выпускников системы СПО, в том числе по специальности. В настоящее время безработица среди выпускников образовательных организаций СПО составляет 33,6%.</w:t>
      </w:r>
    </w:p>
    <w:p w14:paraId="2F41EE3C" w14:textId="77777777" w:rsidR="00B05689" w:rsidRPr="00E103B9" w:rsidRDefault="00B05689" w:rsidP="00C572ED">
      <w:pPr>
        <w:spacing w:after="60"/>
        <w:ind w:firstLine="709"/>
        <w:jc w:val="both"/>
        <w:rPr>
          <w:sz w:val="28"/>
        </w:rPr>
      </w:pPr>
      <w:r w:rsidRPr="00E103B9">
        <w:rPr>
          <w:sz w:val="28"/>
        </w:rPr>
        <w:t>В связи с этим целесообразно:</w:t>
      </w:r>
    </w:p>
    <w:p w14:paraId="0F5D489E" w14:textId="6F3F4711" w:rsidR="00B05689" w:rsidRPr="00E103B9" w:rsidRDefault="00B05689" w:rsidP="00C572ED">
      <w:pPr>
        <w:numPr>
          <w:ilvl w:val="0"/>
          <w:numId w:val="48"/>
        </w:numPr>
        <w:spacing w:after="60"/>
        <w:ind w:left="0" w:firstLine="709"/>
        <w:contextualSpacing/>
        <w:jc w:val="both"/>
        <w:rPr>
          <w:rFonts w:eastAsia="Calibri"/>
          <w:sz w:val="28"/>
          <w:szCs w:val="22"/>
          <w:lang w:eastAsia="en-US"/>
        </w:rPr>
      </w:pPr>
      <w:r w:rsidRPr="00E103B9">
        <w:rPr>
          <w:sz w:val="28"/>
        </w:rPr>
        <w:t>у</w:t>
      </w:r>
      <w:r w:rsidRPr="00E103B9">
        <w:rPr>
          <w:rFonts w:eastAsia="Calibri"/>
          <w:sz w:val="28"/>
          <w:szCs w:val="22"/>
          <w:lang w:eastAsia="en-US"/>
        </w:rPr>
        <w:t xml:space="preserve">величить расходы федерального бюджета на среднее профессиональное образование для обеспечения получения </w:t>
      </w:r>
      <w:proofErr w:type="gramStart"/>
      <w:r w:rsidRPr="00E103B9">
        <w:rPr>
          <w:rFonts w:eastAsia="Calibri"/>
          <w:sz w:val="28"/>
          <w:szCs w:val="22"/>
          <w:lang w:eastAsia="en-US"/>
        </w:rPr>
        <w:t>обучающимися</w:t>
      </w:r>
      <w:proofErr w:type="gramEnd"/>
      <w:r w:rsidRPr="00E103B9">
        <w:rPr>
          <w:rFonts w:eastAsia="Calibri"/>
          <w:sz w:val="28"/>
          <w:szCs w:val="22"/>
          <w:lang w:eastAsia="en-US"/>
        </w:rPr>
        <w:t xml:space="preserve"> смежной профессии/специальности для повышения возможностей их трудоустройства в новых социально-экономических условиях. Это потребует дополнительно 24,8 </w:t>
      </w:r>
      <w:proofErr w:type="gramStart"/>
      <w:r w:rsidRPr="00E103B9">
        <w:rPr>
          <w:rFonts w:eastAsia="Calibri"/>
          <w:sz w:val="28"/>
          <w:szCs w:val="22"/>
          <w:lang w:eastAsia="en-US"/>
        </w:rPr>
        <w:t>млрд</w:t>
      </w:r>
      <w:proofErr w:type="gramEnd"/>
      <w:r w:rsidRPr="00E103B9">
        <w:rPr>
          <w:rFonts w:eastAsia="Calibri"/>
          <w:sz w:val="28"/>
          <w:szCs w:val="22"/>
          <w:lang w:eastAsia="en-US"/>
        </w:rPr>
        <w:t xml:space="preserve"> руб. в 2023 г. и 39,9 млрд руб</w:t>
      </w:r>
      <w:r w:rsidR="002606E9" w:rsidRPr="00E103B9">
        <w:rPr>
          <w:rFonts w:eastAsia="Calibri"/>
          <w:sz w:val="28"/>
          <w:szCs w:val="22"/>
          <w:lang w:eastAsia="en-US"/>
        </w:rPr>
        <w:t>.</w:t>
      </w:r>
      <w:r w:rsidRPr="00E103B9">
        <w:rPr>
          <w:rFonts w:eastAsia="Calibri"/>
          <w:sz w:val="28"/>
          <w:szCs w:val="22"/>
          <w:lang w:eastAsia="en-US"/>
        </w:rPr>
        <w:t xml:space="preserve"> в 2024–2025 гг., </w:t>
      </w:r>
    </w:p>
    <w:p w14:paraId="0797222F" w14:textId="4C090EAF" w:rsidR="00B05689" w:rsidRPr="00E103B9" w:rsidRDefault="00B05689" w:rsidP="00B30599">
      <w:pPr>
        <w:numPr>
          <w:ilvl w:val="0"/>
          <w:numId w:val="48"/>
        </w:numPr>
        <w:spacing w:after="60"/>
        <w:ind w:left="0" w:firstLine="709"/>
        <w:contextualSpacing/>
        <w:jc w:val="both"/>
        <w:rPr>
          <w:rFonts w:eastAsia="Calibri"/>
          <w:sz w:val="28"/>
          <w:szCs w:val="22"/>
          <w:lang w:eastAsia="en-US"/>
        </w:rPr>
      </w:pPr>
      <w:r w:rsidRPr="00E103B9">
        <w:rPr>
          <w:rFonts w:eastAsia="Calibri"/>
          <w:sz w:val="28"/>
          <w:szCs w:val="22"/>
          <w:lang w:eastAsia="en-US"/>
        </w:rPr>
        <w:lastRenderedPageBreak/>
        <w:t>восстановить в полном объеме расходы на ФП «</w:t>
      </w:r>
      <w:proofErr w:type="spellStart"/>
      <w:r w:rsidRPr="00E103B9">
        <w:rPr>
          <w:rFonts w:eastAsia="Calibri"/>
          <w:sz w:val="28"/>
          <w:szCs w:val="22"/>
          <w:lang w:eastAsia="en-US"/>
        </w:rPr>
        <w:t>Профессионалитет</w:t>
      </w:r>
      <w:proofErr w:type="spellEnd"/>
      <w:r w:rsidRPr="00E103B9">
        <w:rPr>
          <w:rFonts w:eastAsia="Calibri"/>
          <w:sz w:val="28"/>
          <w:szCs w:val="22"/>
          <w:lang w:eastAsia="en-US"/>
        </w:rPr>
        <w:t xml:space="preserve">», поскольку структурная трансформация экономики потребует масштабного обновления материально-технической базы системы СПО. </w:t>
      </w:r>
    </w:p>
    <w:p w14:paraId="4C071A33" w14:textId="77777777" w:rsidR="00B05689" w:rsidRPr="00E103B9" w:rsidRDefault="00B05689" w:rsidP="00AA0954">
      <w:pPr>
        <w:spacing w:before="120" w:after="120"/>
        <w:ind w:firstLine="709"/>
        <w:jc w:val="both"/>
        <w:rPr>
          <w:rFonts w:eastAsia="Calibri"/>
          <w:b/>
          <w:bCs/>
          <w:i/>
          <w:iCs/>
          <w:sz w:val="28"/>
          <w:szCs w:val="22"/>
          <w:lang w:eastAsia="en-US"/>
        </w:rPr>
      </w:pPr>
      <w:r w:rsidRPr="00E103B9">
        <w:rPr>
          <w:rFonts w:eastAsia="Calibri"/>
          <w:b/>
          <w:bCs/>
          <w:i/>
          <w:iCs/>
          <w:sz w:val="28"/>
          <w:szCs w:val="22"/>
          <w:lang w:eastAsia="en-US"/>
        </w:rPr>
        <w:t>Высшее образование</w:t>
      </w:r>
    </w:p>
    <w:p w14:paraId="4784E80D" w14:textId="69963762" w:rsidR="00B05689" w:rsidRPr="00E103B9" w:rsidRDefault="00B05689" w:rsidP="00C572ED">
      <w:pPr>
        <w:spacing w:after="60"/>
        <w:ind w:firstLine="709"/>
        <w:jc w:val="both"/>
        <w:rPr>
          <w:sz w:val="28"/>
        </w:rPr>
      </w:pPr>
      <w:r w:rsidRPr="00E103B9">
        <w:rPr>
          <w:sz w:val="28"/>
        </w:rPr>
        <w:t>Расходы федерального бюджета на высшее образование с 2017 г. по 2022 г. неуклонно росли в номинальном выражении (</w:t>
      </w:r>
      <w:r w:rsidR="00EB52B3" w:rsidRPr="00E103B9">
        <w:rPr>
          <w:i/>
          <w:iCs/>
          <w:sz w:val="28"/>
        </w:rPr>
        <w:t>рисунок</w:t>
      </w:r>
      <w:r w:rsidR="00EB52B3" w:rsidRPr="00E103B9">
        <w:rPr>
          <w:sz w:val="28"/>
        </w:rPr>
        <w:t xml:space="preserve"> </w:t>
      </w:r>
      <w:r w:rsidR="00923121" w:rsidRPr="00E103B9">
        <w:rPr>
          <w:sz w:val="28"/>
        </w:rPr>
        <w:t>3</w:t>
      </w:r>
      <w:r w:rsidRPr="00E103B9">
        <w:rPr>
          <w:sz w:val="28"/>
        </w:rPr>
        <w:t>). При этом начиная с 2021 г. данный рост расходов на высшее образование отставал от темпов инфляции.</w:t>
      </w:r>
    </w:p>
    <w:p w14:paraId="50C7062D" w14:textId="77777777" w:rsidR="00B05689" w:rsidRPr="00E103B9" w:rsidRDefault="00B05689" w:rsidP="00EB52B3">
      <w:pPr>
        <w:ind w:firstLine="709"/>
        <w:jc w:val="both"/>
        <w:rPr>
          <w:sz w:val="28"/>
        </w:rPr>
      </w:pPr>
    </w:p>
    <w:p w14:paraId="377A7A6B" w14:textId="6B09F1E9" w:rsidR="00EB52B3" w:rsidRPr="00E103B9" w:rsidRDefault="00B05689" w:rsidP="00D35876">
      <w:pPr>
        <w:spacing w:after="60" w:line="276" w:lineRule="auto"/>
        <w:ind w:left="567" w:firstLine="142"/>
        <w:jc w:val="both"/>
        <w:rPr>
          <w:sz w:val="28"/>
          <w:highlight w:val="yellow"/>
        </w:rPr>
      </w:pPr>
      <w:r w:rsidRPr="00E103B9">
        <w:rPr>
          <w:rFonts w:eastAsia="Calibri"/>
          <w:noProof/>
          <w:color w:val="000000"/>
          <w:sz w:val="28"/>
          <w:shd w:val="clear" w:color="auto" w:fill="D0CECE"/>
        </w:rPr>
        <w:drawing>
          <wp:anchor distT="0" distB="0" distL="114300" distR="114300" simplePos="0" relativeHeight="251658240" behindDoc="0" locked="0" layoutInCell="1" allowOverlap="1" wp14:anchorId="31847DEA" wp14:editId="42DF47C9">
            <wp:simplePos x="1076325" y="1933575"/>
            <wp:positionH relativeFrom="column">
              <wp:align>left</wp:align>
            </wp:positionH>
            <wp:positionV relativeFrom="paragraph">
              <wp:align>top</wp:align>
            </wp:positionV>
            <wp:extent cx="5543550" cy="2743200"/>
            <wp:effectExtent l="0" t="0" r="0" b="0"/>
            <wp:wrapSquare wrapText="bothSides"/>
            <wp:docPr id="10" name="Диаграмма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701A07-F477-06D6-FBEA-17EEC9E7E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B52B3" w:rsidRPr="00E103B9">
        <w:rPr>
          <w:i/>
          <w:iCs/>
          <w:sz w:val="22"/>
          <w:szCs w:val="20"/>
        </w:rPr>
        <w:t xml:space="preserve">Источник: Федеральное казначейство, расчеты авторов. </w:t>
      </w:r>
    </w:p>
    <w:p w14:paraId="2EF296EE" w14:textId="77927153" w:rsidR="00B05689" w:rsidRPr="00E103B9" w:rsidRDefault="007931B0" w:rsidP="00ED4474">
      <w:pPr>
        <w:spacing w:after="60" w:line="276" w:lineRule="auto"/>
        <w:jc w:val="center"/>
        <w:rPr>
          <w:b/>
          <w:bCs/>
          <w:sz w:val="28"/>
        </w:rPr>
      </w:pPr>
      <w:r w:rsidRPr="00E103B9">
        <w:rPr>
          <w:b/>
          <w:bCs/>
          <w:i/>
          <w:iCs/>
          <w:sz w:val="28"/>
        </w:rPr>
        <w:t xml:space="preserve">Рисунок </w:t>
      </w:r>
      <w:r w:rsidR="00923121" w:rsidRPr="00E103B9">
        <w:rPr>
          <w:b/>
          <w:bCs/>
          <w:i/>
          <w:iCs/>
          <w:sz w:val="28"/>
        </w:rPr>
        <w:t>3</w:t>
      </w:r>
      <w:r w:rsidR="00B05689" w:rsidRPr="00E103B9">
        <w:rPr>
          <w:b/>
          <w:bCs/>
          <w:sz w:val="28"/>
        </w:rPr>
        <w:t xml:space="preserve"> - Расходы </w:t>
      </w:r>
      <w:r w:rsidR="00C572ED" w:rsidRPr="00E103B9">
        <w:rPr>
          <w:b/>
          <w:bCs/>
          <w:sz w:val="28"/>
        </w:rPr>
        <w:t>федерального бюджета</w:t>
      </w:r>
      <w:r w:rsidR="00B05689" w:rsidRPr="00E103B9">
        <w:rPr>
          <w:b/>
          <w:bCs/>
          <w:sz w:val="28"/>
        </w:rPr>
        <w:t xml:space="preserve"> на высшее образование (</w:t>
      </w:r>
      <w:proofErr w:type="gramStart"/>
      <w:r w:rsidR="00B05689" w:rsidRPr="00E103B9">
        <w:rPr>
          <w:b/>
          <w:bCs/>
          <w:sz w:val="28"/>
        </w:rPr>
        <w:t>млрд</w:t>
      </w:r>
      <w:proofErr w:type="gramEnd"/>
      <w:r w:rsidR="00B05689" w:rsidRPr="00E103B9">
        <w:rPr>
          <w:b/>
          <w:bCs/>
          <w:sz w:val="28"/>
        </w:rPr>
        <w:t xml:space="preserve"> руб.) и темпы их роста по отношению к предшествующему году (%, 2017 г.= 100%)</w:t>
      </w:r>
    </w:p>
    <w:p w14:paraId="0D83614A" w14:textId="77777777" w:rsidR="00B05689" w:rsidRPr="00E103B9" w:rsidRDefault="00B05689" w:rsidP="00D35876">
      <w:pPr>
        <w:spacing w:after="60" w:line="276" w:lineRule="auto"/>
        <w:ind w:firstLine="720"/>
        <w:jc w:val="both"/>
        <w:rPr>
          <w:sz w:val="28"/>
        </w:rPr>
      </w:pPr>
    </w:p>
    <w:p w14:paraId="0437FA2D" w14:textId="0D08BEF5" w:rsidR="00B05689" w:rsidRPr="00E103B9" w:rsidRDefault="00B05689" w:rsidP="00C572ED">
      <w:pPr>
        <w:spacing w:after="60"/>
        <w:ind w:firstLine="709"/>
        <w:jc w:val="both"/>
        <w:rPr>
          <w:sz w:val="28"/>
        </w:rPr>
      </w:pPr>
      <w:r w:rsidRPr="00E103B9">
        <w:rPr>
          <w:sz w:val="28"/>
        </w:rPr>
        <w:t xml:space="preserve">В 2023-2025 гг. расходы федерального бюджета </w:t>
      </w:r>
      <w:r w:rsidR="00EB52B3" w:rsidRPr="00E103B9">
        <w:rPr>
          <w:sz w:val="28"/>
        </w:rPr>
        <w:t>на высшее образование, согласно Законопроекту,</w:t>
      </w:r>
      <w:r w:rsidRPr="00E103B9">
        <w:rPr>
          <w:sz w:val="28"/>
        </w:rPr>
        <w:t xml:space="preserve"> должны составить:</w:t>
      </w:r>
    </w:p>
    <w:p w14:paraId="72853CDA" w14:textId="77777777" w:rsidR="00B05689" w:rsidRPr="00E103B9" w:rsidRDefault="00B05689" w:rsidP="00AA0954">
      <w:pPr>
        <w:pStyle w:val="afc"/>
        <w:numPr>
          <w:ilvl w:val="0"/>
          <w:numId w:val="70"/>
        </w:numPr>
        <w:spacing w:before="0" w:after="60"/>
        <w:ind w:left="0" w:firstLine="709"/>
        <w:rPr>
          <w:sz w:val="28"/>
        </w:rPr>
      </w:pPr>
      <w:r w:rsidRPr="00E103B9">
        <w:rPr>
          <w:sz w:val="28"/>
        </w:rPr>
        <w:t xml:space="preserve">в 2023 г. 705,3 </w:t>
      </w:r>
      <w:proofErr w:type="gramStart"/>
      <w:r w:rsidRPr="00E103B9">
        <w:rPr>
          <w:sz w:val="28"/>
        </w:rPr>
        <w:t>млрд</w:t>
      </w:r>
      <w:proofErr w:type="gramEnd"/>
      <w:r w:rsidRPr="00E103B9">
        <w:rPr>
          <w:sz w:val="28"/>
        </w:rPr>
        <w:t xml:space="preserve"> руб., рост относительно 2022 г. на 8,1%; </w:t>
      </w:r>
    </w:p>
    <w:p w14:paraId="7C7C7359" w14:textId="77777777" w:rsidR="00B05689" w:rsidRPr="00E103B9" w:rsidRDefault="00B05689" w:rsidP="00AA0954">
      <w:pPr>
        <w:pStyle w:val="afc"/>
        <w:numPr>
          <w:ilvl w:val="0"/>
          <w:numId w:val="70"/>
        </w:numPr>
        <w:spacing w:before="0" w:after="60"/>
        <w:ind w:left="0" w:firstLine="709"/>
        <w:rPr>
          <w:sz w:val="28"/>
        </w:rPr>
      </w:pPr>
      <w:r w:rsidRPr="00E103B9">
        <w:rPr>
          <w:sz w:val="28"/>
        </w:rPr>
        <w:t xml:space="preserve">в 2024 г. 749,1 </w:t>
      </w:r>
      <w:proofErr w:type="gramStart"/>
      <w:r w:rsidRPr="00E103B9">
        <w:rPr>
          <w:sz w:val="28"/>
        </w:rPr>
        <w:t>млрд</w:t>
      </w:r>
      <w:proofErr w:type="gramEnd"/>
      <w:r w:rsidRPr="00E103B9">
        <w:rPr>
          <w:sz w:val="28"/>
        </w:rPr>
        <w:t xml:space="preserve"> руб., рост относительно 2023 г. на 6,2%;</w:t>
      </w:r>
    </w:p>
    <w:p w14:paraId="4D621CC9" w14:textId="77777777" w:rsidR="00B05689" w:rsidRPr="00E103B9" w:rsidRDefault="00B05689" w:rsidP="00AA0954">
      <w:pPr>
        <w:pStyle w:val="afc"/>
        <w:numPr>
          <w:ilvl w:val="0"/>
          <w:numId w:val="70"/>
        </w:numPr>
        <w:spacing w:before="0" w:after="60"/>
        <w:ind w:left="0" w:firstLine="709"/>
        <w:rPr>
          <w:sz w:val="28"/>
        </w:rPr>
      </w:pPr>
      <w:r w:rsidRPr="00E103B9">
        <w:rPr>
          <w:sz w:val="28"/>
        </w:rPr>
        <w:t xml:space="preserve">в 2025 г. 764,3 </w:t>
      </w:r>
      <w:proofErr w:type="gramStart"/>
      <w:r w:rsidRPr="00E103B9">
        <w:rPr>
          <w:sz w:val="28"/>
        </w:rPr>
        <w:t>млрд</w:t>
      </w:r>
      <w:proofErr w:type="gramEnd"/>
      <w:r w:rsidRPr="00E103B9">
        <w:rPr>
          <w:sz w:val="28"/>
        </w:rPr>
        <w:t xml:space="preserve"> руб., рост относительно 2024 г. на 2,0%.</w:t>
      </w:r>
    </w:p>
    <w:p w14:paraId="47F723CF" w14:textId="77777777" w:rsidR="00B05689" w:rsidRPr="00E103B9" w:rsidRDefault="00B05689" w:rsidP="00C572ED">
      <w:pPr>
        <w:spacing w:after="60"/>
        <w:ind w:firstLine="709"/>
        <w:jc w:val="both"/>
        <w:rPr>
          <w:sz w:val="28"/>
        </w:rPr>
      </w:pPr>
      <w:r w:rsidRPr="00E103B9">
        <w:rPr>
          <w:sz w:val="28"/>
        </w:rPr>
        <w:t xml:space="preserve">С учетом прогнозируемых темпов инфляции расходы на </w:t>
      </w:r>
      <w:proofErr w:type="gramStart"/>
      <w:r w:rsidRPr="00E103B9">
        <w:rPr>
          <w:sz w:val="28"/>
        </w:rPr>
        <w:t>высшее</w:t>
      </w:r>
      <w:proofErr w:type="gramEnd"/>
      <w:r w:rsidRPr="00E103B9">
        <w:rPr>
          <w:sz w:val="28"/>
        </w:rPr>
        <w:t xml:space="preserve"> образования в реальном выражении практически не вырастут. </w:t>
      </w:r>
      <w:proofErr w:type="gramStart"/>
      <w:r w:rsidRPr="00E103B9">
        <w:rPr>
          <w:sz w:val="28"/>
        </w:rPr>
        <w:t xml:space="preserve">Между тем </w:t>
      </w:r>
      <w:proofErr w:type="spellStart"/>
      <w:r w:rsidRPr="00E103B9">
        <w:rPr>
          <w:sz w:val="28"/>
        </w:rPr>
        <w:t>Минобрнауки</w:t>
      </w:r>
      <w:proofErr w:type="spellEnd"/>
      <w:r w:rsidRPr="00E103B9">
        <w:rPr>
          <w:sz w:val="28"/>
        </w:rPr>
        <w:t xml:space="preserve"> России увеличило контрольные цифры приема (КЦП) на программы высшего образования на 5% в 2022 г. и затем еще на 5% в 2023 г. В настоящее время идет согласование КЦП на 2024/2025 уч. г., которые также вырастут по сравнению с 2023 г. При этом увеличение КЦП происходило и происходит за счет увеличения приема на инженерно-технические, естественнонаучные, а</w:t>
      </w:r>
      <w:proofErr w:type="gramEnd"/>
      <w:r w:rsidRPr="00E103B9">
        <w:rPr>
          <w:sz w:val="28"/>
        </w:rPr>
        <w:t xml:space="preserve"> также медицинские направления подготовки/специальности, по которым нормативы бюджетного финансирования в расчете на 1 студента в 1,3–1,8 раза выше, чем на социально-экономические и гуманитарные направления подготовки/специальности. КЦП на 2024–2025 гг., скорее всего, будут снова увеличены по указанным направлениям </w:t>
      </w:r>
      <w:r w:rsidRPr="00E103B9">
        <w:rPr>
          <w:sz w:val="28"/>
        </w:rPr>
        <w:lastRenderedPageBreak/>
        <w:t xml:space="preserve">подготовки/специальностям, несмотря на </w:t>
      </w:r>
      <w:proofErr w:type="gramStart"/>
      <w:r w:rsidRPr="00E103B9">
        <w:rPr>
          <w:sz w:val="28"/>
        </w:rPr>
        <w:t>то</w:t>
      </w:r>
      <w:proofErr w:type="gramEnd"/>
      <w:r w:rsidRPr="00E103B9">
        <w:rPr>
          <w:sz w:val="28"/>
        </w:rPr>
        <w:t xml:space="preserve"> что в 2022 г. 2,5% выделенных бюджетных мест не удалось заполнить даже при объявлении дополнительного приема и снижения требований к абитуриентам.</w:t>
      </w:r>
    </w:p>
    <w:p w14:paraId="11611F24" w14:textId="59FBF5F4" w:rsidR="00B05689" w:rsidRPr="00E103B9" w:rsidRDefault="00B05689" w:rsidP="00B30599">
      <w:pPr>
        <w:spacing w:after="60"/>
        <w:ind w:firstLine="709"/>
        <w:jc w:val="both"/>
        <w:rPr>
          <w:sz w:val="28"/>
        </w:rPr>
      </w:pPr>
      <w:r w:rsidRPr="00E103B9">
        <w:rPr>
          <w:sz w:val="28"/>
        </w:rPr>
        <w:t xml:space="preserve">При запланированном росте КЦП на 2023 г. выделяемых в бюджете средств будет недоставать для обеспечения развития системы высшего образования, особенно в плане ее </w:t>
      </w:r>
      <w:proofErr w:type="spellStart"/>
      <w:r w:rsidRPr="00E103B9">
        <w:rPr>
          <w:sz w:val="28"/>
        </w:rPr>
        <w:t>цифровизации</w:t>
      </w:r>
      <w:proofErr w:type="spellEnd"/>
      <w:r w:rsidRPr="00E103B9">
        <w:rPr>
          <w:sz w:val="28"/>
        </w:rPr>
        <w:t xml:space="preserve"> и повышения заработной платы профессорско-преподавательского состава высших учебных заведений. В связи с этим расходы федерального бюджета на высшее образование необходимо увеличить, как минимум, до 726,5 </w:t>
      </w:r>
      <w:proofErr w:type="gramStart"/>
      <w:r w:rsidRPr="00E103B9">
        <w:rPr>
          <w:sz w:val="28"/>
        </w:rPr>
        <w:t>млрд</w:t>
      </w:r>
      <w:proofErr w:type="gramEnd"/>
      <w:r w:rsidRPr="00E103B9">
        <w:rPr>
          <w:sz w:val="28"/>
        </w:rPr>
        <w:t xml:space="preserve"> руб. В 2024-2025 гг. увеличение бюджетного приема в вузы в приоритетном порядке на инженерно-технические, естественнонаучные и медицинские направления подготовки/специальности потребует либо роста бюджетных расходов выше предусмотренных в Законопроекте объемов (как минимум, до 786,5 млрд руб. в 2024 г. и до 825,4 млрд </w:t>
      </w:r>
      <w:proofErr w:type="gramStart"/>
      <w:r w:rsidRPr="00E103B9">
        <w:rPr>
          <w:sz w:val="28"/>
        </w:rPr>
        <w:t>руб. в 2025 г.), либо существенного перераспределения КЦП в пользу вузов, расположенных в субъектах РФ, где итоговые нормативные затраты в расчете на 1 бюджетного студента (нормативы бюджетного финансирования) существенно ниже, чем в  других (различия в итоговых нормативах достигают 2-2,5 раз) независимо от потребностей региональных экономик и качества соответствующих программ в получивших КЦП высших учебных заведениях.</w:t>
      </w:r>
      <w:proofErr w:type="gramEnd"/>
      <w:r w:rsidRPr="00E103B9">
        <w:rPr>
          <w:sz w:val="28"/>
        </w:rPr>
        <w:t xml:space="preserve"> В </w:t>
      </w:r>
      <w:proofErr w:type="gramStart"/>
      <w:r w:rsidRPr="00E103B9">
        <w:rPr>
          <w:sz w:val="28"/>
        </w:rPr>
        <w:t>результате</w:t>
      </w:r>
      <w:proofErr w:type="gramEnd"/>
      <w:r w:rsidRPr="00E103B9">
        <w:rPr>
          <w:sz w:val="28"/>
        </w:rPr>
        <w:t xml:space="preserve"> средства федерального бюджета могут быть использованы недостаточно эффективно.</w:t>
      </w:r>
    </w:p>
    <w:p w14:paraId="55F47122" w14:textId="77777777" w:rsidR="00B05689" w:rsidRPr="00E103B9" w:rsidRDefault="00B05689" w:rsidP="00C572ED">
      <w:pPr>
        <w:spacing w:after="60"/>
        <w:ind w:firstLine="709"/>
        <w:jc w:val="both"/>
        <w:rPr>
          <w:sz w:val="28"/>
        </w:rPr>
      </w:pPr>
      <w:bookmarkStart w:id="33" w:name="_Ref52529778"/>
      <w:r w:rsidRPr="00E103B9">
        <w:rPr>
          <w:b/>
          <w:i/>
          <w:iCs/>
          <w:sz w:val="28"/>
        </w:rPr>
        <w:t>Профессиональная подготовка, переподготовка и повышение квалификации</w:t>
      </w:r>
    </w:p>
    <w:p w14:paraId="1DA50304" w14:textId="77777777" w:rsidR="00B05689" w:rsidRPr="00E103B9" w:rsidRDefault="00B05689" w:rsidP="00B30599">
      <w:pPr>
        <w:spacing w:after="60"/>
        <w:ind w:firstLine="709"/>
        <w:jc w:val="both"/>
        <w:rPr>
          <w:sz w:val="28"/>
        </w:rPr>
      </w:pPr>
      <w:r w:rsidRPr="00E103B9">
        <w:rPr>
          <w:sz w:val="28"/>
        </w:rPr>
        <w:t xml:space="preserve">Законопроект предусматривает следующие изменения расходов федерального бюджета на профессиональную подготовку, переподготовку и повышение квалификации кадров: </w:t>
      </w:r>
    </w:p>
    <w:p w14:paraId="5E7165E0" w14:textId="77777777" w:rsidR="00B05689" w:rsidRPr="00E103B9" w:rsidRDefault="00B05689" w:rsidP="001B4AA2">
      <w:pPr>
        <w:pStyle w:val="afc"/>
        <w:numPr>
          <w:ilvl w:val="0"/>
          <w:numId w:val="72"/>
        </w:numPr>
        <w:tabs>
          <w:tab w:val="left" w:pos="284"/>
          <w:tab w:val="left" w:pos="851"/>
          <w:tab w:val="left" w:pos="1134"/>
        </w:tabs>
        <w:spacing w:before="0" w:after="60"/>
        <w:ind w:left="0" w:firstLine="709"/>
        <w:rPr>
          <w:sz w:val="28"/>
        </w:rPr>
      </w:pPr>
      <w:r w:rsidRPr="00E103B9">
        <w:rPr>
          <w:sz w:val="28"/>
        </w:rPr>
        <w:t xml:space="preserve">в 2023 г. расходы по отношению к 2022 г. увеличатся на </w:t>
      </w:r>
      <w:r w:rsidRPr="00E103B9">
        <w:rPr>
          <w:bCs/>
          <w:color w:val="000000"/>
          <w:sz w:val="28"/>
        </w:rPr>
        <w:t>11,7</w:t>
      </w:r>
      <w:r w:rsidRPr="00E103B9">
        <w:rPr>
          <w:sz w:val="28"/>
        </w:rPr>
        <w:t xml:space="preserve">% и составят 25,5 </w:t>
      </w:r>
      <w:proofErr w:type="gramStart"/>
      <w:r w:rsidRPr="00E103B9">
        <w:rPr>
          <w:sz w:val="28"/>
        </w:rPr>
        <w:t>млрд</w:t>
      </w:r>
      <w:proofErr w:type="gramEnd"/>
      <w:r w:rsidRPr="00E103B9">
        <w:rPr>
          <w:sz w:val="28"/>
        </w:rPr>
        <w:t xml:space="preserve"> руб.;</w:t>
      </w:r>
    </w:p>
    <w:p w14:paraId="3F5E2FC5" w14:textId="77777777" w:rsidR="00B05689" w:rsidRPr="00E103B9" w:rsidRDefault="00B05689" w:rsidP="001B4AA2">
      <w:pPr>
        <w:pStyle w:val="afc"/>
        <w:numPr>
          <w:ilvl w:val="0"/>
          <w:numId w:val="72"/>
        </w:numPr>
        <w:tabs>
          <w:tab w:val="left" w:pos="284"/>
          <w:tab w:val="left" w:pos="851"/>
          <w:tab w:val="left" w:pos="1134"/>
        </w:tabs>
        <w:spacing w:before="0" w:after="60"/>
        <w:ind w:left="0" w:firstLine="709"/>
        <w:rPr>
          <w:sz w:val="28"/>
        </w:rPr>
      </w:pPr>
      <w:r w:rsidRPr="00E103B9">
        <w:rPr>
          <w:sz w:val="28"/>
        </w:rPr>
        <w:t xml:space="preserve">в 2024 г. расходы по сравнению с 2023 г. уменьшатся на </w:t>
      </w:r>
      <w:r w:rsidRPr="00E103B9">
        <w:rPr>
          <w:bCs/>
          <w:color w:val="000000"/>
          <w:sz w:val="28"/>
        </w:rPr>
        <w:t>17,6</w:t>
      </w:r>
      <w:r w:rsidRPr="00E103B9">
        <w:rPr>
          <w:sz w:val="28"/>
        </w:rPr>
        <w:t xml:space="preserve">% и составят 20,98 </w:t>
      </w:r>
      <w:proofErr w:type="gramStart"/>
      <w:r w:rsidRPr="00E103B9">
        <w:rPr>
          <w:sz w:val="28"/>
        </w:rPr>
        <w:t>млрд</w:t>
      </w:r>
      <w:proofErr w:type="gramEnd"/>
      <w:r w:rsidRPr="00E103B9">
        <w:rPr>
          <w:sz w:val="28"/>
        </w:rPr>
        <w:t xml:space="preserve"> руб.; </w:t>
      </w:r>
    </w:p>
    <w:p w14:paraId="1B5B79E7" w14:textId="77777777" w:rsidR="00B05689" w:rsidRPr="00E103B9" w:rsidRDefault="00B05689" w:rsidP="001B4AA2">
      <w:pPr>
        <w:pStyle w:val="afc"/>
        <w:numPr>
          <w:ilvl w:val="0"/>
          <w:numId w:val="72"/>
        </w:numPr>
        <w:tabs>
          <w:tab w:val="left" w:pos="284"/>
          <w:tab w:val="left" w:pos="851"/>
          <w:tab w:val="left" w:pos="1134"/>
        </w:tabs>
        <w:spacing w:before="0" w:after="60"/>
        <w:ind w:left="0" w:firstLine="709"/>
        <w:rPr>
          <w:sz w:val="28"/>
        </w:rPr>
      </w:pPr>
      <w:r w:rsidRPr="00E103B9">
        <w:rPr>
          <w:sz w:val="28"/>
        </w:rPr>
        <w:t xml:space="preserve">в 2025 г. расходы по сравнению с 2024 г. уменьшатся на 15,2% и составят 17,8 </w:t>
      </w:r>
      <w:proofErr w:type="gramStart"/>
      <w:r w:rsidRPr="00E103B9">
        <w:rPr>
          <w:sz w:val="28"/>
        </w:rPr>
        <w:t>млрд</w:t>
      </w:r>
      <w:proofErr w:type="gramEnd"/>
      <w:r w:rsidRPr="00E103B9">
        <w:rPr>
          <w:sz w:val="28"/>
        </w:rPr>
        <w:t xml:space="preserve"> руб.</w:t>
      </w:r>
    </w:p>
    <w:p w14:paraId="1F604486" w14:textId="77777777" w:rsidR="00B05689" w:rsidRPr="00E103B9" w:rsidRDefault="00B05689" w:rsidP="00B30599">
      <w:pPr>
        <w:tabs>
          <w:tab w:val="left" w:pos="284"/>
        </w:tabs>
        <w:spacing w:after="60"/>
        <w:ind w:firstLine="709"/>
        <w:jc w:val="both"/>
        <w:rPr>
          <w:sz w:val="28"/>
        </w:rPr>
      </w:pPr>
      <w:r w:rsidRPr="00E103B9">
        <w:rPr>
          <w:sz w:val="28"/>
        </w:rPr>
        <w:t>Планируемое увеличение расходов в 2023 г. (по сравнению с 2022 г.) на профессиональную подготовку, переподготовку и повышение квалификации будет происходить, в основном, в рамках:</w:t>
      </w:r>
    </w:p>
    <w:p w14:paraId="4B318599" w14:textId="351274CF" w:rsidR="00B05689" w:rsidRPr="00E103B9" w:rsidRDefault="00EB52B3" w:rsidP="00B30599">
      <w:pPr>
        <w:numPr>
          <w:ilvl w:val="0"/>
          <w:numId w:val="64"/>
        </w:numPr>
        <w:tabs>
          <w:tab w:val="left" w:pos="284"/>
        </w:tabs>
        <w:spacing w:after="60"/>
        <w:ind w:left="0" w:firstLine="709"/>
        <w:contextualSpacing/>
        <w:jc w:val="both"/>
        <w:rPr>
          <w:sz w:val="28"/>
          <w:szCs w:val="20"/>
        </w:rPr>
      </w:pPr>
      <w:r w:rsidRPr="00E103B9">
        <w:rPr>
          <w:sz w:val="28"/>
          <w:szCs w:val="20"/>
        </w:rPr>
        <w:t>ГП</w:t>
      </w:r>
      <w:r w:rsidR="00B05689" w:rsidRPr="00E103B9">
        <w:rPr>
          <w:sz w:val="28"/>
          <w:szCs w:val="20"/>
        </w:rPr>
        <w:t xml:space="preserve"> </w:t>
      </w:r>
      <w:r w:rsidRPr="00E103B9">
        <w:rPr>
          <w:sz w:val="28"/>
          <w:szCs w:val="20"/>
        </w:rPr>
        <w:t>«</w:t>
      </w:r>
      <w:r w:rsidR="00B05689" w:rsidRPr="00E103B9">
        <w:rPr>
          <w:sz w:val="28"/>
          <w:szCs w:val="20"/>
        </w:rPr>
        <w:t>Развитие образования</w:t>
      </w:r>
      <w:r w:rsidRPr="00E103B9">
        <w:rPr>
          <w:sz w:val="28"/>
          <w:szCs w:val="20"/>
        </w:rPr>
        <w:t>»</w:t>
      </w:r>
      <w:r w:rsidR="00B05689" w:rsidRPr="00E103B9">
        <w:rPr>
          <w:sz w:val="28"/>
          <w:szCs w:val="20"/>
        </w:rPr>
        <w:t xml:space="preserve">: расходы по подразделу увеличатся более чем в 3 раза по сравнению с 2022 г. и составят 3,9 </w:t>
      </w:r>
      <w:proofErr w:type="gramStart"/>
      <w:r w:rsidR="00B05689" w:rsidRPr="00E103B9">
        <w:rPr>
          <w:sz w:val="28"/>
          <w:szCs w:val="20"/>
        </w:rPr>
        <w:t>млрд</w:t>
      </w:r>
      <w:proofErr w:type="gramEnd"/>
      <w:r w:rsidR="00B05689" w:rsidRPr="00E103B9">
        <w:rPr>
          <w:sz w:val="28"/>
          <w:szCs w:val="20"/>
        </w:rPr>
        <w:t xml:space="preserve"> руб. Дополнительные финансовые ресурсы планируется направить на ФП «</w:t>
      </w:r>
      <w:proofErr w:type="spellStart"/>
      <w:r w:rsidR="00B05689" w:rsidRPr="00E103B9">
        <w:rPr>
          <w:sz w:val="28"/>
          <w:szCs w:val="20"/>
        </w:rPr>
        <w:t>Профессионалитет</w:t>
      </w:r>
      <w:proofErr w:type="spellEnd"/>
      <w:r w:rsidR="00B05689" w:rsidRPr="00E103B9">
        <w:rPr>
          <w:sz w:val="28"/>
          <w:szCs w:val="20"/>
        </w:rPr>
        <w:t xml:space="preserve">» в части «финансового обеспечения выполнения функций федеральных государственных органов, оказания услуг и выполнения работ». </w:t>
      </w:r>
      <w:proofErr w:type="gramStart"/>
      <w:r w:rsidR="00B05689" w:rsidRPr="00E103B9">
        <w:rPr>
          <w:sz w:val="28"/>
          <w:szCs w:val="20"/>
        </w:rPr>
        <w:t>Согласно Пояснительной записке изменение параметров финансового обеспечения ФП «</w:t>
      </w:r>
      <w:proofErr w:type="spellStart"/>
      <w:r w:rsidR="00B05689" w:rsidRPr="00E103B9">
        <w:rPr>
          <w:sz w:val="28"/>
          <w:szCs w:val="20"/>
        </w:rPr>
        <w:t>Профессионалитет</w:t>
      </w:r>
      <w:proofErr w:type="spellEnd"/>
      <w:r w:rsidR="00B05689" w:rsidRPr="00E103B9">
        <w:rPr>
          <w:sz w:val="28"/>
          <w:szCs w:val="20"/>
        </w:rPr>
        <w:t xml:space="preserve">» обусловлено увеличением бюджетных ассигнований на повышение квалификации региональных управленческих команд образовательных организаций, реализующих образовательные программы среднего профессионального </w:t>
      </w:r>
      <w:r w:rsidR="00B05689" w:rsidRPr="00E103B9">
        <w:rPr>
          <w:sz w:val="28"/>
          <w:szCs w:val="20"/>
        </w:rPr>
        <w:lastRenderedPageBreak/>
        <w:t>образования, организацию работы по созданию и оснащению центра повышения квалификации кадров среднего профессионального образования, проведение комплекса мер по внедрению нового уровня образования «</w:t>
      </w:r>
      <w:proofErr w:type="spellStart"/>
      <w:r w:rsidR="00B05689" w:rsidRPr="00E103B9">
        <w:rPr>
          <w:sz w:val="28"/>
          <w:szCs w:val="20"/>
        </w:rPr>
        <w:t>Профессионалитет</w:t>
      </w:r>
      <w:proofErr w:type="spellEnd"/>
      <w:r w:rsidR="00B05689" w:rsidRPr="00E103B9">
        <w:rPr>
          <w:sz w:val="28"/>
          <w:szCs w:val="20"/>
        </w:rPr>
        <w:t>» в связи с продлением реализации инициатив социально-экономического развития Российской Федерации с</w:t>
      </w:r>
      <w:proofErr w:type="gramEnd"/>
      <w:r w:rsidR="00B05689" w:rsidRPr="00E103B9">
        <w:rPr>
          <w:sz w:val="28"/>
          <w:szCs w:val="20"/>
        </w:rPr>
        <w:t xml:space="preserve"> учетом решений, принятых Председателем Правительства </w:t>
      </w:r>
      <w:r w:rsidRPr="00E103B9">
        <w:rPr>
          <w:sz w:val="28"/>
          <w:szCs w:val="20"/>
        </w:rPr>
        <w:t>РФ</w:t>
      </w:r>
      <w:r w:rsidR="00B05689" w:rsidRPr="00E103B9">
        <w:rPr>
          <w:sz w:val="28"/>
          <w:szCs w:val="20"/>
        </w:rPr>
        <w:t xml:space="preserve"> М.В. </w:t>
      </w:r>
      <w:proofErr w:type="spellStart"/>
      <w:r w:rsidR="00B05689" w:rsidRPr="00E103B9">
        <w:rPr>
          <w:sz w:val="28"/>
          <w:szCs w:val="20"/>
        </w:rPr>
        <w:t>Мишустиным</w:t>
      </w:r>
      <w:proofErr w:type="spellEnd"/>
      <w:r w:rsidR="00B05689" w:rsidRPr="00E103B9">
        <w:rPr>
          <w:sz w:val="28"/>
          <w:szCs w:val="20"/>
        </w:rPr>
        <w:t xml:space="preserve">, в 2025 году на 10 </w:t>
      </w:r>
      <w:proofErr w:type="gramStart"/>
      <w:r w:rsidR="00B05689" w:rsidRPr="00E103B9">
        <w:rPr>
          <w:sz w:val="28"/>
          <w:szCs w:val="20"/>
        </w:rPr>
        <w:t>мл</w:t>
      </w:r>
      <w:r w:rsidRPr="00E103B9">
        <w:rPr>
          <w:sz w:val="28"/>
          <w:szCs w:val="20"/>
        </w:rPr>
        <w:t>рд</w:t>
      </w:r>
      <w:proofErr w:type="gramEnd"/>
      <w:r w:rsidR="00B05689" w:rsidRPr="00E103B9">
        <w:rPr>
          <w:sz w:val="28"/>
          <w:szCs w:val="20"/>
        </w:rPr>
        <w:t xml:space="preserve"> руб</w:t>
      </w:r>
      <w:r w:rsidRPr="00E103B9">
        <w:rPr>
          <w:sz w:val="28"/>
          <w:szCs w:val="20"/>
        </w:rPr>
        <w:t>.</w:t>
      </w:r>
      <w:r w:rsidR="00B05689" w:rsidRPr="00E103B9">
        <w:rPr>
          <w:sz w:val="28"/>
          <w:szCs w:val="20"/>
        </w:rPr>
        <w:t xml:space="preserve"> по сравнению с параметрами Бюджетного прогноза, а также на организацию работы по созданию и оснащению центра повышения квалификации кадров среднего профессионального образования в 2023 г. на </w:t>
      </w:r>
      <w:r w:rsidRPr="00E103B9">
        <w:rPr>
          <w:sz w:val="28"/>
          <w:szCs w:val="20"/>
        </w:rPr>
        <w:t>0,</w:t>
      </w:r>
      <w:r w:rsidR="00B05689" w:rsidRPr="00E103B9">
        <w:rPr>
          <w:sz w:val="28"/>
          <w:szCs w:val="20"/>
        </w:rPr>
        <w:t xml:space="preserve">8 </w:t>
      </w:r>
      <w:r w:rsidRPr="00E103B9">
        <w:rPr>
          <w:sz w:val="28"/>
          <w:szCs w:val="20"/>
        </w:rPr>
        <w:t xml:space="preserve">млрд </w:t>
      </w:r>
      <w:r w:rsidR="00B05689" w:rsidRPr="00E103B9">
        <w:rPr>
          <w:sz w:val="28"/>
          <w:szCs w:val="20"/>
        </w:rPr>
        <w:t>руб</w:t>
      </w:r>
      <w:r w:rsidRPr="00E103B9">
        <w:rPr>
          <w:sz w:val="28"/>
          <w:szCs w:val="20"/>
        </w:rPr>
        <w:t>.</w:t>
      </w:r>
      <w:r w:rsidR="00B05689" w:rsidRPr="00E103B9">
        <w:rPr>
          <w:sz w:val="28"/>
          <w:szCs w:val="20"/>
        </w:rPr>
        <w:t xml:space="preserve"> по сравнению с объемами, утвержденными Законом № 390-ФЗ;</w:t>
      </w:r>
    </w:p>
    <w:p w14:paraId="45DF0BE8" w14:textId="202D4878" w:rsidR="00B05689" w:rsidRPr="00E103B9" w:rsidRDefault="00EB52B3" w:rsidP="00B30599">
      <w:pPr>
        <w:numPr>
          <w:ilvl w:val="0"/>
          <w:numId w:val="64"/>
        </w:numPr>
        <w:tabs>
          <w:tab w:val="left" w:pos="284"/>
          <w:tab w:val="left" w:pos="993"/>
        </w:tabs>
        <w:spacing w:after="60"/>
        <w:ind w:left="0" w:firstLine="709"/>
        <w:contextualSpacing/>
        <w:jc w:val="both"/>
        <w:rPr>
          <w:sz w:val="28"/>
          <w:szCs w:val="20"/>
        </w:rPr>
      </w:pPr>
      <w:r w:rsidRPr="00E103B9">
        <w:rPr>
          <w:sz w:val="28"/>
          <w:szCs w:val="20"/>
        </w:rPr>
        <w:t xml:space="preserve">ГП </w:t>
      </w:r>
      <w:r w:rsidR="00B05689" w:rsidRPr="00E103B9">
        <w:rPr>
          <w:sz w:val="28"/>
          <w:szCs w:val="20"/>
        </w:rPr>
        <w:t xml:space="preserve">«Содействие занятости населения»: планируется увеличить финансирование подраздела более чем в 5 раз до </w:t>
      </w:r>
      <w:r w:rsidRPr="00E103B9">
        <w:rPr>
          <w:sz w:val="28"/>
          <w:szCs w:val="20"/>
        </w:rPr>
        <w:t>0,</w:t>
      </w:r>
      <w:r w:rsidR="00B05689" w:rsidRPr="00E103B9">
        <w:rPr>
          <w:sz w:val="28"/>
          <w:szCs w:val="20"/>
        </w:rPr>
        <w:t xml:space="preserve">9 </w:t>
      </w:r>
      <w:proofErr w:type="gramStart"/>
      <w:r w:rsidRPr="00E103B9">
        <w:rPr>
          <w:sz w:val="28"/>
          <w:szCs w:val="20"/>
        </w:rPr>
        <w:t>млрд</w:t>
      </w:r>
      <w:proofErr w:type="gramEnd"/>
      <w:r w:rsidRPr="00E103B9">
        <w:rPr>
          <w:sz w:val="28"/>
          <w:szCs w:val="20"/>
        </w:rPr>
        <w:t xml:space="preserve"> </w:t>
      </w:r>
      <w:r w:rsidR="00B05689" w:rsidRPr="00E103B9">
        <w:rPr>
          <w:sz w:val="28"/>
          <w:szCs w:val="20"/>
        </w:rPr>
        <w:t>руб. Средства будут направлены на организацию профессионального обучения и дополнительного профессионального образования работников промышленных предприятий (межбюджетные трансферты) в рамках ФП «Содействие занятости». Однако, в 2024 и 2025 гг. расходы по данному направлению не предусмотрены;</w:t>
      </w:r>
    </w:p>
    <w:p w14:paraId="18D8AE82" w14:textId="70B8D31C" w:rsidR="00B05689" w:rsidRPr="00E103B9" w:rsidRDefault="00EB52B3" w:rsidP="00B30599">
      <w:pPr>
        <w:numPr>
          <w:ilvl w:val="0"/>
          <w:numId w:val="65"/>
        </w:numPr>
        <w:tabs>
          <w:tab w:val="left" w:pos="284"/>
          <w:tab w:val="left" w:pos="993"/>
        </w:tabs>
        <w:spacing w:after="60"/>
        <w:ind w:left="0" w:firstLine="709"/>
        <w:contextualSpacing/>
        <w:jc w:val="both"/>
        <w:rPr>
          <w:sz w:val="28"/>
          <w:szCs w:val="20"/>
        </w:rPr>
      </w:pPr>
      <w:r w:rsidRPr="00E103B9">
        <w:rPr>
          <w:sz w:val="28"/>
          <w:szCs w:val="20"/>
        </w:rPr>
        <w:t>ГП</w:t>
      </w:r>
      <w:r w:rsidR="00B05689" w:rsidRPr="00E103B9">
        <w:rPr>
          <w:sz w:val="28"/>
          <w:szCs w:val="20"/>
        </w:rPr>
        <w:t xml:space="preserve"> «Обеспечение общественного порядка и противодействие преступности»: расходы увеличатся на 21,6% по сравнению с 2022 г. и составят 1,9 </w:t>
      </w:r>
      <w:proofErr w:type="gramStart"/>
      <w:r w:rsidR="00B05689" w:rsidRPr="00E103B9">
        <w:rPr>
          <w:sz w:val="28"/>
          <w:szCs w:val="20"/>
        </w:rPr>
        <w:t>млрд</w:t>
      </w:r>
      <w:proofErr w:type="gramEnd"/>
      <w:r w:rsidR="00B05689" w:rsidRPr="00E103B9">
        <w:rPr>
          <w:sz w:val="28"/>
          <w:szCs w:val="20"/>
        </w:rPr>
        <w:t xml:space="preserve"> руб.</w:t>
      </w:r>
    </w:p>
    <w:p w14:paraId="4BAB61EE" w14:textId="77777777" w:rsidR="00B05689" w:rsidRPr="00E103B9" w:rsidRDefault="00B05689" w:rsidP="00B30599">
      <w:pPr>
        <w:tabs>
          <w:tab w:val="left" w:pos="284"/>
        </w:tabs>
        <w:spacing w:after="60"/>
        <w:ind w:firstLine="709"/>
        <w:jc w:val="both"/>
        <w:rPr>
          <w:sz w:val="28"/>
        </w:rPr>
      </w:pPr>
      <w:r w:rsidRPr="00E103B9">
        <w:rPr>
          <w:sz w:val="28"/>
        </w:rPr>
        <w:t>Вместе с тем, в 2023 г. по подразделу «Профессиональная подготовка, переподготовка и повышение квалификации» по ряду госпрограмм планируется сокращение расходов (по сравнению с 2022 г.), в частности по:</w:t>
      </w:r>
    </w:p>
    <w:p w14:paraId="08D8C3DA" w14:textId="10DCA7F9" w:rsidR="00B05689" w:rsidRPr="00E103B9" w:rsidRDefault="00EB52B3" w:rsidP="00B30599">
      <w:pPr>
        <w:numPr>
          <w:ilvl w:val="0"/>
          <w:numId w:val="66"/>
        </w:numPr>
        <w:tabs>
          <w:tab w:val="left" w:pos="284"/>
          <w:tab w:val="left" w:pos="993"/>
        </w:tabs>
        <w:spacing w:after="60"/>
        <w:ind w:left="0" w:firstLine="709"/>
        <w:contextualSpacing/>
        <w:jc w:val="both"/>
        <w:rPr>
          <w:sz w:val="28"/>
          <w:szCs w:val="20"/>
        </w:rPr>
      </w:pPr>
      <w:r w:rsidRPr="00E103B9">
        <w:rPr>
          <w:sz w:val="28"/>
          <w:szCs w:val="20"/>
        </w:rPr>
        <w:t>ГП</w:t>
      </w:r>
      <w:r w:rsidR="00B05689" w:rsidRPr="00E103B9">
        <w:rPr>
          <w:sz w:val="28"/>
          <w:szCs w:val="20"/>
        </w:rPr>
        <w:t xml:space="preserve"> «Экономическое развитие и инновационная экономика»: в рамках ФП «Кадры для цифровой экономики» в 2023 г. расходы  по подразделу не предусмотрены; в рамках ФП «Системные меры по повышению производительности труда» расходы будут сокращены на 52% и составят в 2023 г. </w:t>
      </w:r>
      <w:r w:rsidRPr="00E103B9">
        <w:rPr>
          <w:sz w:val="28"/>
          <w:szCs w:val="20"/>
        </w:rPr>
        <w:t>0,</w:t>
      </w:r>
      <w:r w:rsidR="00B05689" w:rsidRPr="00E103B9">
        <w:rPr>
          <w:sz w:val="28"/>
          <w:szCs w:val="20"/>
        </w:rPr>
        <w:t>3</w:t>
      </w:r>
      <w:r w:rsidRPr="00E103B9">
        <w:rPr>
          <w:sz w:val="28"/>
          <w:szCs w:val="20"/>
        </w:rPr>
        <w:t xml:space="preserve"> </w:t>
      </w:r>
      <w:proofErr w:type="gramStart"/>
      <w:r w:rsidRPr="00E103B9">
        <w:rPr>
          <w:sz w:val="28"/>
          <w:szCs w:val="20"/>
        </w:rPr>
        <w:t>млрд</w:t>
      </w:r>
      <w:proofErr w:type="gramEnd"/>
      <w:r w:rsidR="00B05689" w:rsidRPr="00E103B9">
        <w:rPr>
          <w:sz w:val="28"/>
          <w:szCs w:val="20"/>
        </w:rPr>
        <w:t xml:space="preserve"> руб.; в рамках реализации НП «Производительность труда» предоставление субсидий бюджетным, автономным учреждениям и иным некоммерческим организациям планируется сократить на 79% до </w:t>
      </w:r>
      <w:r w:rsidRPr="00E103B9">
        <w:rPr>
          <w:sz w:val="28"/>
          <w:szCs w:val="20"/>
        </w:rPr>
        <w:t xml:space="preserve">0,01 млрд </w:t>
      </w:r>
      <w:r w:rsidR="00B05689" w:rsidRPr="00E103B9">
        <w:rPr>
          <w:sz w:val="28"/>
          <w:szCs w:val="20"/>
        </w:rPr>
        <w:t xml:space="preserve">руб.; в рамках ФП «Системные меры развития международной кооперации и экспорта» расходы будут сокращены на 26,7% до </w:t>
      </w:r>
      <w:r w:rsidRPr="00E103B9">
        <w:rPr>
          <w:sz w:val="28"/>
          <w:szCs w:val="20"/>
        </w:rPr>
        <w:t>0,07</w:t>
      </w:r>
      <w:r w:rsidR="00B05689" w:rsidRPr="00E103B9">
        <w:rPr>
          <w:sz w:val="28"/>
          <w:szCs w:val="20"/>
        </w:rPr>
        <w:t xml:space="preserve"> </w:t>
      </w:r>
      <w:proofErr w:type="gramStart"/>
      <w:r w:rsidRPr="00E103B9">
        <w:rPr>
          <w:sz w:val="28"/>
          <w:szCs w:val="20"/>
        </w:rPr>
        <w:t>млрд</w:t>
      </w:r>
      <w:proofErr w:type="gramEnd"/>
      <w:r w:rsidRPr="00E103B9">
        <w:rPr>
          <w:sz w:val="28"/>
          <w:szCs w:val="20"/>
        </w:rPr>
        <w:t xml:space="preserve"> </w:t>
      </w:r>
      <w:r w:rsidR="00B05689" w:rsidRPr="00E103B9">
        <w:rPr>
          <w:sz w:val="28"/>
          <w:szCs w:val="20"/>
        </w:rPr>
        <w:t>руб.;</w:t>
      </w:r>
    </w:p>
    <w:p w14:paraId="7EDE343E" w14:textId="2D4296DD" w:rsidR="00B05689" w:rsidRPr="00E103B9" w:rsidRDefault="00B30599" w:rsidP="00B30599">
      <w:pPr>
        <w:numPr>
          <w:ilvl w:val="0"/>
          <w:numId w:val="66"/>
        </w:numPr>
        <w:tabs>
          <w:tab w:val="left" w:pos="284"/>
          <w:tab w:val="left" w:pos="993"/>
        </w:tabs>
        <w:spacing w:after="60"/>
        <w:ind w:left="0" w:firstLine="709"/>
        <w:contextualSpacing/>
        <w:jc w:val="both"/>
        <w:rPr>
          <w:sz w:val="28"/>
          <w:szCs w:val="20"/>
        </w:rPr>
      </w:pPr>
      <w:r w:rsidRPr="00E103B9">
        <w:rPr>
          <w:sz w:val="28"/>
          <w:szCs w:val="20"/>
        </w:rPr>
        <w:t>ГП</w:t>
      </w:r>
      <w:r w:rsidR="00B05689" w:rsidRPr="00E103B9">
        <w:rPr>
          <w:sz w:val="28"/>
          <w:szCs w:val="20"/>
        </w:rPr>
        <w:t xml:space="preserve"> «Информационное общество» в рамках ФП «Кадры для цифровой экономики» расходы будут сокращены на 18,2% до 4 </w:t>
      </w:r>
      <w:proofErr w:type="gramStart"/>
      <w:r w:rsidR="00B05689" w:rsidRPr="00E103B9">
        <w:rPr>
          <w:sz w:val="28"/>
          <w:szCs w:val="20"/>
        </w:rPr>
        <w:t>млрд</w:t>
      </w:r>
      <w:proofErr w:type="gramEnd"/>
      <w:r w:rsidR="00B05689" w:rsidRPr="00E103B9">
        <w:rPr>
          <w:sz w:val="28"/>
          <w:szCs w:val="20"/>
        </w:rPr>
        <w:t xml:space="preserve"> руб. Согласно Пояснительной записке в рамках Национальной программы «Цифровая экономика Российской Федерации» предусмотрено изменение параметров финансового обеспечения ФП «Кадры для цифровой экономики», в частности: уменьшение бюджетных ассигнований на проведение обучения по дополнительным профессиональным программам с использованием мер государственной поддержки для получения новых востребованных на рынке труда цифровых компетенций на базе АНО «Университет Национальной технологической инициативы 2035» в 2023 г</w:t>
      </w:r>
      <w:r w:rsidR="00EB52B3" w:rsidRPr="00E103B9">
        <w:rPr>
          <w:sz w:val="28"/>
          <w:szCs w:val="20"/>
        </w:rPr>
        <w:t>.</w:t>
      </w:r>
      <w:r w:rsidR="00B05689" w:rsidRPr="00E103B9">
        <w:rPr>
          <w:sz w:val="28"/>
          <w:szCs w:val="20"/>
        </w:rPr>
        <w:t xml:space="preserve"> на</w:t>
      </w:r>
      <w:r w:rsidR="00EB52B3" w:rsidRPr="00E103B9">
        <w:rPr>
          <w:sz w:val="28"/>
          <w:szCs w:val="20"/>
        </w:rPr>
        <w:t xml:space="preserve"> 0,</w:t>
      </w:r>
      <w:r w:rsidR="00B05689" w:rsidRPr="00E103B9">
        <w:rPr>
          <w:sz w:val="28"/>
          <w:szCs w:val="20"/>
        </w:rPr>
        <w:t xml:space="preserve">4 </w:t>
      </w:r>
      <w:proofErr w:type="gramStart"/>
      <w:r w:rsidR="00EB52B3" w:rsidRPr="00E103B9">
        <w:rPr>
          <w:sz w:val="28"/>
          <w:szCs w:val="20"/>
        </w:rPr>
        <w:t>млрд</w:t>
      </w:r>
      <w:proofErr w:type="gramEnd"/>
      <w:r w:rsidR="00EB52B3" w:rsidRPr="00E103B9">
        <w:rPr>
          <w:sz w:val="28"/>
          <w:szCs w:val="20"/>
        </w:rPr>
        <w:t xml:space="preserve"> </w:t>
      </w:r>
      <w:r w:rsidR="00B05689" w:rsidRPr="00E103B9">
        <w:rPr>
          <w:sz w:val="28"/>
          <w:szCs w:val="20"/>
        </w:rPr>
        <w:t>руб</w:t>
      </w:r>
      <w:r w:rsidR="00EB52B3" w:rsidRPr="00E103B9">
        <w:rPr>
          <w:sz w:val="28"/>
          <w:szCs w:val="20"/>
        </w:rPr>
        <w:t>.</w:t>
      </w:r>
      <w:r w:rsidR="00B05689" w:rsidRPr="00E103B9">
        <w:rPr>
          <w:sz w:val="28"/>
          <w:szCs w:val="20"/>
        </w:rPr>
        <w:t>, в 2024 г</w:t>
      </w:r>
      <w:r w:rsidR="00EB52B3" w:rsidRPr="00E103B9">
        <w:rPr>
          <w:sz w:val="28"/>
          <w:szCs w:val="20"/>
        </w:rPr>
        <w:t>.</w:t>
      </w:r>
      <w:r w:rsidR="00B05689" w:rsidRPr="00E103B9">
        <w:rPr>
          <w:sz w:val="28"/>
          <w:szCs w:val="20"/>
        </w:rPr>
        <w:t xml:space="preserve"> на 3</w:t>
      </w:r>
      <w:r w:rsidR="00EB52B3" w:rsidRPr="00E103B9">
        <w:rPr>
          <w:sz w:val="28"/>
          <w:szCs w:val="20"/>
        </w:rPr>
        <w:t>,</w:t>
      </w:r>
      <w:r w:rsidR="00B05689" w:rsidRPr="00E103B9">
        <w:rPr>
          <w:sz w:val="28"/>
          <w:szCs w:val="20"/>
        </w:rPr>
        <w:t xml:space="preserve">7 </w:t>
      </w:r>
      <w:r w:rsidR="00EB52B3" w:rsidRPr="00E103B9">
        <w:rPr>
          <w:sz w:val="28"/>
          <w:szCs w:val="20"/>
        </w:rPr>
        <w:t xml:space="preserve">млрд </w:t>
      </w:r>
      <w:r w:rsidR="00B05689" w:rsidRPr="00E103B9">
        <w:rPr>
          <w:sz w:val="28"/>
          <w:szCs w:val="20"/>
        </w:rPr>
        <w:t xml:space="preserve">руб. При этом в рамках ФП «Искусственный интеллект» планируется увеличение бюджетных ассигнований на поддержку АНО «Университет национальной технологической инициативы 2035» на проведение мероприятий по обеспечению получения гражданами </w:t>
      </w:r>
      <w:r w:rsidR="00B05689" w:rsidRPr="00E103B9">
        <w:rPr>
          <w:sz w:val="28"/>
          <w:szCs w:val="20"/>
        </w:rPr>
        <w:lastRenderedPageBreak/>
        <w:t>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 в 2023 г</w:t>
      </w:r>
      <w:r w:rsidR="00EB52B3" w:rsidRPr="00E103B9">
        <w:rPr>
          <w:sz w:val="28"/>
          <w:szCs w:val="20"/>
        </w:rPr>
        <w:t>.</w:t>
      </w:r>
      <w:r w:rsidR="00B05689" w:rsidRPr="00E103B9">
        <w:rPr>
          <w:sz w:val="28"/>
          <w:szCs w:val="20"/>
        </w:rPr>
        <w:t xml:space="preserve"> на </w:t>
      </w:r>
      <w:r w:rsidR="00EB52B3" w:rsidRPr="00E103B9">
        <w:rPr>
          <w:sz w:val="28"/>
          <w:szCs w:val="20"/>
        </w:rPr>
        <w:t xml:space="preserve">0,2 </w:t>
      </w:r>
      <w:proofErr w:type="gramStart"/>
      <w:r w:rsidR="00EB52B3" w:rsidRPr="00E103B9">
        <w:rPr>
          <w:sz w:val="28"/>
          <w:szCs w:val="20"/>
        </w:rPr>
        <w:t>млрд</w:t>
      </w:r>
      <w:proofErr w:type="gramEnd"/>
      <w:r w:rsidR="00B05689" w:rsidRPr="00E103B9">
        <w:rPr>
          <w:sz w:val="28"/>
          <w:szCs w:val="20"/>
        </w:rPr>
        <w:t xml:space="preserve"> руб</w:t>
      </w:r>
      <w:r w:rsidR="00EB52B3" w:rsidRPr="00E103B9">
        <w:rPr>
          <w:sz w:val="28"/>
          <w:szCs w:val="20"/>
        </w:rPr>
        <w:t>.</w:t>
      </w:r>
      <w:r w:rsidR="00B05689" w:rsidRPr="00E103B9">
        <w:rPr>
          <w:sz w:val="28"/>
          <w:szCs w:val="20"/>
        </w:rPr>
        <w:t>, в 2024 г</w:t>
      </w:r>
      <w:r w:rsidR="00EB52B3" w:rsidRPr="00E103B9">
        <w:rPr>
          <w:sz w:val="28"/>
          <w:szCs w:val="20"/>
        </w:rPr>
        <w:t>.</w:t>
      </w:r>
      <w:r w:rsidR="00B05689" w:rsidRPr="00E103B9">
        <w:rPr>
          <w:sz w:val="28"/>
          <w:szCs w:val="20"/>
        </w:rPr>
        <w:t xml:space="preserve"> на </w:t>
      </w:r>
      <w:r w:rsidR="00EB52B3" w:rsidRPr="00E103B9">
        <w:rPr>
          <w:sz w:val="28"/>
          <w:szCs w:val="20"/>
        </w:rPr>
        <w:t>0,2 млрд</w:t>
      </w:r>
      <w:r w:rsidR="00B05689" w:rsidRPr="00E103B9">
        <w:rPr>
          <w:sz w:val="28"/>
          <w:szCs w:val="20"/>
        </w:rPr>
        <w:t xml:space="preserve"> руб</w:t>
      </w:r>
      <w:r w:rsidR="00EB52B3" w:rsidRPr="00E103B9">
        <w:rPr>
          <w:sz w:val="28"/>
          <w:szCs w:val="20"/>
        </w:rPr>
        <w:t>.</w:t>
      </w:r>
      <w:r w:rsidR="00B05689" w:rsidRPr="00E103B9">
        <w:rPr>
          <w:sz w:val="28"/>
          <w:szCs w:val="20"/>
        </w:rPr>
        <w:t xml:space="preserve"> в связи с перераспределением бюджетных ассигнований с иных мероприятий. Несмотря на перераспределение бюджетных ассигнований, фактически произойдет сокращение расходов по данному направлению.</w:t>
      </w:r>
    </w:p>
    <w:bookmarkEnd w:id="33"/>
    <w:p w14:paraId="2D873B9D" w14:textId="77777777" w:rsidR="00B05689" w:rsidRPr="00E103B9" w:rsidRDefault="00B05689" w:rsidP="00C572ED">
      <w:pPr>
        <w:spacing w:after="60"/>
        <w:ind w:firstLine="709"/>
        <w:jc w:val="both"/>
        <w:rPr>
          <w:sz w:val="28"/>
        </w:rPr>
      </w:pPr>
      <w:r w:rsidRPr="00E103B9">
        <w:rPr>
          <w:sz w:val="28"/>
        </w:rPr>
        <w:t>Таким образом, планируемый в 2023 г. рост расходов на систему дополнительного профессионального образование будет в первую очередь касаться создания условий для внедрения нового уровня образования в рамках ФП «</w:t>
      </w:r>
      <w:proofErr w:type="spellStart"/>
      <w:r w:rsidRPr="00E103B9">
        <w:rPr>
          <w:sz w:val="28"/>
        </w:rPr>
        <w:t>Профессионалитет</w:t>
      </w:r>
      <w:proofErr w:type="spellEnd"/>
      <w:r w:rsidRPr="00E103B9">
        <w:rPr>
          <w:sz w:val="28"/>
        </w:rPr>
        <w:t xml:space="preserve">». Развитие системы дополнительного профессионального образования (ДПО) для решения задачи развития ключевых отраслей экономики, обеспечивающих технологический суверенитет России частично возможно в рамках ФП «Содействие занятости», однако, в 2024 и 2025 гг. расходы по данному направлению не предусмотрены. </w:t>
      </w:r>
    </w:p>
    <w:p w14:paraId="788F93F9" w14:textId="6EBEDD80" w:rsidR="00B05689" w:rsidRPr="00E103B9" w:rsidRDefault="00B05689" w:rsidP="00B30599">
      <w:pPr>
        <w:spacing w:after="60"/>
        <w:ind w:firstLine="709"/>
        <w:jc w:val="both"/>
        <w:rPr>
          <w:sz w:val="28"/>
        </w:rPr>
      </w:pPr>
      <w:r w:rsidRPr="00E103B9">
        <w:rPr>
          <w:sz w:val="28"/>
        </w:rPr>
        <w:t xml:space="preserve">В целом развитию программ ДПО, в том числе в системах среднего профессионального и высшего образования, в новых социально-экономических условиях должно уделяться особое внимание, поэтому расходы федерального бюджета на эти цели не должны снижаться. Соответственно, целесообразно увеличить расходы федерального бюджета на профессиональную подготовку, переподготовку и повышение квалификации, как минимум, на 4,5 </w:t>
      </w:r>
      <w:proofErr w:type="gramStart"/>
      <w:r w:rsidRPr="00E103B9">
        <w:rPr>
          <w:sz w:val="28"/>
        </w:rPr>
        <w:t>млрд</w:t>
      </w:r>
      <w:proofErr w:type="gramEnd"/>
      <w:r w:rsidRPr="00E103B9">
        <w:rPr>
          <w:sz w:val="28"/>
        </w:rPr>
        <w:t xml:space="preserve"> руб. в 2024 г. и на 7,7 млрд руб. в 2025 г. </w:t>
      </w:r>
    </w:p>
    <w:p w14:paraId="372CC200" w14:textId="77777777" w:rsidR="00B05689" w:rsidRPr="00E103B9" w:rsidRDefault="00B05689" w:rsidP="00C572ED">
      <w:pPr>
        <w:spacing w:after="60"/>
        <w:ind w:firstLine="709"/>
        <w:jc w:val="both"/>
        <w:rPr>
          <w:b/>
          <w:bCs/>
          <w:i/>
          <w:iCs/>
          <w:sz w:val="28"/>
        </w:rPr>
      </w:pPr>
      <w:r w:rsidRPr="00E103B9">
        <w:rPr>
          <w:b/>
          <w:bCs/>
          <w:i/>
          <w:iCs/>
          <w:sz w:val="28"/>
        </w:rPr>
        <w:t>Молодежная политика</w:t>
      </w:r>
    </w:p>
    <w:p w14:paraId="4B1B4E4B" w14:textId="44B9054C" w:rsidR="00B05689" w:rsidRPr="00E103B9" w:rsidRDefault="00B05689" w:rsidP="00C572ED">
      <w:pPr>
        <w:spacing w:after="60"/>
        <w:ind w:firstLine="709"/>
        <w:jc w:val="both"/>
        <w:rPr>
          <w:rFonts w:eastAsia="Calibri"/>
          <w:sz w:val="28"/>
          <w:lang w:eastAsia="en-US"/>
        </w:rPr>
      </w:pPr>
      <w:r w:rsidRPr="00E103B9">
        <w:rPr>
          <w:rFonts w:eastAsia="Calibri"/>
          <w:sz w:val="28"/>
          <w:lang w:eastAsia="en-US"/>
        </w:rPr>
        <w:t>На реализацию мероприятий в сфере государственной молодежной политики (далее ГМП) в 2022 г</w:t>
      </w:r>
      <w:r w:rsidR="00EB52B3" w:rsidRPr="00E103B9">
        <w:rPr>
          <w:rFonts w:eastAsia="Calibri"/>
          <w:sz w:val="28"/>
          <w:lang w:eastAsia="en-US"/>
        </w:rPr>
        <w:t>.</w:t>
      </w:r>
      <w:r w:rsidRPr="00E103B9">
        <w:rPr>
          <w:rFonts w:eastAsia="Calibri"/>
          <w:sz w:val="28"/>
          <w:lang w:eastAsia="en-US"/>
        </w:rPr>
        <w:t xml:space="preserve"> предусмотрено 38,3 </w:t>
      </w:r>
      <w:proofErr w:type="gramStart"/>
      <w:r w:rsidRPr="00E103B9">
        <w:rPr>
          <w:rFonts w:eastAsia="Calibri"/>
          <w:sz w:val="28"/>
          <w:lang w:eastAsia="en-US"/>
        </w:rPr>
        <w:t>млрд</w:t>
      </w:r>
      <w:proofErr w:type="gramEnd"/>
      <w:r w:rsidRPr="00E103B9">
        <w:rPr>
          <w:rFonts w:eastAsia="Calibri"/>
          <w:sz w:val="28"/>
          <w:lang w:eastAsia="en-US"/>
        </w:rPr>
        <w:t xml:space="preserve"> руб. Однако в предыдущие годы на ГМП выделяли существенно меньше, но с заметным ростом финансирования от года к году. Вместе с тем наблюдалась тенденция к снижению их кассового исполнения: </w:t>
      </w:r>
    </w:p>
    <w:p w14:paraId="71977A58" w14:textId="2DA3B999" w:rsidR="00B05689" w:rsidRPr="00E103B9" w:rsidRDefault="00B05689" w:rsidP="00B30599">
      <w:pPr>
        <w:pStyle w:val="afc"/>
        <w:numPr>
          <w:ilvl w:val="0"/>
          <w:numId w:val="67"/>
        </w:numPr>
        <w:spacing w:before="0" w:after="60"/>
        <w:ind w:left="0" w:firstLine="709"/>
        <w:rPr>
          <w:rFonts w:eastAsia="Calibri"/>
          <w:sz w:val="28"/>
          <w:lang w:eastAsia="en-US"/>
        </w:rPr>
      </w:pPr>
      <w:r w:rsidRPr="00E103B9">
        <w:rPr>
          <w:rFonts w:eastAsia="Calibri"/>
          <w:sz w:val="28"/>
          <w:lang w:eastAsia="en-US"/>
        </w:rPr>
        <w:t>2018 г</w:t>
      </w:r>
      <w:r w:rsidR="00FD5D90" w:rsidRPr="00E103B9">
        <w:rPr>
          <w:rFonts w:eastAsia="Calibri"/>
          <w:sz w:val="28"/>
          <w:lang w:eastAsia="en-US"/>
        </w:rPr>
        <w:t>.</w:t>
      </w:r>
      <w:r w:rsidRPr="00E103B9">
        <w:rPr>
          <w:rFonts w:eastAsia="Calibri"/>
          <w:sz w:val="28"/>
          <w:lang w:eastAsia="en-US"/>
        </w:rPr>
        <w:t xml:space="preserve"> из выделенных 5,29 </w:t>
      </w:r>
      <w:proofErr w:type="gramStart"/>
      <w:r w:rsidRPr="00E103B9">
        <w:rPr>
          <w:rFonts w:eastAsia="Calibri"/>
          <w:sz w:val="28"/>
          <w:lang w:eastAsia="en-US"/>
        </w:rPr>
        <w:t>млрд</w:t>
      </w:r>
      <w:proofErr w:type="gramEnd"/>
      <w:r w:rsidRPr="00E103B9">
        <w:rPr>
          <w:rFonts w:eastAsia="Calibri"/>
          <w:sz w:val="28"/>
          <w:lang w:eastAsia="en-US"/>
        </w:rPr>
        <w:t xml:space="preserve"> руб</w:t>
      </w:r>
      <w:r w:rsidR="00FD5D90" w:rsidRPr="00E103B9">
        <w:rPr>
          <w:rFonts w:eastAsia="Calibri"/>
          <w:sz w:val="28"/>
          <w:lang w:eastAsia="en-US"/>
        </w:rPr>
        <w:t>.</w:t>
      </w:r>
      <w:r w:rsidRPr="00E103B9">
        <w:rPr>
          <w:rFonts w:eastAsia="Calibri"/>
          <w:sz w:val="28"/>
          <w:lang w:eastAsia="en-US"/>
        </w:rPr>
        <w:t xml:space="preserve"> исполнено 5,0 млрд руб</w:t>
      </w:r>
      <w:r w:rsidR="00FD5D90" w:rsidRPr="00E103B9">
        <w:rPr>
          <w:rFonts w:eastAsia="Calibri"/>
          <w:sz w:val="28"/>
          <w:lang w:eastAsia="en-US"/>
        </w:rPr>
        <w:t>.</w:t>
      </w:r>
      <w:r w:rsidRPr="00E103B9">
        <w:rPr>
          <w:rFonts w:eastAsia="Calibri"/>
          <w:sz w:val="28"/>
          <w:lang w:eastAsia="en-US"/>
        </w:rPr>
        <w:t xml:space="preserve"> (94,3%);</w:t>
      </w:r>
    </w:p>
    <w:p w14:paraId="5B3D7FC6" w14:textId="6BED8FE1" w:rsidR="00B05689" w:rsidRPr="00E103B9" w:rsidRDefault="00B05689" w:rsidP="00B30599">
      <w:pPr>
        <w:pStyle w:val="afc"/>
        <w:numPr>
          <w:ilvl w:val="0"/>
          <w:numId w:val="67"/>
        </w:numPr>
        <w:spacing w:before="0" w:after="60"/>
        <w:ind w:left="0" w:firstLine="709"/>
        <w:rPr>
          <w:rFonts w:eastAsia="Calibri"/>
          <w:sz w:val="28"/>
          <w:lang w:eastAsia="en-US"/>
        </w:rPr>
      </w:pPr>
      <w:r w:rsidRPr="00E103B9">
        <w:rPr>
          <w:rFonts w:eastAsia="Calibri"/>
          <w:sz w:val="28"/>
          <w:lang w:eastAsia="en-US"/>
        </w:rPr>
        <w:t>2019 г</w:t>
      </w:r>
      <w:r w:rsidR="00FD5D90" w:rsidRPr="00E103B9">
        <w:rPr>
          <w:rFonts w:eastAsia="Calibri"/>
          <w:sz w:val="28"/>
          <w:lang w:eastAsia="en-US"/>
        </w:rPr>
        <w:t>.</w:t>
      </w:r>
      <w:r w:rsidRPr="00E103B9">
        <w:rPr>
          <w:rFonts w:eastAsia="Calibri"/>
          <w:sz w:val="28"/>
          <w:lang w:eastAsia="en-US"/>
        </w:rPr>
        <w:t xml:space="preserve"> – из 10,15 </w:t>
      </w:r>
      <w:proofErr w:type="gramStart"/>
      <w:r w:rsidRPr="00E103B9">
        <w:rPr>
          <w:rFonts w:eastAsia="Calibri"/>
          <w:sz w:val="28"/>
          <w:lang w:eastAsia="en-US"/>
        </w:rPr>
        <w:t>млрд</w:t>
      </w:r>
      <w:proofErr w:type="gramEnd"/>
      <w:r w:rsidRPr="00E103B9">
        <w:rPr>
          <w:rFonts w:eastAsia="Calibri"/>
          <w:sz w:val="28"/>
          <w:lang w:eastAsia="en-US"/>
        </w:rPr>
        <w:t xml:space="preserve"> руб</w:t>
      </w:r>
      <w:r w:rsidR="00FD5D90" w:rsidRPr="00E103B9">
        <w:rPr>
          <w:rFonts w:eastAsia="Calibri"/>
          <w:sz w:val="28"/>
          <w:lang w:eastAsia="en-US"/>
        </w:rPr>
        <w:t>.</w:t>
      </w:r>
      <w:r w:rsidRPr="00E103B9">
        <w:rPr>
          <w:rFonts w:eastAsia="Calibri"/>
          <w:sz w:val="28"/>
          <w:lang w:eastAsia="en-US"/>
        </w:rPr>
        <w:t xml:space="preserve"> исполнено 9,73 млрд руб</w:t>
      </w:r>
      <w:r w:rsidR="00FD5D90" w:rsidRPr="00E103B9">
        <w:rPr>
          <w:rFonts w:eastAsia="Calibri"/>
          <w:sz w:val="28"/>
          <w:lang w:eastAsia="en-US"/>
        </w:rPr>
        <w:t>.</w:t>
      </w:r>
      <w:r w:rsidRPr="00E103B9">
        <w:rPr>
          <w:rFonts w:eastAsia="Calibri"/>
          <w:sz w:val="28"/>
          <w:lang w:eastAsia="en-US"/>
        </w:rPr>
        <w:t xml:space="preserve"> (95,8%);</w:t>
      </w:r>
    </w:p>
    <w:p w14:paraId="615BA7DE" w14:textId="7453EEA8" w:rsidR="00B05689" w:rsidRPr="00E103B9" w:rsidRDefault="00B05689" w:rsidP="00B30599">
      <w:pPr>
        <w:pStyle w:val="afc"/>
        <w:numPr>
          <w:ilvl w:val="0"/>
          <w:numId w:val="67"/>
        </w:numPr>
        <w:spacing w:before="0" w:after="60"/>
        <w:ind w:left="0" w:firstLine="709"/>
        <w:rPr>
          <w:rFonts w:eastAsia="Calibri"/>
          <w:sz w:val="28"/>
          <w:lang w:eastAsia="en-US"/>
        </w:rPr>
      </w:pPr>
      <w:r w:rsidRPr="00E103B9">
        <w:rPr>
          <w:rFonts w:eastAsia="Calibri"/>
          <w:sz w:val="28"/>
          <w:lang w:eastAsia="en-US"/>
        </w:rPr>
        <w:t xml:space="preserve">2020 </w:t>
      </w:r>
      <w:r w:rsidR="00FD5D90" w:rsidRPr="00E103B9">
        <w:rPr>
          <w:rFonts w:eastAsia="Calibri"/>
          <w:sz w:val="28"/>
          <w:lang w:eastAsia="en-US"/>
        </w:rPr>
        <w:t>г.</w:t>
      </w:r>
      <w:r w:rsidRPr="00E103B9">
        <w:rPr>
          <w:rFonts w:eastAsia="Calibri"/>
          <w:sz w:val="28"/>
          <w:lang w:eastAsia="en-US"/>
        </w:rPr>
        <w:t xml:space="preserve"> – из 18,47 </w:t>
      </w:r>
      <w:proofErr w:type="gramStart"/>
      <w:r w:rsidRPr="00E103B9">
        <w:rPr>
          <w:rFonts w:eastAsia="Calibri"/>
          <w:sz w:val="28"/>
          <w:lang w:eastAsia="en-US"/>
        </w:rPr>
        <w:t>млрд</w:t>
      </w:r>
      <w:proofErr w:type="gramEnd"/>
      <w:r w:rsidRPr="00E103B9">
        <w:rPr>
          <w:rFonts w:eastAsia="Calibri"/>
          <w:sz w:val="28"/>
          <w:lang w:eastAsia="en-US"/>
        </w:rPr>
        <w:t xml:space="preserve"> руб</w:t>
      </w:r>
      <w:r w:rsidR="00FD5D90" w:rsidRPr="00E103B9">
        <w:rPr>
          <w:rFonts w:eastAsia="Calibri"/>
          <w:sz w:val="28"/>
          <w:lang w:eastAsia="en-US"/>
        </w:rPr>
        <w:t>.</w:t>
      </w:r>
      <w:r w:rsidRPr="00E103B9">
        <w:rPr>
          <w:rFonts w:eastAsia="Calibri"/>
          <w:sz w:val="28"/>
          <w:lang w:eastAsia="en-US"/>
        </w:rPr>
        <w:t xml:space="preserve"> исполнено 15,22 млрд руб</w:t>
      </w:r>
      <w:r w:rsidR="00FD5D90" w:rsidRPr="00E103B9">
        <w:rPr>
          <w:rFonts w:eastAsia="Calibri"/>
          <w:sz w:val="28"/>
          <w:lang w:eastAsia="en-US"/>
        </w:rPr>
        <w:t>.</w:t>
      </w:r>
      <w:r w:rsidRPr="00E103B9">
        <w:rPr>
          <w:rFonts w:eastAsia="Calibri"/>
          <w:sz w:val="28"/>
          <w:lang w:eastAsia="en-US"/>
        </w:rPr>
        <w:t xml:space="preserve"> (82,4%);</w:t>
      </w:r>
    </w:p>
    <w:p w14:paraId="1443E0CB" w14:textId="31B52FA4" w:rsidR="00B05689" w:rsidRPr="00E103B9" w:rsidRDefault="00B05689" w:rsidP="00B30599">
      <w:pPr>
        <w:pStyle w:val="afc"/>
        <w:numPr>
          <w:ilvl w:val="0"/>
          <w:numId w:val="67"/>
        </w:numPr>
        <w:spacing w:before="0" w:after="60"/>
        <w:ind w:left="0" w:firstLine="709"/>
        <w:rPr>
          <w:rFonts w:eastAsia="Calibri"/>
          <w:sz w:val="28"/>
          <w:lang w:eastAsia="en-US"/>
        </w:rPr>
      </w:pPr>
      <w:r w:rsidRPr="00E103B9">
        <w:rPr>
          <w:rFonts w:eastAsia="Calibri"/>
          <w:sz w:val="28"/>
          <w:lang w:eastAsia="en-US"/>
        </w:rPr>
        <w:t>2021 г</w:t>
      </w:r>
      <w:r w:rsidR="00FD5D90" w:rsidRPr="00E103B9">
        <w:rPr>
          <w:rFonts w:eastAsia="Calibri"/>
          <w:sz w:val="28"/>
          <w:lang w:eastAsia="en-US"/>
        </w:rPr>
        <w:t>.</w:t>
      </w:r>
      <w:r w:rsidRPr="00E103B9">
        <w:rPr>
          <w:rFonts w:eastAsia="Calibri"/>
          <w:sz w:val="28"/>
          <w:lang w:eastAsia="en-US"/>
        </w:rPr>
        <w:t xml:space="preserve"> – из 31,01 </w:t>
      </w:r>
      <w:proofErr w:type="gramStart"/>
      <w:r w:rsidRPr="00E103B9">
        <w:rPr>
          <w:rFonts w:eastAsia="Calibri"/>
          <w:sz w:val="28"/>
          <w:lang w:eastAsia="en-US"/>
        </w:rPr>
        <w:t>млрд</w:t>
      </w:r>
      <w:proofErr w:type="gramEnd"/>
      <w:r w:rsidRPr="00E103B9">
        <w:rPr>
          <w:rFonts w:eastAsia="Calibri"/>
          <w:sz w:val="28"/>
          <w:lang w:eastAsia="en-US"/>
        </w:rPr>
        <w:t xml:space="preserve"> руб</w:t>
      </w:r>
      <w:r w:rsidR="00FD5D90" w:rsidRPr="00E103B9">
        <w:rPr>
          <w:rFonts w:eastAsia="Calibri"/>
          <w:sz w:val="28"/>
          <w:lang w:eastAsia="en-US"/>
        </w:rPr>
        <w:t>.</w:t>
      </w:r>
      <w:r w:rsidRPr="00E103B9">
        <w:rPr>
          <w:rFonts w:eastAsia="Calibri"/>
          <w:sz w:val="28"/>
          <w:lang w:eastAsia="en-US"/>
        </w:rPr>
        <w:t xml:space="preserve"> исполнено 26,46 млрд руб</w:t>
      </w:r>
      <w:r w:rsidR="00FD5D90" w:rsidRPr="00E103B9">
        <w:rPr>
          <w:rFonts w:eastAsia="Calibri"/>
          <w:sz w:val="28"/>
          <w:lang w:eastAsia="en-US"/>
        </w:rPr>
        <w:t>.</w:t>
      </w:r>
      <w:r w:rsidRPr="00E103B9">
        <w:rPr>
          <w:rFonts w:eastAsia="Calibri"/>
          <w:sz w:val="28"/>
          <w:lang w:eastAsia="en-US"/>
        </w:rPr>
        <w:t xml:space="preserve"> (86,4%).</w:t>
      </w:r>
    </w:p>
    <w:p w14:paraId="0B1389DD" w14:textId="77777777" w:rsidR="00B05689" w:rsidRPr="00E103B9" w:rsidRDefault="00B05689" w:rsidP="00C572ED">
      <w:pPr>
        <w:spacing w:after="60"/>
        <w:ind w:firstLine="709"/>
        <w:jc w:val="both"/>
        <w:rPr>
          <w:rFonts w:eastAsia="Calibri"/>
          <w:sz w:val="28"/>
          <w:lang w:eastAsia="en-US"/>
        </w:rPr>
      </w:pPr>
      <w:r w:rsidRPr="00E103B9">
        <w:rPr>
          <w:rFonts w:eastAsia="Calibri"/>
          <w:sz w:val="28"/>
          <w:lang w:eastAsia="en-US"/>
        </w:rPr>
        <w:t xml:space="preserve">Более 90% от общего объема расходов федерального бюджета на ГМП приходится на </w:t>
      </w:r>
      <w:proofErr w:type="spellStart"/>
      <w:r w:rsidRPr="00E103B9">
        <w:rPr>
          <w:rFonts w:eastAsia="Calibri"/>
          <w:sz w:val="28"/>
          <w:lang w:eastAsia="en-US"/>
        </w:rPr>
        <w:t>Росмолодежь</w:t>
      </w:r>
      <w:proofErr w:type="spellEnd"/>
      <w:r w:rsidRPr="00E103B9">
        <w:rPr>
          <w:rFonts w:eastAsia="Calibri"/>
          <w:sz w:val="28"/>
          <w:lang w:eastAsia="en-US"/>
        </w:rPr>
        <w:t>.</w:t>
      </w:r>
    </w:p>
    <w:p w14:paraId="079CAD05" w14:textId="0EF1630D" w:rsidR="00B05689" w:rsidRPr="00E103B9" w:rsidRDefault="00B05689" w:rsidP="00C572ED">
      <w:pPr>
        <w:spacing w:after="60"/>
        <w:ind w:firstLine="709"/>
        <w:jc w:val="both"/>
        <w:rPr>
          <w:rFonts w:eastAsia="Calibri"/>
          <w:sz w:val="28"/>
          <w:lang w:eastAsia="en-US"/>
        </w:rPr>
      </w:pPr>
      <w:r w:rsidRPr="00E103B9">
        <w:rPr>
          <w:rFonts w:eastAsia="Calibri"/>
          <w:sz w:val="28"/>
          <w:lang w:eastAsia="en-US"/>
        </w:rPr>
        <w:t xml:space="preserve">Фактором роста расходов федерального бюджета на молодежную политику стали национальные проекты, реализация которых началась с 2019 г. В настоящее время эти расходы присутствуют в четырех федеральных проектах: «Цифровая культура», «Социальная активность», «Социальные лифты для каждого» и «Патриотическое воспитание граждан Российской Федерации». </w:t>
      </w:r>
    </w:p>
    <w:p w14:paraId="20A6421B" w14:textId="5AFF82A3" w:rsidR="00B05689" w:rsidRPr="00E103B9" w:rsidRDefault="00B05689" w:rsidP="00C572ED">
      <w:pPr>
        <w:spacing w:after="60"/>
        <w:ind w:firstLine="709"/>
        <w:jc w:val="both"/>
        <w:rPr>
          <w:sz w:val="28"/>
        </w:rPr>
      </w:pPr>
      <w:r w:rsidRPr="00E103B9">
        <w:rPr>
          <w:sz w:val="28"/>
        </w:rPr>
        <w:t>Согласно Законопроекту, расходы на ГМП, утвержденные </w:t>
      </w:r>
      <w:r w:rsidR="00FD5D90" w:rsidRPr="00E103B9">
        <w:rPr>
          <w:sz w:val="28"/>
        </w:rPr>
        <w:t xml:space="preserve">Законом </w:t>
      </w:r>
      <w:r w:rsidRPr="00E103B9">
        <w:rPr>
          <w:sz w:val="28"/>
        </w:rPr>
        <w:t>390-ФЗ, должны вырасти в 2023 г</w:t>
      </w:r>
      <w:r w:rsidR="00FD5D90" w:rsidRPr="00E103B9">
        <w:rPr>
          <w:sz w:val="28"/>
        </w:rPr>
        <w:t xml:space="preserve">. </w:t>
      </w:r>
      <w:r w:rsidRPr="00E103B9">
        <w:rPr>
          <w:sz w:val="28"/>
        </w:rPr>
        <w:t>на 93,7% и в 2024 г</w:t>
      </w:r>
      <w:r w:rsidR="00FD5D90" w:rsidRPr="00E103B9">
        <w:rPr>
          <w:sz w:val="28"/>
        </w:rPr>
        <w:t>.</w:t>
      </w:r>
      <w:r w:rsidRPr="00E103B9">
        <w:rPr>
          <w:sz w:val="28"/>
        </w:rPr>
        <w:t xml:space="preserve"> на 77,3%. Основные </w:t>
      </w:r>
      <w:r w:rsidR="00FD5D90" w:rsidRPr="00E103B9">
        <w:rPr>
          <w:sz w:val="28"/>
        </w:rPr>
        <w:t>федеральные проекты</w:t>
      </w:r>
      <w:r w:rsidRPr="00E103B9">
        <w:rPr>
          <w:sz w:val="28"/>
        </w:rPr>
        <w:t>, за счет которых растут расходы на молодежную политику, это:</w:t>
      </w:r>
    </w:p>
    <w:p w14:paraId="2542BC82" w14:textId="174398BC" w:rsidR="00B05689" w:rsidRPr="00E103B9" w:rsidRDefault="00B05689" w:rsidP="00C572ED">
      <w:pPr>
        <w:numPr>
          <w:ilvl w:val="0"/>
          <w:numId w:val="47"/>
        </w:numPr>
        <w:spacing w:after="60"/>
        <w:ind w:left="0" w:firstLine="709"/>
        <w:contextualSpacing/>
        <w:jc w:val="both"/>
        <w:rPr>
          <w:sz w:val="28"/>
        </w:rPr>
      </w:pPr>
      <w:r w:rsidRPr="00E103B9">
        <w:rPr>
          <w:sz w:val="28"/>
        </w:rPr>
        <w:t xml:space="preserve">ФП «Цифровая культура», расходы на </w:t>
      </w:r>
      <w:proofErr w:type="gramStart"/>
      <w:r w:rsidRPr="00E103B9">
        <w:rPr>
          <w:sz w:val="28"/>
        </w:rPr>
        <w:t>который</w:t>
      </w:r>
      <w:proofErr w:type="gramEnd"/>
      <w:r w:rsidRPr="00E103B9">
        <w:rPr>
          <w:sz w:val="28"/>
        </w:rPr>
        <w:t xml:space="preserve"> предполагается увеличить в 2023 г</w:t>
      </w:r>
      <w:r w:rsidR="00FD5D90" w:rsidRPr="00E103B9">
        <w:rPr>
          <w:sz w:val="28"/>
        </w:rPr>
        <w:t>.</w:t>
      </w:r>
      <w:r w:rsidRPr="00E103B9">
        <w:rPr>
          <w:sz w:val="28"/>
        </w:rPr>
        <w:t xml:space="preserve"> на 59,7%;</w:t>
      </w:r>
    </w:p>
    <w:p w14:paraId="0C4691A2" w14:textId="17471EE5" w:rsidR="00B05689" w:rsidRPr="00E103B9" w:rsidRDefault="00B05689" w:rsidP="00C572ED">
      <w:pPr>
        <w:numPr>
          <w:ilvl w:val="0"/>
          <w:numId w:val="47"/>
        </w:numPr>
        <w:spacing w:after="60"/>
        <w:ind w:left="0" w:firstLine="709"/>
        <w:contextualSpacing/>
        <w:jc w:val="both"/>
        <w:rPr>
          <w:sz w:val="28"/>
        </w:rPr>
      </w:pPr>
      <w:r w:rsidRPr="00E103B9">
        <w:rPr>
          <w:sz w:val="28"/>
        </w:rPr>
        <w:lastRenderedPageBreak/>
        <w:t xml:space="preserve">ФП «Социальная активность», рост </w:t>
      </w:r>
      <w:proofErr w:type="gramStart"/>
      <w:r w:rsidRPr="00E103B9">
        <w:rPr>
          <w:sz w:val="28"/>
        </w:rPr>
        <w:t>расходов</w:t>
      </w:r>
      <w:proofErr w:type="gramEnd"/>
      <w:r w:rsidRPr="00E103B9">
        <w:rPr>
          <w:sz w:val="28"/>
        </w:rPr>
        <w:t xml:space="preserve"> на который из федерального бюджета в 2023 г</w:t>
      </w:r>
      <w:r w:rsidR="00FD5D90" w:rsidRPr="00E103B9">
        <w:rPr>
          <w:sz w:val="28"/>
        </w:rPr>
        <w:t>.</w:t>
      </w:r>
      <w:r w:rsidRPr="00E103B9">
        <w:rPr>
          <w:sz w:val="28"/>
        </w:rPr>
        <w:t xml:space="preserve"> предусмотрен на 18,2%, а в 2024 </w:t>
      </w:r>
      <w:r w:rsidR="00FD5D90" w:rsidRPr="00E103B9">
        <w:rPr>
          <w:sz w:val="28"/>
        </w:rPr>
        <w:t xml:space="preserve">г. </w:t>
      </w:r>
      <w:r w:rsidRPr="00E103B9">
        <w:rPr>
          <w:sz w:val="28"/>
        </w:rPr>
        <w:t>– на 15,7%;</w:t>
      </w:r>
    </w:p>
    <w:p w14:paraId="0A4DB57E" w14:textId="200EB0F3" w:rsidR="00B05689" w:rsidRPr="00E103B9" w:rsidRDefault="00B05689" w:rsidP="00C572ED">
      <w:pPr>
        <w:numPr>
          <w:ilvl w:val="0"/>
          <w:numId w:val="47"/>
        </w:numPr>
        <w:spacing w:after="60"/>
        <w:ind w:left="0" w:firstLine="709"/>
        <w:contextualSpacing/>
        <w:jc w:val="both"/>
        <w:rPr>
          <w:sz w:val="28"/>
        </w:rPr>
      </w:pPr>
      <w:r w:rsidRPr="00E103B9">
        <w:rPr>
          <w:sz w:val="28"/>
        </w:rPr>
        <w:t xml:space="preserve">ФП «Патриотическое воспитание граждан Российской Федерации», расходы на </w:t>
      </w:r>
      <w:proofErr w:type="gramStart"/>
      <w:r w:rsidRPr="00E103B9">
        <w:rPr>
          <w:sz w:val="28"/>
        </w:rPr>
        <w:t>который</w:t>
      </w:r>
      <w:proofErr w:type="gramEnd"/>
      <w:r w:rsidRPr="00E103B9">
        <w:rPr>
          <w:sz w:val="28"/>
        </w:rPr>
        <w:t xml:space="preserve"> в Законопроекте превышают расходы, предусмотренные в</w:t>
      </w:r>
      <w:r w:rsidR="00FD5D90" w:rsidRPr="00E103B9">
        <w:rPr>
          <w:sz w:val="28"/>
        </w:rPr>
        <w:t xml:space="preserve"> Законе</w:t>
      </w:r>
      <w:r w:rsidRPr="00E103B9">
        <w:rPr>
          <w:sz w:val="28"/>
        </w:rPr>
        <w:t xml:space="preserve"> 390-ФЗ на 329,5% в 2023 г</w:t>
      </w:r>
      <w:r w:rsidR="00FD5D90" w:rsidRPr="00E103B9">
        <w:rPr>
          <w:sz w:val="28"/>
        </w:rPr>
        <w:t>.</w:t>
      </w:r>
      <w:r w:rsidRPr="00E103B9">
        <w:rPr>
          <w:sz w:val="28"/>
        </w:rPr>
        <w:t xml:space="preserve"> и 447,5% в 2024 г</w:t>
      </w:r>
      <w:r w:rsidR="00FD5D90" w:rsidRPr="00E103B9">
        <w:rPr>
          <w:sz w:val="28"/>
        </w:rPr>
        <w:t>.</w:t>
      </w:r>
      <w:r w:rsidRPr="00E103B9">
        <w:rPr>
          <w:sz w:val="28"/>
        </w:rPr>
        <w:t xml:space="preserve"> соответственно.</w:t>
      </w:r>
    </w:p>
    <w:p w14:paraId="08778171" w14:textId="6C293392" w:rsidR="00B05689" w:rsidRPr="00E103B9" w:rsidRDefault="00B05689" w:rsidP="00ED4474">
      <w:pPr>
        <w:spacing w:after="60"/>
        <w:ind w:firstLine="709"/>
        <w:jc w:val="both"/>
        <w:rPr>
          <w:b/>
          <w:sz w:val="28"/>
          <w:szCs w:val="20"/>
        </w:rPr>
      </w:pPr>
      <w:r w:rsidRPr="00E103B9">
        <w:rPr>
          <w:sz w:val="28"/>
        </w:rPr>
        <w:t xml:space="preserve">В Законопроект заложены расходы на разработку и реализацию комплекса мер, направленных на развитие системы гражданского и патриотического воспитания учащихся общеобразовательных организаций, в размере 14,35 </w:t>
      </w:r>
      <w:proofErr w:type="gramStart"/>
      <w:r w:rsidRPr="00E103B9">
        <w:rPr>
          <w:sz w:val="28"/>
        </w:rPr>
        <w:t>млрд</w:t>
      </w:r>
      <w:proofErr w:type="gramEnd"/>
      <w:r w:rsidRPr="00E103B9">
        <w:rPr>
          <w:sz w:val="28"/>
        </w:rPr>
        <w:t xml:space="preserve"> руб. в 2023 г. и на плановый период по 19,55 млрд руб. в 2024 и 2025 </w:t>
      </w:r>
      <w:r w:rsidR="00FD5D90" w:rsidRPr="00E103B9">
        <w:rPr>
          <w:sz w:val="28"/>
        </w:rPr>
        <w:t>гг</w:t>
      </w:r>
      <w:r w:rsidRPr="00E103B9">
        <w:rPr>
          <w:sz w:val="28"/>
        </w:rPr>
        <w:t>. Однако аналогичных расходов на развитие системы гражданского и патриотического воспитания учащихся организаций СПО не предусмотрено. В этой связи представляется целесообразным выделение на указанные цели аналогичных по размеру ассигнований в 2023-2025 гг.</w:t>
      </w:r>
      <w:r w:rsidRPr="00E103B9">
        <w:rPr>
          <w:b/>
          <w:bCs/>
          <w:i/>
          <w:iCs/>
          <w:sz w:val="28"/>
        </w:rPr>
        <w:t xml:space="preserve"> </w:t>
      </w:r>
    </w:p>
    <w:p w14:paraId="24DF63E3" w14:textId="355FA9AF" w:rsidR="004F2575" w:rsidRPr="00E103B9" w:rsidRDefault="004F2575" w:rsidP="00C572ED">
      <w:pPr>
        <w:keepNext/>
        <w:spacing w:before="240" w:after="60"/>
        <w:jc w:val="center"/>
        <w:outlineLvl w:val="2"/>
        <w:rPr>
          <w:b/>
          <w:sz w:val="28"/>
          <w:szCs w:val="20"/>
        </w:rPr>
      </w:pPr>
      <w:bookmarkStart w:id="34" w:name="_Toc116593942"/>
      <w:r w:rsidRPr="00E103B9">
        <w:rPr>
          <w:b/>
          <w:sz w:val="28"/>
          <w:szCs w:val="20"/>
        </w:rPr>
        <w:t xml:space="preserve">Расходы на </w:t>
      </w:r>
      <w:bookmarkEnd w:id="32"/>
      <w:r w:rsidR="006410F9" w:rsidRPr="00E103B9">
        <w:rPr>
          <w:b/>
          <w:sz w:val="28"/>
          <w:szCs w:val="20"/>
        </w:rPr>
        <w:t>науку</w:t>
      </w:r>
      <w:bookmarkEnd w:id="34"/>
    </w:p>
    <w:p w14:paraId="5E103860" w14:textId="144AB6C8" w:rsidR="00FD5D90" w:rsidRPr="00E103B9" w:rsidRDefault="00FD5D90" w:rsidP="00C572ED">
      <w:pPr>
        <w:spacing w:after="60"/>
        <w:ind w:firstLine="709"/>
        <w:jc w:val="both"/>
        <w:rPr>
          <w:b/>
          <w:i/>
          <w:iCs/>
          <w:sz w:val="28"/>
        </w:rPr>
      </w:pPr>
      <w:r w:rsidRPr="00E103B9">
        <w:rPr>
          <w:b/>
          <w:i/>
          <w:iCs/>
          <w:sz w:val="28"/>
        </w:rPr>
        <w:t xml:space="preserve">Общие параметры бюджета на </w:t>
      </w:r>
      <w:r w:rsidR="006410F9" w:rsidRPr="00E103B9">
        <w:rPr>
          <w:b/>
          <w:i/>
          <w:iCs/>
          <w:sz w:val="28"/>
        </w:rPr>
        <w:t>науку</w:t>
      </w:r>
    </w:p>
    <w:p w14:paraId="2F4F90F8" w14:textId="40EE7387" w:rsidR="00FD5D90" w:rsidRPr="00E103B9" w:rsidRDefault="00FD5D90" w:rsidP="00C572ED">
      <w:pPr>
        <w:spacing w:after="60"/>
        <w:ind w:firstLine="709"/>
        <w:jc w:val="both"/>
        <w:rPr>
          <w:sz w:val="28"/>
        </w:rPr>
      </w:pPr>
      <w:r w:rsidRPr="00E103B9">
        <w:rPr>
          <w:sz w:val="28"/>
        </w:rPr>
        <w:t xml:space="preserve">Расходы на гражданские исследования и разработки консолидированы в </w:t>
      </w:r>
      <w:r w:rsidR="00987707" w:rsidRPr="00E103B9">
        <w:rPr>
          <w:sz w:val="28"/>
        </w:rPr>
        <w:t>ГП</w:t>
      </w:r>
      <w:r w:rsidRPr="00E103B9">
        <w:rPr>
          <w:sz w:val="28"/>
        </w:rPr>
        <w:t xml:space="preserve"> «Научно-технологическое развитие Российской Федерации». </w:t>
      </w:r>
      <w:proofErr w:type="gramStart"/>
      <w:r w:rsidRPr="00E103B9">
        <w:rPr>
          <w:sz w:val="28"/>
        </w:rPr>
        <w:t xml:space="preserve">Ее финансирование, согласно Приложению 9 к Законопроекту, по сумме всех видов расходов будет расти в 2023-2024 гг. (на 6% и на 7,6% к предыдущему году соответственно), однако ассигнования на НИОКР в рамках данной </w:t>
      </w:r>
      <w:r w:rsidR="00987707" w:rsidRPr="00E103B9">
        <w:rPr>
          <w:sz w:val="28"/>
        </w:rPr>
        <w:t xml:space="preserve">ГП </w:t>
      </w:r>
      <w:r w:rsidRPr="00E103B9">
        <w:rPr>
          <w:sz w:val="28"/>
        </w:rPr>
        <w:t>будут ежегодно сокращаться: на 1,7% в 2024 г</w:t>
      </w:r>
      <w:r w:rsidR="00987707" w:rsidRPr="00E103B9">
        <w:rPr>
          <w:sz w:val="28"/>
        </w:rPr>
        <w:t>.</w:t>
      </w:r>
      <w:r w:rsidRPr="00E103B9">
        <w:rPr>
          <w:sz w:val="28"/>
        </w:rPr>
        <w:t xml:space="preserve"> и на 21,7% в 2025 г. Таким образом, максимум финансирования НИОКР по программе запланирован на 2023 г</w:t>
      </w:r>
      <w:r w:rsidR="00987707" w:rsidRPr="00E103B9">
        <w:rPr>
          <w:sz w:val="28"/>
        </w:rPr>
        <w:t xml:space="preserve">. </w:t>
      </w:r>
      <w:r w:rsidRPr="00E103B9">
        <w:rPr>
          <w:sz w:val="28"/>
        </w:rPr>
        <w:t>с</w:t>
      </w:r>
      <w:proofErr w:type="gramEnd"/>
      <w:r w:rsidRPr="00E103B9">
        <w:rPr>
          <w:sz w:val="28"/>
        </w:rPr>
        <w:t xml:space="preserve"> его последующим резким снижением в 2025 г</w:t>
      </w:r>
      <w:r w:rsidR="00987707" w:rsidRPr="00E103B9">
        <w:rPr>
          <w:sz w:val="28"/>
        </w:rPr>
        <w:t>.</w:t>
      </w:r>
      <w:r w:rsidRPr="00E103B9">
        <w:rPr>
          <w:sz w:val="28"/>
        </w:rPr>
        <w:t xml:space="preserve"> (</w:t>
      </w:r>
      <w:r w:rsidRPr="00E103B9">
        <w:rPr>
          <w:i/>
          <w:sz w:val="28"/>
        </w:rPr>
        <w:t>таблица</w:t>
      </w:r>
      <w:r w:rsidR="00923121" w:rsidRPr="00E103B9">
        <w:rPr>
          <w:i/>
          <w:sz w:val="28"/>
        </w:rPr>
        <w:t xml:space="preserve"> 18</w:t>
      </w:r>
      <w:r w:rsidRPr="00E103B9">
        <w:rPr>
          <w:sz w:val="28"/>
        </w:rPr>
        <w:t>).</w:t>
      </w:r>
    </w:p>
    <w:p w14:paraId="15D2DFA6" w14:textId="77777777" w:rsidR="008637AE" w:rsidRPr="009D5B83" w:rsidRDefault="008637AE" w:rsidP="00C572ED">
      <w:pPr>
        <w:spacing w:after="60"/>
        <w:ind w:firstLine="709"/>
        <w:jc w:val="both"/>
      </w:pPr>
    </w:p>
    <w:p w14:paraId="1A79489F" w14:textId="3ECA2722" w:rsidR="00FD5D90" w:rsidRPr="009D5B83" w:rsidRDefault="00FD5D90" w:rsidP="00C572ED">
      <w:pPr>
        <w:spacing w:after="60"/>
        <w:ind w:firstLine="709"/>
        <w:jc w:val="right"/>
        <w:rPr>
          <w:i/>
        </w:rPr>
      </w:pPr>
      <w:r w:rsidRPr="009D5B83">
        <w:rPr>
          <w:i/>
        </w:rPr>
        <w:t>Таблица 1</w:t>
      </w:r>
      <w:r w:rsidR="00923121" w:rsidRPr="009D5B83">
        <w:rPr>
          <w:i/>
        </w:rPr>
        <w:t>8</w:t>
      </w:r>
    </w:p>
    <w:p w14:paraId="39E3BD06" w14:textId="77777777" w:rsidR="00FD5D90" w:rsidRPr="009D5B83" w:rsidRDefault="00FD5D90" w:rsidP="00C572ED">
      <w:pPr>
        <w:spacing w:after="60"/>
        <w:jc w:val="center"/>
        <w:rPr>
          <w:b/>
        </w:rPr>
      </w:pPr>
      <w:r w:rsidRPr="009D5B83">
        <w:rPr>
          <w:b/>
        </w:rPr>
        <w:t>Динамика ассигнований на НИОКР гражданского назначения в 2023-2025 гг.</w:t>
      </w:r>
    </w:p>
    <w:tbl>
      <w:tblPr>
        <w:tblStyle w:val="a4"/>
        <w:tblW w:w="0" w:type="auto"/>
        <w:tblLook w:val="04A0" w:firstRow="1" w:lastRow="0" w:firstColumn="1" w:lastColumn="0" w:noHBand="0" w:noVBand="1"/>
      </w:tblPr>
      <w:tblGrid>
        <w:gridCol w:w="4855"/>
        <w:gridCol w:w="1530"/>
        <w:gridCol w:w="1530"/>
        <w:gridCol w:w="1350"/>
      </w:tblGrid>
      <w:tr w:rsidR="00FD5D90" w:rsidRPr="009D5B83" w14:paraId="3A127D28" w14:textId="77777777" w:rsidTr="00016DA9">
        <w:tc>
          <w:tcPr>
            <w:tcW w:w="4855" w:type="dxa"/>
          </w:tcPr>
          <w:p w14:paraId="70D77109" w14:textId="77777777" w:rsidR="00FD5D90" w:rsidRPr="009D5B83" w:rsidRDefault="00FD5D90" w:rsidP="00FD5D90">
            <w:pPr>
              <w:spacing w:after="60"/>
              <w:jc w:val="center"/>
              <w:rPr>
                <w:b/>
                <w:sz w:val="20"/>
                <w:szCs w:val="20"/>
              </w:rPr>
            </w:pPr>
            <w:r w:rsidRPr="009D5B83">
              <w:rPr>
                <w:b/>
                <w:sz w:val="20"/>
                <w:szCs w:val="20"/>
              </w:rPr>
              <w:t>Показатель</w:t>
            </w:r>
          </w:p>
        </w:tc>
        <w:tc>
          <w:tcPr>
            <w:tcW w:w="1530" w:type="dxa"/>
          </w:tcPr>
          <w:p w14:paraId="141848A7" w14:textId="77777777" w:rsidR="00FD5D90" w:rsidRPr="009D5B83" w:rsidRDefault="00FD5D90" w:rsidP="00FD5D90">
            <w:pPr>
              <w:spacing w:after="60"/>
              <w:jc w:val="center"/>
              <w:rPr>
                <w:b/>
                <w:sz w:val="20"/>
                <w:szCs w:val="20"/>
              </w:rPr>
            </w:pPr>
            <w:r w:rsidRPr="009D5B83">
              <w:rPr>
                <w:b/>
                <w:sz w:val="20"/>
                <w:szCs w:val="20"/>
              </w:rPr>
              <w:t>202</w:t>
            </w:r>
            <w:r w:rsidRPr="009D5B83">
              <w:rPr>
                <w:b/>
                <w:sz w:val="20"/>
                <w:szCs w:val="20"/>
                <w:lang w:val="en-US"/>
              </w:rPr>
              <w:t>3</w:t>
            </w:r>
            <w:r w:rsidRPr="009D5B83">
              <w:rPr>
                <w:b/>
                <w:sz w:val="20"/>
                <w:szCs w:val="20"/>
              </w:rPr>
              <w:t xml:space="preserve"> г.</w:t>
            </w:r>
          </w:p>
        </w:tc>
        <w:tc>
          <w:tcPr>
            <w:tcW w:w="1530" w:type="dxa"/>
          </w:tcPr>
          <w:p w14:paraId="02A7F52E" w14:textId="77777777" w:rsidR="00FD5D90" w:rsidRPr="009D5B83" w:rsidRDefault="00FD5D90" w:rsidP="00FD5D90">
            <w:pPr>
              <w:spacing w:after="60"/>
              <w:jc w:val="center"/>
              <w:rPr>
                <w:b/>
                <w:sz w:val="20"/>
                <w:szCs w:val="20"/>
              </w:rPr>
            </w:pPr>
            <w:r w:rsidRPr="009D5B83">
              <w:rPr>
                <w:b/>
                <w:sz w:val="20"/>
                <w:szCs w:val="20"/>
              </w:rPr>
              <w:t>202</w:t>
            </w:r>
            <w:r w:rsidRPr="009D5B83">
              <w:rPr>
                <w:b/>
                <w:sz w:val="20"/>
                <w:szCs w:val="20"/>
                <w:lang w:val="en-US"/>
              </w:rPr>
              <w:t>4</w:t>
            </w:r>
            <w:r w:rsidRPr="009D5B83">
              <w:rPr>
                <w:b/>
                <w:sz w:val="20"/>
                <w:szCs w:val="20"/>
              </w:rPr>
              <w:t xml:space="preserve"> г.</w:t>
            </w:r>
          </w:p>
        </w:tc>
        <w:tc>
          <w:tcPr>
            <w:tcW w:w="1350" w:type="dxa"/>
          </w:tcPr>
          <w:p w14:paraId="00759645" w14:textId="066ED58A" w:rsidR="00FD5D90" w:rsidRPr="009D5B83" w:rsidRDefault="00FD5D90" w:rsidP="00FD5D90">
            <w:pPr>
              <w:spacing w:after="60"/>
              <w:jc w:val="center"/>
              <w:rPr>
                <w:b/>
                <w:sz w:val="20"/>
                <w:szCs w:val="20"/>
              </w:rPr>
            </w:pPr>
            <w:r w:rsidRPr="009D5B83">
              <w:rPr>
                <w:b/>
                <w:sz w:val="20"/>
                <w:szCs w:val="20"/>
              </w:rPr>
              <w:t>2025</w:t>
            </w:r>
            <w:r w:rsidR="00987707" w:rsidRPr="009D5B83">
              <w:rPr>
                <w:b/>
                <w:sz w:val="20"/>
                <w:szCs w:val="20"/>
              </w:rPr>
              <w:t xml:space="preserve"> г.</w:t>
            </w:r>
          </w:p>
        </w:tc>
      </w:tr>
      <w:tr w:rsidR="00FD5D90" w:rsidRPr="009D5B83" w14:paraId="59111C8F" w14:textId="77777777" w:rsidTr="00016DA9">
        <w:tc>
          <w:tcPr>
            <w:tcW w:w="4855" w:type="dxa"/>
          </w:tcPr>
          <w:p w14:paraId="725838D2" w14:textId="089487B9" w:rsidR="00FD5D90" w:rsidRPr="009D5B83" w:rsidRDefault="00FD5D90" w:rsidP="00FD5D90">
            <w:pPr>
              <w:spacing w:after="60"/>
              <w:jc w:val="both"/>
              <w:rPr>
                <w:b/>
                <w:bCs/>
                <w:sz w:val="20"/>
                <w:szCs w:val="20"/>
              </w:rPr>
            </w:pPr>
            <w:r w:rsidRPr="009D5B83">
              <w:rPr>
                <w:b/>
                <w:bCs/>
                <w:sz w:val="20"/>
                <w:szCs w:val="20"/>
              </w:rPr>
              <w:t xml:space="preserve">Расходы федерального бюджета на НИОКР гражданского назначения, </w:t>
            </w:r>
            <w:r w:rsidR="002606E9">
              <w:rPr>
                <w:b/>
                <w:bCs/>
                <w:sz w:val="20"/>
                <w:szCs w:val="20"/>
              </w:rPr>
              <w:t>ВСЕГО</w:t>
            </w:r>
            <w:r w:rsidRPr="009D5B83">
              <w:rPr>
                <w:b/>
                <w:bCs/>
                <w:sz w:val="20"/>
                <w:szCs w:val="20"/>
              </w:rPr>
              <w:t xml:space="preserve">, </w:t>
            </w:r>
            <w:proofErr w:type="gramStart"/>
            <w:r w:rsidRPr="009D5B83">
              <w:rPr>
                <w:b/>
                <w:bCs/>
                <w:sz w:val="20"/>
                <w:szCs w:val="20"/>
              </w:rPr>
              <w:t>млрд</w:t>
            </w:r>
            <w:proofErr w:type="gramEnd"/>
            <w:r w:rsidRPr="009D5B83">
              <w:rPr>
                <w:b/>
                <w:bCs/>
                <w:sz w:val="20"/>
                <w:szCs w:val="20"/>
              </w:rPr>
              <w:t xml:space="preserve"> руб.</w:t>
            </w:r>
          </w:p>
        </w:tc>
        <w:tc>
          <w:tcPr>
            <w:tcW w:w="1530" w:type="dxa"/>
          </w:tcPr>
          <w:p w14:paraId="3D88C075" w14:textId="77777777" w:rsidR="00FD5D90" w:rsidRPr="009D5B83" w:rsidRDefault="00FD5D90" w:rsidP="00FD5D90">
            <w:pPr>
              <w:spacing w:after="60"/>
              <w:jc w:val="center"/>
              <w:rPr>
                <w:b/>
                <w:bCs/>
                <w:sz w:val="20"/>
                <w:szCs w:val="20"/>
              </w:rPr>
            </w:pPr>
            <w:r w:rsidRPr="009D5B83">
              <w:rPr>
                <w:b/>
                <w:bCs/>
                <w:sz w:val="20"/>
                <w:szCs w:val="20"/>
              </w:rPr>
              <w:t>562,3</w:t>
            </w:r>
          </w:p>
        </w:tc>
        <w:tc>
          <w:tcPr>
            <w:tcW w:w="1530" w:type="dxa"/>
          </w:tcPr>
          <w:p w14:paraId="424C1F32" w14:textId="77777777" w:rsidR="00FD5D90" w:rsidRPr="009D5B83" w:rsidRDefault="00FD5D90" w:rsidP="00FD5D90">
            <w:pPr>
              <w:spacing w:after="60"/>
              <w:jc w:val="center"/>
              <w:rPr>
                <w:b/>
                <w:bCs/>
                <w:sz w:val="20"/>
                <w:szCs w:val="20"/>
              </w:rPr>
            </w:pPr>
            <w:r w:rsidRPr="009D5B83">
              <w:rPr>
                <w:b/>
                <w:bCs/>
                <w:sz w:val="20"/>
                <w:szCs w:val="20"/>
              </w:rPr>
              <w:t>552,9</w:t>
            </w:r>
          </w:p>
        </w:tc>
        <w:tc>
          <w:tcPr>
            <w:tcW w:w="1350" w:type="dxa"/>
          </w:tcPr>
          <w:p w14:paraId="7D55A112" w14:textId="77777777" w:rsidR="00FD5D90" w:rsidRPr="009D5B83" w:rsidRDefault="00FD5D90" w:rsidP="00FD5D90">
            <w:pPr>
              <w:spacing w:after="60"/>
              <w:jc w:val="center"/>
              <w:rPr>
                <w:b/>
                <w:bCs/>
                <w:sz w:val="20"/>
                <w:szCs w:val="20"/>
              </w:rPr>
            </w:pPr>
            <w:r w:rsidRPr="009D5B83">
              <w:rPr>
                <w:b/>
                <w:bCs/>
                <w:sz w:val="20"/>
                <w:szCs w:val="20"/>
              </w:rPr>
              <w:t>438,6</w:t>
            </w:r>
          </w:p>
        </w:tc>
      </w:tr>
      <w:tr w:rsidR="00FD5D90" w:rsidRPr="009D5B83" w14:paraId="448FC468" w14:textId="77777777" w:rsidTr="00016DA9">
        <w:tc>
          <w:tcPr>
            <w:tcW w:w="4855" w:type="dxa"/>
          </w:tcPr>
          <w:p w14:paraId="00817EE2" w14:textId="77777777" w:rsidR="00FD5D90" w:rsidRPr="009D5B83" w:rsidRDefault="00FD5D90" w:rsidP="00FD5D90">
            <w:pPr>
              <w:spacing w:after="60"/>
              <w:jc w:val="both"/>
              <w:rPr>
                <w:i/>
                <w:iCs/>
                <w:sz w:val="20"/>
                <w:szCs w:val="20"/>
              </w:rPr>
            </w:pPr>
            <w:r w:rsidRPr="009D5B83">
              <w:rPr>
                <w:i/>
                <w:iCs/>
                <w:sz w:val="20"/>
                <w:szCs w:val="20"/>
              </w:rPr>
              <w:t>Изменение к предыдущему году, %</w:t>
            </w:r>
          </w:p>
        </w:tc>
        <w:tc>
          <w:tcPr>
            <w:tcW w:w="1530" w:type="dxa"/>
          </w:tcPr>
          <w:p w14:paraId="02ED4AEB" w14:textId="77777777" w:rsidR="00FD5D90" w:rsidRPr="009D5B83" w:rsidRDefault="00FD5D90" w:rsidP="00FD5D90">
            <w:pPr>
              <w:spacing w:after="60"/>
              <w:jc w:val="center"/>
              <w:rPr>
                <w:i/>
                <w:iCs/>
                <w:sz w:val="20"/>
                <w:szCs w:val="20"/>
              </w:rPr>
            </w:pPr>
            <w:r w:rsidRPr="009D5B83">
              <w:rPr>
                <w:i/>
                <w:iCs/>
                <w:sz w:val="20"/>
                <w:szCs w:val="20"/>
              </w:rPr>
              <w:t>+21,7</w:t>
            </w:r>
          </w:p>
        </w:tc>
        <w:tc>
          <w:tcPr>
            <w:tcW w:w="1530" w:type="dxa"/>
          </w:tcPr>
          <w:p w14:paraId="645FD04B" w14:textId="77777777" w:rsidR="00FD5D90" w:rsidRPr="009D5B83" w:rsidRDefault="00FD5D90" w:rsidP="00FD5D90">
            <w:pPr>
              <w:spacing w:after="60"/>
              <w:jc w:val="center"/>
              <w:rPr>
                <w:i/>
                <w:iCs/>
                <w:sz w:val="20"/>
                <w:szCs w:val="20"/>
              </w:rPr>
            </w:pPr>
            <w:r w:rsidRPr="009D5B83">
              <w:rPr>
                <w:i/>
                <w:iCs/>
                <w:sz w:val="20"/>
                <w:szCs w:val="20"/>
              </w:rPr>
              <w:t>-1,7</w:t>
            </w:r>
          </w:p>
        </w:tc>
        <w:tc>
          <w:tcPr>
            <w:tcW w:w="1350" w:type="dxa"/>
          </w:tcPr>
          <w:p w14:paraId="4AC6B80E" w14:textId="77777777" w:rsidR="00FD5D90" w:rsidRPr="009D5B83" w:rsidRDefault="00FD5D90" w:rsidP="00FD5D90">
            <w:pPr>
              <w:spacing w:after="60"/>
              <w:jc w:val="center"/>
              <w:rPr>
                <w:i/>
                <w:iCs/>
                <w:sz w:val="20"/>
                <w:szCs w:val="20"/>
              </w:rPr>
            </w:pPr>
            <w:r w:rsidRPr="009D5B83">
              <w:rPr>
                <w:i/>
                <w:iCs/>
                <w:sz w:val="20"/>
                <w:szCs w:val="20"/>
              </w:rPr>
              <w:t>-20,7</w:t>
            </w:r>
          </w:p>
        </w:tc>
      </w:tr>
      <w:tr w:rsidR="00FD5D90" w:rsidRPr="009D5B83" w14:paraId="6ED6218D" w14:textId="77777777" w:rsidTr="00016DA9">
        <w:tc>
          <w:tcPr>
            <w:tcW w:w="4855" w:type="dxa"/>
          </w:tcPr>
          <w:p w14:paraId="5A6EA305" w14:textId="77777777" w:rsidR="00FD5D90" w:rsidRPr="009D5B83" w:rsidRDefault="00FD5D90" w:rsidP="00FD5D90">
            <w:pPr>
              <w:spacing w:after="60"/>
              <w:jc w:val="both"/>
              <w:rPr>
                <w:i/>
                <w:iCs/>
                <w:sz w:val="20"/>
                <w:szCs w:val="20"/>
              </w:rPr>
            </w:pPr>
            <w:r w:rsidRPr="009D5B83">
              <w:rPr>
                <w:i/>
                <w:iCs/>
                <w:sz w:val="20"/>
                <w:szCs w:val="20"/>
              </w:rPr>
              <w:t>Изменение в сравнении с законом о федеральном бюджете на 2022-2024 гг., %</w:t>
            </w:r>
          </w:p>
        </w:tc>
        <w:tc>
          <w:tcPr>
            <w:tcW w:w="1530" w:type="dxa"/>
          </w:tcPr>
          <w:p w14:paraId="6170DD77" w14:textId="77777777" w:rsidR="00FD5D90" w:rsidRPr="009D5B83" w:rsidRDefault="00FD5D90" w:rsidP="00FD5D90">
            <w:pPr>
              <w:spacing w:after="60"/>
              <w:jc w:val="center"/>
              <w:rPr>
                <w:i/>
                <w:iCs/>
                <w:sz w:val="20"/>
                <w:szCs w:val="20"/>
              </w:rPr>
            </w:pPr>
            <w:r w:rsidRPr="009D5B83">
              <w:rPr>
                <w:i/>
                <w:iCs/>
                <w:sz w:val="20"/>
                <w:szCs w:val="20"/>
              </w:rPr>
              <w:t>+18,0</w:t>
            </w:r>
          </w:p>
        </w:tc>
        <w:tc>
          <w:tcPr>
            <w:tcW w:w="1530" w:type="dxa"/>
          </w:tcPr>
          <w:p w14:paraId="41ED1897" w14:textId="77777777" w:rsidR="00FD5D90" w:rsidRPr="009D5B83" w:rsidRDefault="00FD5D90" w:rsidP="00FD5D90">
            <w:pPr>
              <w:spacing w:after="60"/>
              <w:jc w:val="center"/>
              <w:rPr>
                <w:i/>
                <w:iCs/>
                <w:sz w:val="20"/>
                <w:szCs w:val="20"/>
              </w:rPr>
            </w:pPr>
            <w:r w:rsidRPr="009D5B83">
              <w:rPr>
                <w:i/>
                <w:iCs/>
                <w:sz w:val="20"/>
                <w:szCs w:val="20"/>
              </w:rPr>
              <w:t>+15,8</w:t>
            </w:r>
          </w:p>
        </w:tc>
        <w:tc>
          <w:tcPr>
            <w:tcW w:w="1350" w:type="dxa"/>
          </w:tcPr>
          <w:p w14:paraId="3FD52415" w14:textId="77777777" w:rsidR="00FD5D90" w:rsidRPr="009D5B83" w:rsidRDefault="00FD5D90" w:rsidP="00FD5D90">
            <w:pPr>
              <w:spacing w:after="60"/>
              <w:jc w:val="center"/>
              <w:rPr>
                <w:i/>
                <w:iCs/>
                <w:sz w:val="20"/>
                <w:szCs w:val="20"/>
              </w:rPr>
            </w:pPr>
            <w:r w:rsidRPr="009D5B83">
              <w:rPr>
                <w:i/>
                <w:iCs/>
                <w:sz w:val="20"/>
                <w:szCs w:val="20"/>
              </w:rPr>
              <w:t>-</w:t>
            </w:r>
          </w:p>
        </w:tc>
      </w:tr>
      <w:tr w:rsidR="00FD5D90" w:rsidRPr="009D5B83" w14:paraId="1519DDEB" w14:textId="77777777" w:rsidTr="00016DA9">
        <w:tc>
          <w:tcPr>
            <w:tcW w:w="4855" w:type="dxa"/>
          </w:tcPr>
          <w:p w14:paraId="27D21BF4" w14:textId="45276673" w:rsidR="00FD5D90" w:rsidRPr="009D5B83" w:rsidRDefault="00FD5D90" w:rsidP="00FD5D90">
            <w:pPr>
              <w:spacing w:after="60"/>
              <w:jc w:val="both"/>
              <w:rPr>
                <w:iCs/>
                <w:sz w:val="20"/>
                <w:szCs w:val="20"/>
              </w:rPr>
            </w:pPr>
            <w:r w:rsidRPr="009D5B83">
              <w:rPr>
                <w:iCs/>
                <w:sz w:val="20"/>
                <w:szCs w:val="20"/>
              </w:rPr>
              <w:t xml:space="preserve">В том числе по </w:t>
            </w:r>
            <w:r w:rsidR="00987707" w:rsidRPr="009D5B83">
              <w:rPr>
                <w:iCs/>
                <w:sz w:val="20"/>
                <w:szCs w:val="20"/>
              </w:rPr>
              <w:t>ГП</w:t>
            </w:r>
            <w:r w:rsidRPr="009D5B83">
              <w:rPr>
                <w:iCs/>
                <w:sz w:val="20"/>
                <w:szCs w:val="20"/>
              </w:rPr>
              <w:t xml:space="preserve"> </w:t>
            </w:r>
            <w:r w:rsidRPr="009D5B83">
              <w:rPr>
                <w:sz w:val="20"/>
                <w:szCs w:val="20"/>
              </w:rPr>
              <w:t>«Научно-технологическое развитие Российской Федерации»</w:t>
            </w:r>
          </w:p>
        </w:tc>
        <w:tc>
          <w:tcPr>
            <w:tcW w:w="1530" w:type="dxa"/>
          </w:tcPr>
          <w:p w14:paraId="428731B0" w14:textId="77777777" w:rsidR="00FD5D90" w:rsidRPr="009D5B83" w:rsidRDefault="00FD5D90" w:rsidP="00FD5D90">
            <w:pPr>
              <w:spacing w:after="60"/>
              <w:jc w:val="center"/>
              <w:rPr>
                <w:i/>
                <w:iCs/>
                <w:sz w:val="20"/>
                <w:szCs w:val="20"/>
              </w:rPr>
            </w:pPr>
            <w:r w:rsidRPr="009D5B83">
              <w:rPr>
                <w:sz w:val="20"/>
                <w:szCs w:val="20"/>
              </w:rPr>
              <w:t>553,5</w:t>
            </w:r>
          </w:p>
        </w:tc>
        <w:tc>
          <w:tcPr>
            <w:tcW w:w="1530" w:type="dxa"/>
          </w:tcPr>
          <w:p w14:paraId="578A02CE" w14:textId="77777777" w:rsidR="00FD5D90" w:rsidRPr="009D5B83" w:rsidRDefault="00FD5D90" w:rsidP="00FD5D90">
            <w:pPr>
              <w:spacing w:after="60"/>
              <w:jc w:val="center"/>
              <w:rPr>
                <w:iCs/>
                <w:sz w:val="20"/>
                <w:szCs w:val="20"/>
              </w:rPr>
            </w:pPr>
            <w:r w:rsidRPr="009D5B83">
              <w:rPr>
                <w:iCs/>
                <w:sz w:val="20"/>
                <w:szCs w:val="20"/>
              </w:rPr>
              <w:t>543,9</w:t>
            </w:r>
          </w:p>
        </w:tc>
        <w:tc>
          <w:tcPr>
            <w:tcW w:w="1350" w:type="dxa"/>
          </w:tcPr>
          <w:p w14:paraId="649A78D1" w14:textId="77777777" w:rsidR="00FD5D90" w:rsidRPr="009D5B83" w:rsidRDefault="00FD5D90" w:rsidP="00FD5D90">
            <w:pPr>
              <w:spacing w:after="60"/>
              <w:jc w:val="center"/>
              <w:rPr>
                <w:iCs/>
                <w:sz w:val="20"/>
                <w:szCs w:val="20"/>
              </w:rPr>
            </w:pPr>
            <w:r w:rsidRPr="009D5B83">
              <w:rPr>
                <w:iCs/>
                <w:sz w:val="20"/>
                <w:szCs w:val="20"/>
              </w:rPr>
              <w:t>427,9</w:t>
            </w:r>
          </w:p>
        </w:tc>
      </w:tr>
    </w:tbl>
    <w:p w14:paraId="1C633ABE" w14:textId="48E7C6F9" w:rsidR="00FD5D90" w:rsidRPr="009D5B83" w:rsidRDefault="00FD5D90" w:rsidP="00A905E6">
      <w:pPr>
        <w:spacing w:after="120"/>
        <w:ind w:firstLine="709"/>
        <w:jc w:val="both"/>
        <w:rPr>
          <w:sz w:val="20"/>
          <w:szCs w:val="20"/>
        </w:rPr>
      </w:pPr>
      <w:r w:rsidRPr="009D5B83">
        <w:rPr>
          <w:i/>
          <w:sz w:val="20"/>
          <w:szCs w:val="20"/>
        </w:rPr>
        <w:t>Источник:</w:t>
      </w:r>
      <w:r w:rsidRPr="009D5B83">
        <w:rPr>
          <w:sz w:val="20"/>
          <w:szCs w:val="20"/>
        </w:rPr>
        <w:t xml:space="preserve"> Приложение 10 к Пояснительной записке, расчеты автор</w:t>
      </w:r>
      <w:r w:rsidR="007931B0" w:rsidRPr="009D5B83">
        <w:rPr>
          <w:sz w:val="20"/>
          <w:szCs w:val="20"/>
        </w:rPr>
        <w:t>ов</w:t>
      </w:r>
      <w:r w:rsidR="00987707" w:rsidRPr="009D5B83">
        <w:rPr>
          <w:sz w:val="20"/>
          <w:szCs w:val="20"/>
        </w:rPr>
        <w:t>.</w:t>
      </w:r>
    </w:p>
    <w:p w14:paraId="25D1519C" w14:textId="0B3244D0" w:rsidR="00FD5D90" w:rsidRPr="00E103B9" w:rsidRDefault="00FD5D90" w:rsidP="00FD5D90">
      <w:pPr>
        <w:spacing w:after="60"/>
        <w:ind w:firstLine="709"/>
        <w:jc w:val="both"/>
        <w:rPr>
          <w:sz w:val="28"/>
        </w:rPr>
      </w:pPr>
      <w:proofErr w:type="gramStart"/>
      <w:r w:rsidRPr="00E103B9">
        <w:rPr>
          <w:sz w:val="28"/>
        </w:rPr>
        <w:t xml:space="preserve">По </w:t>
      </w:r>
      <w:r w:rsidR="00987707" w:rsidRPr="00E103B9">
        <w:rPr>
          <w:sz w:val="28"/>
        </w:rPr>
        <w:t xml:space="preserve">НП </w:t>
      </w:r>
      <w:r w:rsidRPr="00E103B9">
        <w:rPr>
          <w:sz w:val="28"/>
        </w:rPr>
        <w:t xml:space="preserve">«Наука и университеты», на который приходится более 75% от общего объема бюджетных ассигнований на финансовое обеспечение федеральных проектов, входящих в состав национальных проектов, в рамках </w:t>
      </w:r>
      <w:r w:rsidR="00987707" w:rsidRPr="00E103B9">
        <w:rPr>
          <w:sz w:val="28"/>
        </w:rPr>
        <w:t>ГП</w:t>
      </w:r>
      <w:r w:rsidRPr="00E103B9">
        <w:rPr>
          <w:sz w:val="28"/>
        </w:rPr>
        <w:t xml:space="preserve"> «Научно-технологическое развитие Российской Федерации», запланировано небольшое сокращение финансирования в 2023 г</w:t>
      </w:r>
      <w:r w:rsidR="00987707" w:rsidRPr="00E103B9">
        <w:rPr>
          <w:sz w:val="28"/>
        </w:rPr>
        <w:t>.</w:t>
      </w:r>
      <w:r w:rsidRPr="00E103B9">
        <w:rPr>
          <w:sz w:val="28"/>
        </w:rPr>
        <w:t xml:space="preserve"> по сравнению с Законом №390-ФЗ, однако прирост на 12% в 2024 г. (</w:t>
      </w:r>
      <w:r w:rsidRPr="00E103B9">
        <w:rPr>
          <w:i/>
          <w:sz w:val="28"/>
        </w:rPr>
        <w:t xml:space="preserve">таблица </w:t>
      </w:r>
      <w:r w:rsidR="00923121" w:rsidRPr="00E103B9">
        <w:rPr>
          <w:i/>
          <w:sz w:val="28"/>
        </w:rPr>
        <w:t>19</w:t>
      </w:r>
      <w:r w:rsidRPr="00E103B9">
        <w:rPr>
          <w:sz w:val="28"/>
        </w:rPr>
        <w:t>).</w:t>
      </w:r>
      <w:proofErr w:type="gramEnd"/>
      <w:r w:rsidRPr="00E103B9">
        <w:rPr>
          <w:sz w:val="28"/>
        </w:rPr>
        <w:t xml:space="preserve"> Этот разовый прирост произойдет в основном за счет выделения дополнительных средств на </w:t>
      </w:r>
      <w:r w:rsidR="00987707" w:rsidRPr="00E103B9">
        <w:rPr>
          <w:sz w:val="28"/>
        </w:rPr>
        <w:t>ФП</w:t>
      </w:r>
      <w:r w:rsidRPr="00E103B9">
        <w:rPr>
          <w:sz w:val="28"/>
        </w:rPr>
        <w:t xml:space="preserve"> «Развитие инфраструктуры для научных исследований и подготовки кадров», на поддержку отдельных крупных проектов.</w:t>
      </w:r>
    </w:p>
    <w:p w14:paraId="2C2E8BCB" w14:textId="77777777" w:rsidR="00987707" w:rsidRPr="009D5B83" w:rsidRDefault="00987707">
      <w:pPr>
        <w:sectPr w:rsidR="00987707" w:rsidRPr="009D5B83" w:rsidSect="00E103B9">
          <w:footerReference w:type="default" r:id="rId15"/>
          <w:pgSz w:w="11906" w:h="16838"/>
          <w:pgMar w:top="964" w:right="849" w:bottom="964" w:left="426" w:header="709" w:footer="709" w:gutter="567"/>
          <w:cols w:space="708"/>
          <w:titlePg/>
          <w:docGrid w:linePitch="360"/>
        </w:sectPr>
      </w:pPr>
    </w:p>
    <w:p w14:paraId="127C3256" w14:textId="41FB8FDE" w:rsidR="00987707" w:rsidRPr="009D5B83" w:rsidRDefault="00987707" w:rsidP="00987707">
      <w:pPr>
        <w:autoSpaceDE w:val="0"/>
        <w:autoSpaceDN w:val="0"/>
        <w:adjustRightInd w:val="0"/>
        <w:jc w:val="right"/>
        <w:rPr>
          <w:rFonts w:eastAsia="Calibri"/>
          <w:i/>
        </w:rPr>
      </w:pPr>
      <w:r w:rsidRPr="009D5B83">
        <w:rPr>
          <w:rFonts w:eastAsia="Calibri"/>
          <w:i/>
        </w:rPr>
        <w:lastRenderedPageBreak/>
        <w:t xml:space="preserve">Таблица </w:t>
      </w:r>
      <w:r w:rsidR="00923121" w:rsidRPr="009D5B83">
        <w:rPr>
          <w:rFonts w:eastAsia="Calibri"/>
          <w:i/>
        </w:rPr>
        <w:t>19</w:t>
      </w:r>
    </w:p>
    <w:p w14:paraId="41A3D746" w14:textId="22393BFC" w:rsidR="00987707" w:rsidRPr="009D5B83" w:rsidRDefault="00987707" w:rsidP="00A905E6">
      <w:pPr>
        <w:jc w:val="center"/>
        <w:rPr>
          <w:b/>
        </w:rPr>
      </w:pPr>
      <w:r w:rsidRPr="009D5B83">
        <w:rPr>
          <w:b/>
        </w:rPr>
        <w:t xml:space="preserve">Показатели изменения бюджетных ассигнований по НП «Наука и университеты» и входящих в его состав федеральных проектов, </w:t>
      </w:r>
      <w:proofErr w:type="gramStart"/>
      <w:r w:rsidRPr="009D5B83">
        <w:rPr>
          <w:b/>
        </w:rPr>
        <w:t>млрд</w:t>
      </w:r>
      <w:proofErr w:type="gramEnd"/>
      <w:r w:rsidRPr="009D5B83">
        <w:rPr>
          <w:b/>
        </w:rPr>
        <w:t xml:space="preserve"> руб.</w:t>
      </w:r>
    </w:p>
    <w:p w14:paraId="45865D97" w14:textId="77777777" w:rsidR="00987707" w:rsidRPr="009D5B83" w:rsidRDefault="00987707" w:rsidP="00987707">
      <w:pPr>
        <w:jc w:val="both"/>
        <w:rPr>
          <w:b/>
        </w:rPr>
      </w:pPr>
    </w:p>
    <w:tbl>
      <w:tblPr>
        <w:tblW w:w="14879" w:type="dxa"/>
        <w:tblLayout w:type="fixed"/>
        <w:tblLook w:val="04A0" w:firstRow="1" w:lastRow="0" w:firstColumn="1" w:lastColumn="0" w:noHBand="0" w:noVBand="1"/>
      </w:tblPr>
      <w:tblGrid>
        <w:gridCol w:w="2470"/>
        <w:gridCol w:w="1636"/>
        <w:gridCol w:w="1276"/>
        <w:gridCol w:w="1843"/>
        <w:gridCol w:w="1842"/>
        <w:gridCol w:w="1937"/>
        <w:gridCol w:w="1937"/>
        <w:gridCol w:w="1938"/>
      </w:tblGrid>
      <w:tr w:rsidR="00987707" w:rsidRPr="009D5B83" w14:paraId="186448B5" w14:textId="77777777" w:rsidTr="00987707">
        <w:trPr>
          <w:trHeight w:val="300"/>
          <w:tblHeader/>
        </w:trPr>
        <w:tc>
          <w:tcPr>
            <w:tcW w:w="2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C1366E" w14:textId="77777777" w:rsidR="00987707" w:rsidRPr="009D5B83" w:rsidRDefault="00987707" w:rsidP="00987707">
            <w:pPr>
              <w:jc w:val="center"/>
              <w:rPr>
                <w:b/>
                <w:iCs/>
                <w:color w:val="000000"/>
                <w:sz w:val="18"/>
                <w:szCs w:val="18"/>
              </w:rPr>
            </w:pPr>
            <w:r w:rsidRPr="009D5B83">
              <w:rPr>
                <w:b/>
                <w:iCs/>
                <w:color w:val="000000"/>
                <w:sz w:val="18"/>
                <w:szCs w:val="18"/>
              </w:rPr>
              <w:t>Название проекта</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520C3A" w14:textId="08BEF7C9" w:rsidR="00987707" w:rsidRPr="009D5B83" w:rsidRDefault="00987707" w:rsidP="00987707">
            <w:pPr>
              <w:jc w:val="center"/>
              <w:rPr>
                <w:b/>
                <w:color w:val="000000"/>
                <w:sz w:val="18"/>
                <w:szCs w:val="18"/>
              </w:rPr>
            </w:pPr>
            <w:r w:rsidRPr="009D5B83">
              <w:rPr>
                <w:b/>
                <w:color w:val="000000"/>
                <w:sz w:val="18"/>
                <w:szCs w:val="18"/>
              </w:rPr>
              <w:t>2022 г.*</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14:paraId="17ABE6FD" w14:textId="25DE6B9D" w:rsidR="00987707" w:rsidRPr="009D5B83" w:rsidRDefault="00987707" w:rsidP="00987707">
            <w:pPr>
              <w:jc w:val="center"/>
              <w:rPr>
                <w:b/>
                <w:color w:val="000000"/>
                <w:sz w:val="18"/>
                <w:szCs w:val="18"/>
              </w:rPr>
            </w:pPr>
            <w:r w:rsidRPr="009D5B83">
              <w:rPr>
                <w:b/>
                <w:color w:val="000000"/>
                <w:sz w:val="18"/>
                <w:szCs w:val="18"/>
              </w:rPr>
              <w:t>2023 г.</w:t>
            </w:r>
          </w:p>
        </w:tc>
        <w:tc>
          <w:tcPr>
            <w:tcW w:w="5812" w:type="dxa"/>
            <w:gridSpan w:val="3"/>
            <w:tcBorders>
              <w:top w:val="single" w:sz="4" w:space="0" w:color="auto"/>
              <w:left w:val="nil"/>
              <w:bottom w:val="single" w:sz="4" w:space="0" w:color="auto"/>
              <w:right w:val="single" w:sz="4" w:space="0" w:color="000000"/>
            </w:tcBorders>
            <w:shd w:val="clear" w:color="auto" w:fill="auto"/>
            <w:vAlign w:val="center"/>
            <w:hideMark/>
          </w:tcPr>
          <w:p w14:paraId="38C92A30" w14:textId="21348734" w:rsidR="00987707" w:rsidRPr="009D5B83" w:rsidRDefault="00987707" w:rsidP="00987707">
            <w:pPr>
              <w:jc w:val="center"/>
              <w:rPr>
                <w:b/>
                <w:color w:val="000000"/>
                <w:sz w:val="18"/>
                <w:szCs w:val="18"/>
              </w:rPr>
            </w:pPr>
            <w:r w:rsidRPr="009D5B83">
              <w:rPr>
                <w:b/>
                <w:color w:val="000000"/>
                <w:sz w:val="18"/>
                <w:szCs w:val="18"/>
              </w:rPr>
              <w:t>2024 г.</w:t>
            </w:r>
          </w:p>
        </w:tc>
      </w:tr>
      <w:tr w:rsidR="00987707" w:rsidRPr="009D5B83" w14:paraId="2FEA5F4A" w14:textId="77777777" w:rsidTr="00987707">
        <w:trPr>
          <w:trHeight w:val="1050"/>
          <w:tblHeader/>
        </w:trPr>
        <w:tc>
          <w:tcPr>
            <w:tcW w:w="2470" w:type="dxa"/>
            <w:vMerge/>
            <w:tcBorders>
              <w:top w:val="single" w:sz="4" w:space="0" w:color="auto"/>
              <w:left w:val="single" w:sz="4" w:space="0" w:color="auto"/>
              <w:bottom w:val="single" w:sz="4" w:space="0" w:color="000000"/>
              <w:right w:val="single" w:sz="4" w:space="0" w:color="auto"/>
            </w:tcBorders>
            <w:vAlign w:val="center"/>
            <w:hideMark/>
          </w:tcPr>
          <w:p w14:paraId="5A46165A" w14:textId="77777777" w:rsidR="00987707" w:rsidRPr="009D5B83" w:rsidRDefault="00987707" w:rsidP="00987707">
            <w:pPr>
              <w:rPr>
                <w:b/>
                <w:i/>
                <w:iCs/>
                <w:color w:val="000000"/>
                <w:sz w:val="18"/>
                <w:szCs w:val="18"/>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14:paraId="4DD4694A" w14:textId="77777777" w:rsidR="00987707" w:rsidRPr="009D5B83" w:rsidRDefault="00987707" w:rsidP="00987707">
            <w:pP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8D8199E" w14:textId="77777777" w:rsidR="00987707" w:rsidRPr="009D5B83" w:rsidRDefault="00987707" w:rsidP="00987707">
            <w:pPr>
              <w:jc w:val="center"/>
              <w:rPr>
                <w:b/>
                <w:color w:val="000000"/>
                <w:sz w:val="18"/>
                <w:szCs w:val="18"/>
              </w:rPr>
            </w:pPr>
            <w:r w:rsidRPr="009D5B83">
              <w:rPr>
                <w:b/>
                <w:color w:val="000000"/>
                <w:sz w:val="18"/>
                <w:szCs w:val="18"/>
              </w:rPr>
              <w:t xml:space="preserve">Закон </w:t>
            </w:r>
            <w:r w:rsidRPr="009D5B83">
              <w:rPr>
                <w:b/>
                <w:color w:val="000000"/>
                <w:sz w:val="18"/>
                <w:szCs w:val="18"/>
              </w:rPr>
              <w:br/>
              <w:t>№ 390-ФЗ</w:t>
            </w:r>
          </w:p>
        </w:tc>
        <w:tc>
          <w:tcPr>
            <w:tcW w:w="1843" w:type="dxa"/>
            <w:tcBorders>
              <w:top w:val="nil"/>
              <w:left w:val="nil"/>
              <w:bottom w:val="single" w:sz="4" w:space="0" w:color="auto"/>
              <w:right w:val="single" w:sz="4" w:space="0" w:color="auto"/>
            </w:tcBorders>
            <w:shd w:val="clear" w:color="auto" w:fill="auto"/>
            <w:vAlign w:val="center"/>
            <w:hideMark/>
          </w:tcPr>
          <w:p w14:paraId="455BA527" w14:textId="77777777" w:rsidR="00987707" w:rsidRPr="009D5B83" w:rsidRDefault="00987707" w:rsidP="00987707">
            <w:pPr>
              <w:jc w:val="center"/>
              <w:rPr>
                <w:b/>
                <w:color w:val="000000"/>
                <w:sz w:val="18"/>
                <w:szCs w:val="18"/>
              </w:rPr>
            </w:pPr>
            <w:r w:rsidRPr="009D5B83">
              <w:rPr>
                <w:b/>
                <w:color w:val="000000"/>
                <w:sz w:val="18"/>
                <w:szCs w:val="18"/>
              </w:rPr>
              <w:t>Законопроект</w:t>
            </w:r>
          </w:p>
        </w:tc>
        <w:tc>
          <w:tcPr>
            <w:tcW w:w="1842" w:type="dxa"/>
            <w:tcBorders>
              <w:top w:val="nil"/>
              <w:left w:val="nil"/>
              <w:bottom w:val="single" w:sz="4" w:space="0" w:color="auto"/>
              <w:right w:val="single" w:sz="4" w:space="0" w:color="auto"/>
            </w:tcBorders>
            <w:shd w:val="clear" w:color="auto" w:fill="auto"/>
            <w:vAlign w:val="center"/>
            <w:hideMark/>
          </w:tcPr>
          <w:p w14:paraId="67DBB271" w14:textId="77777777" w:rsidR="00987707" w:rsidRPr="009D5B83" w:rsidRDefault="00987707" w:rsidP="00987707">
            <w:pPr>
              <w:jc w:val="center"/>
              <w:rPr>
                <w:b/>
                <w:color w:val="000000"/>
                <w:sz w:val="18"/>
                <w:szCs w:val="18"/>
              </w:rPr>
            </w:pPr>
            <w:r w:rsidRPr="009D5B83">
              <w:rPr>
                <w:b/>
                <w:color w:val="000000"/>
                <w:sz w:val="18"/>
                <w:szCs w:val="18"/>
              </w:rPr>
              <w:t>Δ к закону, %</w:t>
            </w:r>
          </w:p>
        </w:tc>
        <w:tc>
          <w:tcPr>
            <w:tcW w:w="1937" w:type="dxa"/>
            <w:tcBorders>
              <w:top w:val="nil"/>
              <w:left w:val="nil"/>
              <w:bottom w:val="single" w:sz="4" w:space="0" w:color="auto"/>
              <w:right w:val="single" w:sz="4" w:space="0" w:color="auto"/>
            </w:tcBorders>
            <w:shd w:val="clear" w:color="auto" w:fill="auto"/>
            <w:vAlign w:val="center"/>
            <w:hideMark/>
          </w:tcPr>
          <w:p w14:paraId="72597AC1" w14:textId="77777777" w:rsidR="00987707" w:rsidRPr="009D5B83" w:rsidRDefault="00987707" w:rsidP="00987707">
            <w:pPr>
              <w:jc w:val="center"/>
              <w:rPr>
                <w:b/>
                <w:color w:val="000000"/>
                <w:sz w:val="18"/>
                <w:szCs w:val="18"/>
              </w:rPr>
            </w:pPr>
            <w:r w:rsidRPr="009D5B83">
              <w:rPr>
                <w:b/>
                <w:color w:val="000000"/>
                <w:sz w:val="18"/>
                <w:szCs w:val="18"/>
              </w:rPr>
              <w:t xml:space="preserve">Закон </w:t>
            </w:r>
            <w:r w:rsidRPr="009D5B83">
              <w:rPr>
                <w:b/>
                <w:color w:val="000000"/>
                <w:sz w:val="18"/>
                <w:szCs w:val="18"/>
              </w:rPr>
              <w:br/>
              <w:t>№ 390-ФЗ</w:t>
            </w:r>
          </w:p>
        </w:tc>
        <w:tc>
          <w:tcPr>
            <w:tcW w:w="1937" w:type="dxa"/>
            <w:tcBorders>
              <w:top w:val="nil"/>
              <w:left w:val="nil"/>
              <w:bottom w:val="single" w:sz="4" w:space="0" w:color="auto"/>
              <w:right w:val="single" w:sz="4" w:space="0" w:color="auto"/>
            </w:tcBorders>
            <w:shd w:val="clear" w:color="auto" w:fill="auto"/>
            <w:vAlign w:val="center"/>
            <w:hideMark/>
          </w:tcPr>
          <w:p w14:paraId="6DC738EB" w14:textId="77777777" w:rsidR="00987707" w:rsidRPr="009D5B83" w:rsidRDefault="00987707" w:rsidP="00987707">
            <w:pPr>
              <w:jc w:val="center"/>
              <w:rPr>
                <w:b/>
                <w:color w:val="000000"/>
                <w:sz w:val="18"/>
                <w:szCs w:val="18"/>
              </w:rPr>
            </w:pPr>
            <w:r w:rsidRPr="009D5B83">
              <w:rPr>
                <w:b/>
                <w:color w:val="000000"/>
                <w:sz w:val="18"/>
                <w:szCs w:val="18"/>
              </w:rPr>
              <w:t>Законопроект</w:t>
            </w:r>
          </w:p>
        </w:tc>
        <w:tc>
          <w:tcPr>
            <w:tcW w:w="1938" w:type="dxa"/>
            <w:tcBorders>
              <w:top w:val="nil"/>
              <w:left w:val="nil"/>
              <w:bottom w:val="single" w:sz="4" w:space="0" w:color="auto"/>
              <w:right w:val="single" w:sz="4" w:space="0" w:color="auto"/>
            </w:tcBorders>
            <w:shd w:val="clear" w:color="auto" w:fill="auto"/>
            <w:vAlign w:val="center"/>
            <w:hideMark/>
          </w:tcPr>
          <w:p w14:paraId="0EDF847D" w14:textId="77777777" w:rsidR="00987707" w:rsidRPr="009D5B83" w:rsidRDefault="00987707" w:rsidP="00987707">
            <w:pPr>
              <w:jc w:val="center"/>
              <w:rPr>
                <w:b/>
                <w:color w:val="000000"/>
                <w:sz w:val="18"/>
                <w:szCs w:val="18"/>
              </w:rPr>
            </w:pPr>
            <w:r w:rsidRPr="009D5B83">
              <w:rPr>
                <w:b/>
                <w:color w:val="000000"/>
                <w:sz w:val="18"/>
                <w:szCs w:val="18"/>
              </w:rPr>
              <w:t>Δ к закону, %</w:t>
            </w:r>
          </w:p>
        </w:tc>
      </w:tr>
      <w:tr w:rsidR="00987707" w:rsidRPr="009D5B83" w14:paraId="7A120EB1" w14:textId="77777777" w:rsidTr="00987707">
        <w:trPr>
          <w:trHeight w:val="240"/>
          <w:tblHeader/>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4D567658" w14:textId="77777777" w:rsidR="00987707" w:rsidRPr="009D5B83" w:rsidRDefault="00987707" w:rsidP="00987707">
            <w:pPr>
              <w:ind w:left="-113" w:right="-113"/>
              <w:jc w:val="center"/>
              <w:rPr>
                <w:b/>
                <w:color w:val="000000"/>
                <w:sz w:val="18"/>
                <w:szCs w:val="18"/>
              </w:rPr>
            </w:pPr>
            <w:r w:rsidRPr="009D5B83">
              <w:rPr>
                <w:b/>
                <w:color w:val="000000"/>
                <w:sz w:val="18"/>
                <w:szCs w:val="18"/>
              </w:rPr>
              <w:t>1</w:t>
            </w:r>
          </w:p>
        </w:tc>
        <w:tc>
          <w:tcPr>
            <w:tcW w:w="1636" w:type="dxa"/>
            <w:tcBorders>
              <w:top w:val="nil"/>
              <w:left w:val="nil"/>
              <w:bottom w:val="single" w:sz="4" w:space="0" w:color="auto"/>
              <w:right w:val="single" w:sz="4" w:space="0" w:color="auto"/>
            </w:tcBorders>
            <w:shd w:val="clear" w:color="auto" w:fill="auto"/>
            <w:vAlign w:val="center"/>
            <w:hideMark/>
          </w:tcPr>
          <w:p w14:paraId="0906ED5B" w14:textId="77777777" w:rsidR="00987707" w:rsidRPr="009D5B83" w:rsidRDefault="00987707" w:rsidP="00987707">
            <w:pPr>
              <w:ind w:left="-113" w:right="-113"/>
              <w:jc w:val="center"/>
              <w:rPr>
                <w:b/>
                <w:color w:val="000000"/>
                <w:sz w:val="18"/>
                <w:szCs w:val="18"/>
              </w:rPr>
            </w:pPr>
            <w:r w:rsidRPr="009D5B83">
              <w:rPr>
                <w:b/>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69CC784C" w14:textId="77777777" w:rsidR="00987707" w:rsidRPr="009D5B83" w:rsidRDefault="00987707" w:rsidP="00987707">
            <w:pPr>
              <w:ind w:left="-113" w:right="-113"/>
              <w:jc w:val="center"/>
              <w:rPr>
                <w:b/>
                <w:color w:val="000000"/>
                <w:sz w:val="18"/>
                <w:szCs w:val="18"/>
              </w:rPr>
            </w:pPr>
            <w:r w:rsidRPr="009D5B83">
              <w:rPr>
                <w:b/>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14:paraId="642FFD4F" w14:textId="77777777" w:rsidR="00987707" w:rsidRPr="009D5B83" w:rsidRDefault="00987707" w:rsidP="00987707">
            <w:pPr>
              <w:ind w:left="-113" w:right="-113"/>
              <w:jc w:val="center"/>
              <w:rPr>
                <w:b/>
                <w:color w:val="000000"/>
                <w:sz w:val="18"/>
                <w:szCs w:val="18"/>
              </w:rPr>
            </w:pPr>
            <w:r w:rsidRPr="009D5B83">
              <w:rPr>
                <w:b/>
                <w:color w:val="000000"/>
                <w:sz w:val="18"/>
                <w:szCs w:val="18"/>
              </w:rPr>
              <w:t>4</w:t>
            </w:r>
          </w:p>
        </w:tc>
        <w:tc>
          <w:tcPr>
            <w:tcW w:w="1842" w:type="dxa"/>
            <w:tcBorders>
              <w:top w:val="nil"/>
              <w:left w:val="nil"/>
              <w:bottom w:val="single" w:sz="4" w:space="0" w:color="auto"/>
              <w:right w:val="single" w:sz="4" w:space="0" w:color="auto"/>
            </w:tcBorders>
            <w:shd w:val="clear" w:color="auto" w:fill="auto"/>
            <w:vAlign w:val="center"/>
            <w:hideMark/>
          </w:tcPr>
          <w:p w14:paraId="2015A9A6" w14:textId="77777777" w:rsidR="00987707" w:rsidRPr="009D5B83" w:rsidRDefault="00987707" w:rsidP="00987707">
            <w:pPr>
              <w:ind w:left="-113" w:right="-113"/>
              <w:jc w:val="center"/>
              <w:rPr>
                <w:b/>
                <w:color w:val="000000"/>
                <w:sz w:val="18"/>
                <w:szCs w:val="18"/>
              </w:rPr>
            </w:pPr>
            <w:r w:rsidRPr="009D5B83">
              <w:rPr>
                <w:b/>
                <w:color w:val="000000"/>
                <w:sz w:val="18"/>
                <w:szCs w:val="18"/>
              </w:rPr>
              <w:t>5=4/3*100</w:t>
            </w:r>
          </w:p>
        </w:tc>
        <w:tc>
          <w:tcPr>
            <w:tcW w:w="1937" w:type="dxa"/>
            <w:tcBorders>
              <w:top w:val="nil"/>
              <w:left w:val="nil"/>
              <w:bottom w:val="single" w:sz="4" w:space="0" w:color="auto"/>
              <w:right w:val="single" w:sz="4" w:space="0" w:color="auto"/>
            </w:tcBorders>
            <w:shd w:val="clear" w:color="auto" w:fill="auto"/>
            <w:vAlign w:val="center"/>
            <w:hideMark/>
          </w:tcPr>
          <w:p w14:paraId="7A1A18FF" w14:textId="77777777" w:rsidR="00987707" w:rsidRPr="009D5B83" w:rsidRDefault="00987707" w:rsidP="00987707">
            <w:pPr>
              <w:ind w:left="-113" w:right="-113"/>
              <w:jc w:val="center"/>
              <w:rPr>
                <w:b/>
                <w:color w:val="000000"/>
                <w:sz w:val="18"/>
                <w:szCs w:val="18"/>
              </w:rPr>
            </w:pPr>
            <w:r w:rsidRPr="009D5B83">
              <w:rPr>
                <w:b/>
                <w:color w:val="000000"/>
                <w:sz w:val="18"/>
                <w:szCs w:val="18"/>
              </w:rPr>
              <w:t>6</w:t>
            </w:r>
          </w:p>
        </w:tc>
        <w:tc>
          <w:tcPr>
            <w:tcW w:w="1937" w:type="dxa"/>
            <w:tcBorders>
              <w:top w:val="nil"/>
              <w:left w:val="nil"/>
              <w:bottom w:val="single" w:sz="4" w:space="0" w:color="auto"/>
              <w:right w:val="single" w:sz="4" w:space="0" w:color="auto"/>
            </w:tcBorders>
            <w:shd w:val="clear" w:color="auto" w:fill="auto"/>
            <w:vAlign w:val="center"/>
            <w:hideMark/>
          </w:tcPr>
          <w:p w14:paraId="563DEAB8" w14:textId="77777777" w:rsidR="00987707" w:rsidRPr="009D5B83" w:rsidRDefault="00987707" w:rsidP="00987707">
            <w:pPr>
              <w:ind w:left="-113" w:right="-113"/>
              <w:jc w:val="center"/>
              <w:rPr>
                <w:b/>
                <w:color w:val="000000"/>
                <w:sz w:val="18"/>
                <w:szCs w:val="18"/>
              </w:rPr>
            </w:pPr>
            <w:r w:rsidRPr="009D5B83">
              <w:rPr>
                <w:b/>
                <w:color w:val="000000"/>
                <w:sz w:val="18"/>
                <w:szCs w:val="18"/>
              </w:rPr>
              <w:t>7</w:t>
            </w:r>
          </w:p>
        </w:tc>
        <w:tc>
          <w:tcPr>
            <w:tcW w:w="1938" w:type="dxa"/>
            <w:tcBorders>
              <w:top w:val="nil"/>
              <w:left w:val="nil"/>
              <w:bottom w:val="single" w:sz="4" w:space="0" w:color="auto"/>
              <w:right w:val="single" w:sz="4" w:space="0" w:color="auto"/>
            </w:tcBorders>
            <w:shd w:val="clear" w:color="auto" w:fill="auto"/>
            <w:vAlign w:val="center"/>
            <w:hideMark/>
          </w:tcPr>
          <w:p w14:paraId="206266E4" w14:textId="77777777" w:rsidR="00987707" w:rsidRPr="009D5B83" w:rsidRDefault="00987707" w:rsidP="00987707">
            <w:pPr>
              <w:ind w:left="-113" w:right="-113"/>
              <w:jc w:val="center"/>
              <w:rPr>
                <w:b/>
                <w:color w:val="000000"/>
                <w:sz w:val="18"/>
                <w:szCs w:val="18"/>
              </w:rPr>
            </w:pPr>
            <w:r w:rsidRPr="009D5B83">
              <w:rPr>
                <w:b/>
                <w:color w:val="000000"/>
                <w:sz w:val="18"/>
                <w:szCs w:val="18"/>
              </w:rPr>
              <w:t>8=7/6*100</w:t>
            </w:r>
          </w:p>
        </w:tc>
      </w:tr>
      <w:tr w:rsidR="00987707" w:rsidRPr="009D5B83" w14:paraId="432E51E6" w14:textId="77777777" w:rsidTr="00987707">
        <w:trPr>
          <w:trHeight w:val="240"/>
          <w:tblHeader/>
        </w:trPr>
        <w:tc>
          <w:tcPr>
            <w:tcW w:w="2470" w:type="dxa"/>
            <w:tcBorders>
              <w:top w:val="nil"/>
              <w:left w:val="single" w:sz="4" w:space="0" w:color="auto"/>
              <w:bottom w:val="single" w:sz="4" w:space="0" w:color="auto"/>
              <w:right w:val="single" w:sz="4" w:space="0" w:color="auto"/>
            </w:tcBorders>
            <w:shd w:val="clear" w:color="auto" w:fill="auto"/>
            <w:vAlign w:val="center"/>
          </w:tcPr>
          <w:p w14:paraId="21CAA2A6" w14:textId="77339DAB" w:rsidR="00987707" w:rsidRPr="009D5B83" w:rsidRDefault="00987707" w:rsidP="00987707">
            <w:pPr>
              <w:rPr>
                <w:b/>
                <w:bCs/>
                <w:sz w:val="18"/>
                <w:szCs w:val="18"/>
              </w:rPr>
            </w:pPr>
            <w:r w:rsidRPr="009D5B83">
              <w:rPr>
                <w:b/>
                <w:bCs/>
                <w:sz w:val="18"/>
                <w:szCs w:val="18"/>
              </w:rPr>
              <w:t>НП «Наука и университеты»</w:t>
            </w:r>
          </w:p>
        </w:tc>
        <w:tc>
          <w:tcPr>
            <w:tcW w:w="1636" w:type="dxa"/>
            <w:tcBorders>
              <w:top w:val="nil"/>
              <w:left w:val="nil"/>
              <w:bottom w:val="single" w:sz="4" w:space="0" w:color="auto"/>
              <w:right w:val="single" w:sz="4" w:space="0" w:color="auto"/>
            </w:tcBorders>
            <w:shd w:val="clear" w:color="auto" w:fill="auto"/>
            <w:vAlign w:val="center"/>
          </w:tcPr>
          <w:p w14:paraId="75CE8801" w14:textId="77777777" w:rsidR="00987707" w:rsidRPr="009D5B83" w:rsidRDefault="00987707" w:rsidP="00987707">
            <w:pPr>
              <w:jc w:val="center"/>
              <w:rPr>
                <w:sz w:val="16"/>
                <w:szCs w:val="16"/>
              </w:rPr>
            </w:pPr>
            <w:r w:rsidRPr="009D5B83">
              <w:rPr>
                <w:sz w:val="16"/>
                <w:szCs w:val="16"/>
              </w:rPr>
              <w:t>125,3</w:t>
            </w:r>
          </w:p>
        </w:tc>
        <w:tc>
          <w:tcPr>
            <w:tcW w:w="1276" w:type="dxa"/>
            <w:tcBorders>
              <w:top w:val="nil"/>
              <w:left w:val="nil"/>
              <w:bottom w:val="single" w:sz="4" w:space="0" w:color="auto"/>
              <w:right w:val="single" w:sz="4" w:space="0" w:color="auto"/>
            </w:tcBorders>
            <w:shd w:val="clear" w:color="auto" w:fill="auto"/>
            <w:vAlign w:val="center"/>
          </w:tcPr>
          <w:p w14:paraId="0F447611" w14:textId="77777777" w:rsidR="00987707" w:rsidRPr="009D5B83" w:rsidRDefault="00987707" w:rsidP="00987707">
            <w:pPr>
              <w:jc w:val="center"/>
              <w:rPr>
                <w:sz w:val="16"/>
                <w:szCs w:val="16"/>
              </w:rPr>
            </w:pPr>
            <w:r w:rsidRPr="009D5B83">
              <w:rPr>
                <w:sz w:val="16"/>
                <w:szCs w:val="16"/>
              </w:rPr>
              <w:t>152,6</w:t>
            </w:r>
          </w:p>
        </w:tc>
        <w:tc>
          <w:tcPr>
            <w:tcW w:w="1843" w:type="dxa"/>
            <w:tcBorders>
              <w:top w:val="nil"/>
              <w:left w:val="nil"/>
              <w:bottom w:val="single" w:sz="4" w:space="0" w:color="auto"/>
              <w:right w:val="single" w:sz="4" w:space="0" w:color="auto"/>
            </w:tcBorders>
            <w:shd w:val="clear" w:color="auto" w:fill="auto"/>
            <w:vAlign w:val="center"/>
          </w:tcPr>
          <w:p w14:paraId="50722CA3" w14:textId="77777777" w:rsidR="00987707" w:rsidRPr="009D5B83" w:rsidRDefault="00987707" w:rsidP="00987707">
            <w:pPr>
              <w:jc w:val="center"/>
              <w:rPr>
                <w:sz w:val="16"/>
                <w:szCs w:val="16"/>
              </w:rPr>
            </w:pPr>
            <w:r w:rsidRPr="009D5B83">
              <w:rPr>
                <w:sz w:val="16"/>
                <w:szCs w:val="16"/>
              </w:rPr>
              <w:t>144,8</w:t>
            </w:r>
          </w:p>
        </w:tc>
        <w:tc>
          <w:tcPr>
            <w:tcW w:w="1842" w:type="dxa"/>
            <w:tcBorders>
              <w:top w:val="nil"/>
              <w:left w:val="nil"/>
              <w:bottom w:val="single" w:sz="4" w:space="0" w:color="auto"/>
              <w:right w:val="single" w:sz="4" w:space="0" w:color="auto"/>
            </w:tcBorders>
            <w:shd w:val="clear" w:color="auto" w:fill="auto"/>
            <w:vAlign w:val="center"/>
          </w:tcPr>
          <w:p w14:paraId="47274779" w14:textId="77777777" w:rsidR="00987707" w:rsidRPr="009D5B83" w:rsidRDefault="00987707" w:rsidP="00987707">
            <w:pPr>
              <w:jc w:val="center"/>
              <w:rPr>
                <w:sz w:val="16"/>
                <w:szCs w:val="16"/>
              </w:rPr>
            </w:pPr>
            <w:r w:rsidRPr="009D5B83">
              <w:rPr>
                <w:sz w:val="16"/>
                <w:szCs w:val="16"/>
              </w:rPr>
              <w:t>94,9</w:t>
            </w:r>
          </w:p>
        </w:tc>
        <w:tc>
          <w:tcPr>
            <w:tcW w:w="1937" w:type="dxa"/>
            <w:tcBorders>
              <w:top w:val="nil"/>
              <w:left w:val="nil"/>
              <w:bottom w:val="single" w:sz="4" w:space="0" w:color="auto"/>
              <w:right w:val="single" w:sz="4" w:space="0" w:color="auto"/>
            </w:tcBorders>
            <w:shd w:val="clear" w:color="auto" w:fill="auto"/>
            <w:vAlign w:val="center"/>
          </w:tcPr>
          <w:p w14:paraId="48EDDA21" w14:textId="77777777" w:rsidR="00987707" w:rsidRPr="009D5B83" w:rsidRDefault="00987707" w:rsidP="00987707">
            <w:pPr>
              <w:jc w:val="center"/>
              <w:rPr>
                <w:sz w:val="16"/>
                <w:szCs w:val="16"/>
              </w:rPr>
            </w:pPr>
            <w:r w:rsidRPr="009D5B83">
              <w:rPr>
                <w:sz w:val="16"/>
                <w:szCs w:val="16"/>
              </w:rPr>
              <w:t>138,1</w:t>
            </w:r>
          </w:p>
        </w:tc>
        <w:tc>
          <w:tcPr>
            <w:tcW w:w="1937" w:type="dxa"/>
            <w:tcBorders>
              <w:top w:val="nil"/>
              <w:left w:val="nil"/>
              <w:bottom w:val="single" w:sz="4" w:space="0" w:color="auto"/>
              <w:right w:val="single" w:sz="4" w:space="0" w:color="auto"/>
            </w:tcBorders>
            <w:shd w:val="clear" w:color="auto" w:fill="auto"/>
            <w:vAlign w:val="center"/>
          </w:tcPr>
          <w:p w14:paraId="67D5F06A" w14:textId="77777777" w:rsidR="00987707" w:rsidRPr="009D5B83" w:rsidRDefault="00987707" w:rsidP="00987707">
            <w:pPr>
              <w:jc w:val="center"/>
              <w:rPr>
                <w:sz w:val="16"/>
                <w:szCs w:val="16"/>
              </w:rPr>
            </w:pPr>
            <w:r w:rsidRPr="009D5B83">
              <w:rPr>
                <w:sz w:val="16"/>
                <w:szCs w:val="16"/>
              </w:rPr>
              <w:t>154,7</w:t>
            </w:r>
          </w:p>
        </w:tc>
        <w:tc>
          <w:tcPr>
            <w:tcW w:w="1938" w:type="dxa"/>
            <w:tcBorders>
              <w:top w:val="nil"/>
              <w:left w:val="nil"/>
              <w:bottom w:val="single" w:sz="4" w:space="0" w:color="auto"/>
              <w:right w:val="single" w:sz="4" w:space="0" w:color="auto"/>
            </w:tcBorders>
            <w:shd w:val="clear" w:color="auto" w:fill="auto"/>
            <w:vAlign w:val="center"/>
          </w:tcPr>
          <w:p w14:paraId="1574F6D7" w14:textId="77777777" w:rsidR="00987707" w:rsidRPr="009D5B83" w:rsidRDefault="00987707" w:rsidP="00987707">
            <w:pPr>
              <w:jc w:val="center"/>
              <w:rPr>
                <w:sz w:val="16"/>
                <w:szCs w:val="16"/>
              </w:rPr>
            </w:pPr>
            <w:r w:rsidRPr="009D5B83">
              <w:rPr>
                <w:sz w:val="16"/>
                <w:szCs w:val="16"/>
              </w:rPr>
              <w:t>112,0</w:t>
            </w:r>
          </w:p>
        </w:tc>
      </w:tr>
      <w:tr w:rsidR="00987707" w:rsidRPr="009D5B83" w14:paraId="5F76DA04" w14:textId="77777777" w:rsidTr="00987707">
        <w:trPr>
          <w:trHeight w:val="240"/>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14:paraId="6308BC72" w14:textId="65ED2731" w:rsidR="00987707" w:rsidRPr="009D5B83" w:rsidRDefault="00987707" w:rsidP="00987707">
            <w:pPr>
              <w:ind w:left="-113" w:right="-113"/>
              <w:rPr>
                <w:sz w:val="18"/>
                <w:szCs w:val="18"/>
              </w:rPr>
            </w:pPr>
            <w:r w:rsidRPr="009D5B83">
              <w:rPr>
                <w:bCs/>
                <w:sz w:val="18"/>
                <w:szCs w:val="18"/>
              </w:rPr>
              <w:t xml:space="preserve">   </w:t>
            </w:r>
            <w:r w:rsidR="00AA0954">
              <w:rPr>
                <w:bCs/>
                <w:sz w:val="18"/>
                <w:szCs w:val="18"/>
              </w:rPr>
              <w:t>в</w:t>
            </w:r>
            <w:r w:rsidRPr="009D5B83">
              <w:rPr>
                <w:bCs/>
                <w:sz w:val="18"/>
                <w:szCs w:val="18"/>
              </w:rPr>
              <w:t xml:space="preserve"> том числе</w:t>
            </w:r>
          </w:p>
        </w:tc>
        <w:tc>
          <w:tcPr>
            <w:tcW w:w="5812" w:type="dxa"/>
            <w:gridSpan w:val="3"/>
            <w:tcBorders>
              <w:top w:val="nil"/>
              <w:left w:val="single" w:sz="4" w:space="0" w:color="auto"/>
              <w:bottom w:val="single" w:sz="4" w:space="0" w:color="auto"/>
              <w:right w:val="single" w:sz="4" w:space="0" w:color="auto"/>
            </w:tcBorders>
            <w:shd w:val="clear" w:color="auto" w:fill="auto"/>
            <w:vAlign w:val="center"/>
          </w:tcPr>
          <w:p w14:paraId="61323DB9" w14:textId="77777777" w:rsidR="00987707" w:rsidRPr="009D5B83" w:rsidRDefault="00987707" w:rsidP="00987707">
            <w:pPr>
              <w:ind w:left="-113" w:right="-113"/>
              <w:rPr>
                <w:sz w:val="18"/>
                <w:szCs w:val="18"/>
              </w:rPr>
            </w:pPr>
          </w:p>
        </w:tc>
      </w:tr>
      <w:tr w:rsidR="00987707" w:rsidRPr="009D5B83" w14:paraId="16C784DB" w14:textId="77777777" w:rsidTr="00987707">
        <w:trPr>
          <w:trHeight w:val="240"/>
          <w:tblHeader/>
        </w:trPr>
        <w:tc>
          <w:tcPr>
            <w:tcW w:w="2470" w:type="dxa"/>
            <w:tcBorders>
              <w:top w:val="nil"/>
              <w:left w:val="single" w:sz="4" w:space="0" w:color="auto"/>
              <w:bottom w:val="single" w:sz="4" w:space="0" w:color="auto"/>
              <w:right w:val="single" w:sz="4" w:space="0" w:color="auto"/>
            </w:tcBorders>
            <w:shd w:val="clear" w:color="auto" w:fill="auto"/>
            <w:vAlign w:val="center"/>
          </w:tcPr>
          <w:p w14:paraId="6D96B64C" w14:textId="0BC62143" w:rsidR="00987707" w:rsidRPr="009D5B83" w:rsidRDefault="00987707" w:rsidP="00987707">
            <w:pPr>
              <w:rPr>
                <w:sz w:val="18"/>
                <w:szCs w:val="18"/>
              </w:rPr>
            </w:pPr>
            <w:r w:rsidRPr="009D5B83">
              <w:rPr>
                <w:sz w:val="18"/>
                <w:szCs w:val="18"/>
              </w:rPr>
              <w:t>ФП «Развитие масштабных научных и научно-технологических проектов по приоритетным исследовательским направлениям»</w:t>
            </w:r>
          </w:p>
        </w:tc>
        <w:tc>
          <w:tcPr>
            <w:tcW w:w="1636" w:type="dxa"/>
            <w:tcBorders>
              <w:top w:val="nil"/>
              <w:left w:val="nil"/>
              <w:bottom w:val="single" w:sz="4" w:space="0" w:color="auto"/>
              <w:right w:val="single" w:sz="4" w:space="0" w:color="auto"/>
            </w:tcBorders>
            <w:shd w:val="clear" w:color="auto" w:fill="auto"/>
            <w:vAlign w:val="center"/>
          </w:tcPr>
          <w:p w14:paraId="49DC8290" w14:textId="77777777" w:rsidR="00987707" w:rsidRPr="009D5B83" w:rsidRDefault="00987707" w:rsidP="00987707">
            <w:pPr>
              <w:jc w:val="center"/>
              <w:rPr>
                <w:sz w:val="16"/>
                <w:szCs w:val="16"/>
              </w:rPr>
            </w:pPr>
            <w:r w:rsidRPr="009D5B83">
              <w:rPr>
                <w:sz w:val="16"/>
                <w:szCs w:val="16"/>
              </w:rPr>
              <w:t>21,0</w:t>
            </w:r>
          </w:p>
        </w:tc>
        <w:tc>
          <w:tcPr>
            <w:tcW w:w="1276" w:type="dxa"/>
            <w:tcBorders>
              <w:top w:val="nil"/>
              <w:left w:val="nil"/>
              <w:bottom w:val="single" w:sz="4" w:space="0" w:color="auto"/>
              <w:right w:val="single" w:sz="4" w:space="0" w:color="auto"/>
            </w:tcBorders>
            <w:shd w:val="clear" w:color="auto" w:fill="auto"/>
            <w:vAlign w:val="center"/>
          </w:tcPr>
          <w:p w14:paraId="2B899905" w14:textId="77777777" w:rsidR="00987707" w:rsidRPr="009D5B83" w:rsidRDefault="00987707" w:rsidP="00987707">
            <w:pPr>
              <w:jc w:val="center"/>
              <w:rPr>
                <w:sz w:val="16"/>
                <w:szCs w:val="16"/>
              </w:rPr>
            </w:pPr>
            <w:r w:rsidRPr="009D5B83">
              <w:rPr>
                <w:sz w:val="16"/>
                <w:szCs w:val="16"/>
              </w:rPr>
              <w:t>22,7</w:t>
            </w:r>
          </w:p>
        </w:tc>
        <w:tc>
          <w:tcPr>
            <w:tcW w:w="1843" w:type="dxa"/>
            <w:tcBorders>
              <w:top w:val="nil"/>
              <w:left w:val="nil"/>
              <w:bottom w:val="single" w:sz="4" w:space="0" w:color="auto"/>
              <w:right w:val="single" w:sz="4" w:space="0" w:color="auto"/>
            </w:tcBorders>
            <w:shd w:val="clear" w:color="auto" w:fill="auto"/>
            <w:vAlign w:val="center"/>
          </w:tcPr>
          <w:p w14:paraId="58C00BF6" w14:textId="77777777" w:rsidR="00987707" w:rsidRPr="009D5B83" w:rsidRDefault="00987707" w:rsidP="00987707">
            <w:pPr>
              <w:jc w:val="center"/>
              <w:rPr>
                <w:sz w:val="16"/>
                <w:szCs w:val="16"/>
              </w:rPr>
            </w:pPr>
            <w:r w:rsidRPr="009D5B83">
              <w:rPr>
                <w:sz w:val="16"/>
                <w:szCs w:val="16"/>
              </w:rPr>
              <w:t>20,6</w:t>
            </w:r>
          </w:p>
        </w:tc>
        <w:tc>
          <w:tcPr>
            <w:tcW w:w="1842" w:type="dxa"/>
            <w:tcBorders>
              <w:top w:val="nil"/>
              <w:left w:val="nil"/>
              <w:bottom w:val="single" w:sz="4" w:space="0" w:color="auto"/>
              <w:right w:val="single" w:sz="4" w:space="0" w:color="auto"/>
            </w:tcBorders>
            <w:shd w:val="clear" w:color="auto" w:fill="auto"/>
            <w:vAlign w:val="center"/>
          </w:tcPr>
          <w:p w14:paraId="5A97D094" w14:textId="77777777" w:rsidR="00987707" w:rsidRPr="009D5B83" w:rsidRDefault="00987707" w:rsidP="00987707">
            <w:pPr>
              <w:jc w:val="center"/>
              <w:rPr>
                <w:sz w:val="16"/>
                <w:szCs w:val="16"/>
              </w:rPr>
            </w:pPr>
            <w:r w:rsidRPr="009D5B83">
              <w:rPr>
                <w:sz w:val="16"/>
                <w:szCs w:val="16"/>
              </w:rPr>
              <w:t>90,9</w:t>
            </w:r>
          </w:p>
        </w:tc>
        <w:tc>
          <w:tcPr>
            <w:tcW w:w="1937" w:type="dxa"/>
            <w:tcBorders>
              <w:top w:val="nil"/>
              <w:left w:val="nil"/>
              <w:bottom w:val="single" w:sz="4" w:space="0" w:color="auto"/>
              <w:right w:val="single" w:sz="4" w:space="0" w:color="auto"/>
            </w:tcBorders>
            <w:shd w:val="clear" w:color="auto" w:fill="auto"/>
            <w:vAlign w:val="center"/>
          </w:tcPr>
          <w:p w14:paraId="0D29B368" w14:textId="77777777" w:rsidR="00987707" w:rsidRPr="009D5B83" w:rsidRDefault="00987707" w:rsidP="00987707">
            <w:pPr>
              <w:jc w:val="center"/>
              <w:rPr>
                <w:sz w:val="16"/>
                <w:szCs w:val="16"/>
              </w:rPr>
            </w:pPr>
            <w:r w:rsidRPr="009D5B83">
              <w:rPr>
                <w:sz w:val="16"/>
                <w:szCs w:val="16"/>
              </w:rPr>
              <w:t>22,8</w:t>
            </w:r>
          </w:p>
        </w:tc>
        <w:tc>
          <w:tcPr>
            <w:tcW w:w="1937" w:type="dxa"/>
            <w:tcBorders>
              <w:top w:val="nil"/>
              <w:left w:val="nil"/>
              <w:bottom w:val="single" w:sz="4" w:space="0" w:color="auto"/>
              <w:right w:val="single" w:sz="4" w:space="0" w:color="auto"/>
            </w:tcBorders>
            <w:shd w:val="clear" w:color="auto" w:fill="auto"/>
            <w:vAlign w:val="center"/>
          </w:tcPr>
          <w:p w14:paraId="13D45701" w14:textId="77777777" w:rsidR="00987707" w:rsidRPr="009D5B83" w:rsidRDefault="00987707" w:rsidP="00987707">
            <w:pPr>
              <w:jc w:val="center"/>
              <w:rPr>
                <w:sz w:val="16"/>
                <w:szCs w:val="16"/>
              </w:rPr>
            </w:pPr>
            <w:r w:rsidRPr="009D5B83">
              <w:rPr>
                <w:sz w:val="16"/>
                <w:szCs w:val="16"/>
              </w:rPr>
              <w:t>20,8</w:t>
            </w:r>
          </w:p>
        </w:tc>
        <w:tc>
          <w:tcPr>
            <w:tcW w:w="1938" w:type="dxa"/>
            <w:tcBorders>
              <w:top w:val="nil"/>
              <w:left w:val="nil"/>
              <w:bottom w:val="single" w:sz="4" w:space="0" w:color="auto"/>
              <w:right w:val="single" w:sz="4" w:space="0" w:color="auto"/>
            </w:tcBorders>
            <w:shd w:val="clear" w:color="auto" w:fill="auto"/>
            <w:vAlign w:val="center"/>
          </w:tcPr>
          <w:p w14:paraId="541A7A02" w14:textId="77777777" w:rsidR="00987707" w:rsidRPr="009D5B83" w:rsidRDefault="00987707" w:rsidP="00987707">
            <w:pPr>
              <w:jc w:val="center"/>
              <w:rPr>
                <w:sz w:val="16"/>
                <w:szCs w:val="16"/>
              </w:rPr>
            </w:pPr>
            <w:r w:rsidRPr="009D5B83">
              <w:rPr>
                <w:sz w:val="16"/>
                <w:szCs w:val="16"/>
              </w:rPr>
              <w:t>91,3</w:t>
            </w:r>
          </w:p>
        </w:tc>
      </w:tr>
      <w:tr w:rsidR="00987707" w:rsidRPr="009D5B83" w14:paraId="14F9209B" w14:textId="77777777" w:rsidTr="00987707">
        <w:trPr>
          <w:trHeight w:val="240"/>
          <w:tblHeader/>
        </w:trPr>
        <w:tc>
          <w:tcPr>
            <w:tcW w:w="2470" w:type="dxa"/>
            <w:tcBorders>
              <w:top w:val="nil"/>
              <w:left w:val="single" w:sz="4" w:space="0" w:color="auto"/>
              <w:bottom w:val="single" w:sz="4" w:space="0" w:color="auto"/>
              <w:right w:val="single" w:sz="4" w:space="0" w:color="auto"/>
            </w:tcBorders>
            <w:shd w:val="clear" w:color="auto" w:fill="auto"/>
            <w:vAlign w:val="center"/>
          </w:tcPr>
          <w:p w14:paraId="7F408F22" w14:textId="46E613A7" w:rsidR="00987707" w:rsidRPr="009D5B83" w:rsidRDefault="00987707" w:rsidP="00987707">
            <w:pPr>
              <w:rPr>
                <w:sz w:val="18"/>
                <w:szCs w:val="18"/>
              </w:rPr>
            </w:pPr>
            <w:r w:rsidRPr="009D5B83">
              <w:rPr>
                <w:sz w:val="18"/>
                <w:szCs w:val="18"/>
              </w:rPr>
              <w:t>ФП «Развитие инфраструктуры для научных исследований и подготовки кадров»</w:t>
            </w:r>
          </w:p>
        </w:tc>
        <w:tc>
          <w:tcPr>
            <w:tcW w:w="1636" w:type="dxa"/>
            <w:tcBorders>
              <w:top w:val="nil"/>
              <w:left w:val="nil"/>
              <w:bottom w:val="single" w:sz="4" w:space="0" w:color="auto"/>
              <w:right w:val="single" w:sz="4" w:space="0" w:color="auto"/>
            </w:tcBorders>
            <w:shd w:val="clear" w:color="auto" w:fill="auto"/>
            <w:vAlign w:val="center"/>
          </w:tcPr>
          <w:p w14:paraId="6AC019CA" w14:textId="77777777" w:rsidR="00987707" w:rsidRPr="009D5B83" w:rsidRDefault="00987707" w:rsidP="00987707">
            <w:pPr>
              <w:jc w:val="center"/>
              <w:rPr>
                <w:sz w:val="16"/>
                <w:szCs w:val="16"/>
              </w:rPr>
            </w:pPr>
            <w:r w:rsidRPr="009D5B83">
              <w:rPr>
                <w:sz w:val="16"/>
                <w:szCs w:val="16"/>
              </w:rPr>
              <w:t>54,6</w:t>
            </w:r>
          </w:p>
        </w:tc>
        <w:tc>
          <w:tcPr>
            <w:tcW w:w="1276" w:type="dxa"/>
            <w:tcBorders>
              <w:top w:val="nil"/>
              <w:left w:val="nil"/>
              <w:bottom w:val="single" w:sz="4" w:space="0" w:color="auto"/>
              <w:right w:val="single" w:sz="4" w:space="0" w:color="auto"/>
            </w:tcBorders>
            <w:shd w:val="clear" w:color="auto" w:fill="auto"/>
            <w:vAlign w:val="center"/>
          </w:tcPr>
          <w:p w14:paraId="66AA3FC2" w14:textId="77777777" w:rsidR="00987707" w:rsidRPr="009D5B83" w:rsidRDefault="00987707" w:rsidP="00987707">
            <w:pPr>
              <w:jc w:val="center"/>
              <w:rPr>
                <w:sz w:val="16"/>
                <w:szCs w:val="16"/>
              </w:rPr>
            </w:pPr>
            <w:r w:rsidRPr="009D5B83">
              <w:rPr>
                <w:sz w:val="16"/>
                <w:szCs w:val="16"/>
              </w:rPr>
              <w:t>86,2</w:t>
            </w:r>
          </w:p>
        </w:tc>
        <w:tc>
          <w:tcPr>
            <w:tcW w:w="1843" w:type="dxa"/>
            <w:tcBorders>
              <w:top w:val="nil"/>
              <w:left w:val="nil"/>
              <w:bottom w:val="single" w:sz="4" w:space="0" w:color="auto"/>
              <w:right w:val="single" w:sz="4" w:space="0" w:color="auto"/>
            </w:tcBorders>
            <w:shd w:val="clear" w:color="auto" w:fill="auto"/>
            <w:vAlign w:val="center"/>
          </w:tcPr>
          <w:p w14:paraId="2C5CEC77" w14:textId="77777777" w:rsidR="00987707" w:rsidRPr="009D5B83" w:rsidRDefault="00987707" w:rsidP="00987707">
            <w:pPr>
              <w:jc w:val="center"/>
              <w:rPr>
                <w:sz w:val="16"/>
                <w:szCs w:val="16"/>
              </w:rPr>
            </w:pPr>
            <w:r w:rsidRPr="009D5B83">
              <w:rPr>
                <w:sz w:val="16"/>
                <w:szCs w:val="16"/>
              </w:rPr>
              <w:t>77,7</w:t>
            </w:r>
          </w:p>
        </w:tc>
        <w:tc>
          <w:tcPr>
            <w:tcW w:w="1842" w:type="dxa"/>
            <w:tcBorders>
              <w:top w:val="nil"/>
              <w:left w:val="nil"/>
              <w:bottom w:val="single" w:sz="4" w:space="0" w:color="auto"/>
              <w:right w:val="single" w:sz="4" w:space="0" w:color="auto"/>
            </w:tcBorders>
            <w:shd w:val="clear" w:color="auto" w:fill="auto"/>
            <w:vAlign w:val="center"/>
          </w:tcPr>
          <w:p w14:paraId="03E855CB" w14:textId="77777777" w:rsidR="00987707" w:rsidRPr="009D5B83" w:rsidRDefault="00987707" w:rsidP="00987707">
            <w:pPr>
              <w:jc w:val="center"/>
              <w:rPr>
                <w:sz w:val="16"/>
                <w:szCs w:val="16"/>
              </w:rPr>
            </w:pPr>
            <w:r w:rsidRPr="009D5B83">
              <w:rPr>
                <w:sz w:val="16"/>
                <w:szCs w:val="16"/>
              </w:rPr>
              <w:t>90,2</w:t>
            </w:r>
          </w:p>
        </w:tc>
        <w:tc>
          <w:tcPr>
            <w:tcW w:w="1937" w:type="dxa"/>
            <w:tcBorders>
              <w:top w:val="nil"/>
              <w:left w:val="nil"/>
              <w:bottom w:val="single" w:sz="4" w:space="0" w:color="auto"/>
              <w:right w:val="single" w:sz="4" w:space="0" w:color="auto"/>
            </w:tcBorders>
            <w:shd w:val="clear" w:color="auto" w:fill="auto"/>
            <w:vAlign w:val="center"/>
          </w:tcPr>
          <w:p w14:paraId="033007F2" w14:textId="77777777" w:rsidR="00987707" w:rsidRPr="009D5B83" w:rsidRDefault="00987707" w:rsidP="00987707">
            <w:pPr>
              <w:jc w:val="center"/>
              <w:rPr>
                <w:sz w:val="16"/>
                <w:szCs w:val="16"/>
              </w:rPr>
            </w:pPr>
            <w:r w:rsidRPr="009D5B83">
              <w:rPr>
                <w:sz w:val="16"/>
                <w:szCs w:val="16"/>
              </w:rPr>
              <w:t xml:space="preserve">76,9 </w:t>
            </w:r>
          </w:p>
        </w:tc>
        <w:tc>
          <w:tcPr>
            <w:tcW w:w="1937" w:type="dxa"/>
            <w:tcBorders>
              <w:top w:val="nil"/>
              <w:left w:val="nil"/>
              <w:bottom w:val="single" w:sz="4" w:space="0" w:color="auto"/>
              <w:right w:val="single" w:sz="4" w:space="0" w:color="auto"/>
            </w:tcBorders>
            <w:shd w:val="clear" w:color="auto" w:fill="auto"/>
            <w:vAlign w:val="center"/>
          </w:tcPr>
          <w:p w14:paraId="64AD6F0E" w14:textId="77777777" w:rsidR="00987707" w:rsidRPr="009D5B83" w:rsidRDefault="00987707" w:rsidP="00987707">
            <w:pPr>
              <w:jc w:val="center"/>
              <w:rPr>
                <w:sz w:val="16"/>
                <w:szCs w:val="16"/>
              </w:rPr>
            </w:pPr>
            <w:r w:rsidRPr="009D5B83">
              <w:rPr>
                <w:sz w:val="16"/>
                <w:szCs w:val="16"/>
              </w:rPr>
              <w:t>92,1</w:t>
            </w:r>
          </w:p>
        </w:tc>
        <w:tc>
          <w:tcPr>
            <w:tcW w:w="1938" w:type="dxa"/>
            <w:tcBorders>
              <w:top w:val="nil"/>
              <w:left w:val="nil"/>
              <w:bottom w:val="single" w:sz="4" w:space="0" w:color="auto"/>
              <w:right w:val="single" w:sz="4" w:space="0" w:color="auto"/>
            </w:tcBorders>
            <w:shd w:val="clear" w:color="auto" w:fill="auto"/>
            <w:vAlign w:val="center"/>
          </w:tcPr>
          <w:p w14:paraId="6C8A695E" w14:textId="77777777" w:rsidR="00987707" w:rsidRPr="009D5B83" w:rsidRDefault="00987707" w:rsidP="00987707">
            <w:pPr>
              <w:jc w:val="center"/>
              <w:rPr>
                <w:sz w:val="16"/>
                <w:szCs w:val="16"/>
              </w:rPr>
            </w:pPr>
            <w:r w:rsidRPr="009D5B83">
              <w:rPr>
                <w:sz w:val="16"/>
                <w:szCs w:val="16"/>
              </w:rPr>
              <w:t>119,9</w:t>
            </w:r>
          </w:p>
        </w:tc>
      </w:tr>
      <w:tr w:rsidR="00987707" w:rsidRPr="009D5B83" w14:paraId="30A1657F" w14:textId="77777777" w:rsidTr="00987707">
        <w:trPr>
          <w:trHeight w:val="240"/>
          <w:tblHeader/>
        </w:trPr>
        <w:tc>
          <w:tcPr>
            <w:tcW w:w="2470" w:type="dxa"/>
            <w:tcBorders>
              <w:top w:val="nil"/>
              <w:left w:val="single" w:sz="4" w:space="0" w:color="auto"/>
              <w:bottom w:val="single" w:sz="4" w:space="0" w:color="auto"/>
              <w:right w:val="single" w:sz="4" w:space="0" w:color="auto"/>
            </w:tcBorders>
            <w:shd w:val="clear" w:color="auto" w:fill="auto"/>
            <w:vAlign w:val="center"/>
          </w:tcPr>
          <w:p w14:paraId="34648BB0" w14:textId="0665C33A" w:rsidR="00987707" w:rsidRPr="009D5B83" w:rsidRDefault="00987707" w:rsidP="00987707">
            <w:pPr>
              <w:rPr>
                <w:sz w:val="18"/>
                <w:szCs w:val="18"/>
              </w:rPr>
            </w:pPr>
            <w:r w:rsidRPr="009D5B83">
              <w:rPr>
                <w:sz w:val="18"/>
                <w:szCs w:val="18"/>
              </w:rPr>
              <w:t>ФП «Развитие человеческого капитала в интересах регионов, отраслей и сектора исследований и разработок»</w:t>
            </w:r>
          </w:p>
        </w:tc>
        <w:tc>
          <w:tcPr>
            <w:tcW w:w="1636" w:type="dxa"/>
            <w:tcBorders>
              <w:top w:val="nil"/>
              <w:left w:val="nil"/>
              <w:bottom w:val="single" w:sz="4" w:space="0" w:color="auto"/>
              <w:right w:val="single" w:sz="4" w:space="0" w:color="auto"/>
            </w:tcBorders>
            <w:shd w:val="clear" w:color="auto" w:fill="auto"/>
            <w:vAlign w:val="center"/>
          </w:tcPr>
          <w:p w14:paraId="104FAD51" w14:textId="77777777" w:rsidR="00987707" w:rsidRPr="009D5B83" w:rsidRDefault="00987707" w:rsidP="00987707">
            <w:pPr>
              <w:jc w:val="center"/>
              <w:rPr>
                <w:sz w:val="16"/>
                <w:szCs w:val="16"/>
              </w:rPr>
            </w:pPr>
            <w:r w:rsidRPr="009D5B83">
              <w:rPr>
                <w:sz w:val="16"/>
                <w:szCs w:val="16"/>
              </w:rPr>
              <w:t>7,1</w:t>
            </w:r>
          </w:p>
        </w:tc>
        <w:tc>
          <w:tcPr>
            <w:tcW w:w="1276" w:type="dxa"/>
            <w:tcBorders>
              <w:top w:val="nil"/>
              <w:left w:val="nil"/>
              <w:bottom w:val="single" w:sz="4" w:space="0" w:color="auto"/>
              <w:right w:val="single" w:sz="4" w:space="0" w:color="auto"/>
            </w:tcBorders>
            <w:shd w:val="clear" w:color="auto" w:fill="auto"/>
            <w:vAlign w:val="center"/>
          </w:tcPr>
          <w:p w14:paraId="5BB8AFC0" w14:textId="77777777" w:rsidR="00987707" w:rsidRPr="009D5B83" w:rsidRDefault="00987707" w:rsidP="00987707">
            <w:pPr>
              <w:jc w:val="center"/>
              <w:rPr>
                <w:sz w:val="16"/>
                <w:szCs w:val="16"/>
              </w:rPr>
            </w:pPr>
            <w:r w:rsidRPr="009D5B83">
              <w:rPr>
                <w:sz w:val="16"/>
                <w:szCs w:val="16"/>
              </w:rPr>
              <w:t>4,2</w:t>
            </w:r>
          </w:p>
        </w:tc>
        <w:tc>
          <w:tcPr>
            <w:tcW w:w="1843" w:type="dxa"/>
            <w:tcBorders>
              <w:top w:val="nil"/>
              <w:left w:val="nil"/>
              <w:bottom w:val="single" w:sz="4" w:space="0" w:color="auto"/>
              <w:right w:val="single" w:sz="4" w:space="0" w:color="auto"/>
            </w:tcBorders>
            <w:shd w:val="clear" w:color="auto" w:fill="auto"/>
            <w:vAlign w:val="center"/>
          </w:tcPr>
          <w:p w14:paraId="573B42D9" w14:textId="77777777" w:rsidR="00987707" w:rsidRPr="009D5B83" w:rsidRDefault="00987707" w:rsidP="00987707">
            <w:pPr>
              <w:jc w:val="center"/>
              <w:rPr>
                <w:sz w:val="16"/>
                <w:szCs w:val="16"/>
              </w:rPr>
            </w:pPr>
            <w:r w:rsidRPr="009D5B83">
              <w:rPr>
                <w:sz w:val="16"/>
                <w:szCs w:val="16"/>
              </w:rPr>
              <w:t>6,5</w:t>
            </w:r>
          </w:p>
        </w:tc>
        <w:tc>
          <w:tcPr>
            <w:tcW w:w="1842" w:type="dxa"/>
            <w:tcBorders>
              <w:top w:val="nil"/>
              <w:left w:val="nil"/>
              <w:bottom w:val="single" w:sz="4" w:space="0" w:color="auto"/>
              <w:right w:val="single" w:sz="4" w:space="0" w:color="auto"/>
            </w:tcBorders>
            <w:shd w:val="clear" w:color="auto" w:fill="auto"/>
            <w:vAlign w:val="center"/>
          </w:tcPr>
          <w:p w14:paraId="17806077" w14:textId="77777777" w:rsidR="00987707" w:rsidRPr="009D5B83" w:rsidRDefault="00987707" w:rsidP="00987707">
            <w:pPr>
              <w:jc w:val="center"/>
              <w:rPr>
                <w:sz w:val="16"/>
                <w:szCs w:val="16"/>
              </w:rPr>
            </w:pPr>
            <w:r w:rsidRPr="009D5B83">
              <w:rPr>
                <w:sz w:val="16"/>
                <w:szCs w:val="16"/>
              </w:rPr>
              <w:t>155,3</w:t>
            </w:r>
          </w:p>
        </w:tc>
        <w:tc>
          <w:tcPr>
            <w:tcW w:w="1937" w:type="dxa"/>
            <w:tcBorders>
              <w:top w:val="nil"/>
              <w:left w:val="nil"/>
              <w:bottom w:val="single" w:sz="4" w:space="0" w:color="auto"/>
              <w:right w:val="single" w:sz="4" w:space="0" w:color="auto"/>
            </w:tcBorders>
            <w:shd w:val="clear" w:color="auto" w:fill="auto"/>
            <w:vAlign w:val="center"/>
          </w:tcPr>
          <w:p w14:paraId="330182B5" w14:textId="77777777" w:rsidR="00987707" w:rsidRPr="009D5B83" w:rsidRDefault="00987707" w:rsidP="00987707">
            <w:pPr>
              <w:jc w:val="center"/>
              <w:rPr>
                <w:sz w:val="16"/>
                <w:szCs w:val="16"/>
              </w:rPr>
            </w:pPr>
            <w:r w:rsidRPr="009D5B83">
              <w:rPr>
                <w:sz w:val="16"/>
                <w:szCs w:val="16"/>
              </w:rPr>
              <w:t>2,4</w:t>
            </w:r>
          </w:p>
        </w:tc>
        <w:tc>
          <w:tcPr>
            <w:tcW w:w="1937" w:type="dxa"/>
            <w:tcBorders>
              <w:top w:val="nil"/>
              <w:left w:val="nil"/>
              <w:bottom w:val="single" w:sz="4" w:space="0" w:color="auto"/>
              <w:right w:val="single" w:sz="4" w:space="0" w:color="auto"/>
            </w:tcBorders>
            <w:shd w:val="clear" w:color="auto" w:fill="auto"/>
            <w:vAlign w:val="center"/>
          </w:tcPr>
          <w:p w14:paraId="5C002C8C" w14:textId="77777777" w:rsidR="00987707" w:rsidRPr="009D5B83" w:rsidRDefault="00987707" w:rsidP="00987707">
            <w:pPr>
              <w:jc w:val="center"/>
              <w:rPr>
                <w:sz w:val="16"/>
                <w:szCs w:val="16"/>
              </w:rPr>
            </w:pPr>
            <w:r w:rsidRPr="009D5B83">
              <w:rPr>
                <w:sz w:val="16"/>
                <w:szCs w:val="16"/>
              </w:rPr>
              <w:t>5,8</w:t>
            </w:r>
          </w:p>
        </w:tc>
        <w:tc>
          <w:tcPr>
            <w:tcW w:w="1938" w:type="dxa"/>
            <w:tcBorders>
              <w:top w:val="nil"/>
              <w:left w:val="nil"/>
              <w:bottom w:val="single" w:sz="4" w:space="0" w:color="auto"/>
              <w:right w:val="single" w:sz="4" w:space="0" w:color="auto"/>
            </w:tcBorders>
            <w:shd w:val="clear" w:color="auto" w:fill="auto"/>
            <w:vAlign w:val="center"/>
          </w:tcPr>
          <w:p w14:paraId="0DB9EC0D" w14:textId="77777777" w:rsidR="00987707" w:rsidRPr="009D5B83" w:rsidRDefault="00987707" w:rsidP="00987707">
            <w:pPr>
              <w:jc w:val="center"/>
              <w:rPr>
                <w:sz w:val="16"/>
                <w:szCs w:val="16"/>
              </w:rPr>
            </w:pPr>
            <w:r w:rsidRPr="009D5B83">
              <w:rPr>
                <w:sz w:val="16"/>
                <w:szCs w:val="16"/>
              </w:rPr>
              <w:t>239,3</w:t>
            </w:r>
          </w:p>
        </w:tc>
      </w:tr>
      <w:tr w:rsidR="00987707" w:rsidRPr="009D5B83" w14:paraId="2271B480" w14:textId="77777777" w:rsidTr="00987707">
        <w:trPr>
          <w:trHeight w:val="240"/>
          <w:tblHeader/>
        </w:trPr>
        <w:tc>
          <w:tcPr>
            <w:tcW w:w="2470" w:type="dxa"/>
            <w:tcBorders>
              <w:top w:val="nil"/>
              <w:left w:val="single" w:sz="4" w:space="0" w:color="auto"/>
              <w:bottom w:val="single" w:sz="4" w:space="0" w:color="auto"/>
              <w:right w:val="single" w:sz="4" w:space="0" w:color="auto"/>
            </w:tcBorders>
            <w:shd w:val="clear" w:color="auto" w:fill="auto"/>
            <w:vAlign w:val="center"/>
          </w:tcPr>
          <w:p w14:paraId="3ABF8A82" w14:textId="2994492A" w:rsidR="00987707" w:rsidRPr="009D5B83" w:rsidRDefault="00987707" w:rsidP="00987707">
            <w:pPr>
              <w:rPr>
                <w:sz w:val="18"/>
                <w:szCs w:val="18"/>
              </w:rPr>
            </w:pPr>
            <w:r w:rsidRPr="009D5B83">
              <w:rPr>
                <w:bCs/>
                <w:sz w:val="18"/>
                <w:szCs w:val="18"/>
              </w:rPr>
              <w:t>ФП «Развитие интеграционных процессов в сфере</w:t>
            </w:r>
            <w:r w:rsidRPr="009D5B83">
              <w:rPr>
                <w:sz w:val="18"/>
                <w:szCs w:val="18"/>
              </w:rPr>
              <w:t xml:space="preserve"> науки, высшего образования и индустрии»</w:t>
            </w:r>
          </w:p>
        </w:tc>
        <w:tc>
          <w:tcPr>
            <w:tcW w:w="1636" w:type="dxa"/>
            <w:tcBorders>
              <w:top w:val="nil"/>
              <w:left w:val="nil"/>
              <w:bottom w:val="single" w:sz="4" w:space="0" w:color="auto"/>
              <w:right w:val="single" w:sz="4" w:space="0" w:color="auto"/>
            </w:tcBorders>
            <w:shd w:val="clear" w:color="auto" w:fill="auto"/>
            <w:vAlign w:val="center"/>
          </w:tcPr>
          <w:p w14:paraId="6131811B" w14:textId="77777777" w:rsidR="00987707" w:rsidRPr="009D5B83" w:rsidRDefault="00987707" w:rsidP="00987707">
            <w:pPr>
              <w:jc w:val="center"/>
              <w:rPr>
                <w:bCs/>
                <w:sz w:val="16"/>
                <w:szCs w:val="16"/>
              </w:rPr>
            </w:pPr>
            <w:r w:rsidRPr="009D5B83">
              <w:rPr>
                <w:bCs/>
                <w:sz w:val="16"/>
                <w:szCs w:val="16"/>
              </w:rPr>
              <w:t>42,5</w:t>
            </w:r>
          </w:p>
        </w:tc>
        <w:tc>
          <w:tcPr>
            <w:tcW w:w="1276" w:type="dxa"/>
            <w:tcBorders>
              <w:top w:val="nil"/>
              <w:left w:val="nil"/>
              <w:bottom w:val="single" w:sz="4" w:space="0" w:color="auto"/>
              <w:right w:val="single" w:sz="4" w:space="0" w:color="auto"/>
            </w:tcBorders>
            <w:shd w:val="clear" w:color="auto" w:fill="auto"/>
            <w:vAlign w:val="center"/>
          </w:tcPr>
          <w:p w14:paraId="4332C785" w14:textId="77777777" w:rsidR="00987707" w:rsidRPr="009D5B83" w:rsidRDefault="00987707" w:rsidP="00987707">
            <w:pPr>
              <w:jc w:val="center"/>
              <w:rPr>
                <w:bCs/>
                <w:sz w:val="16"/>
                <w:szCs w:val="16"/>
              </w:rPr>
            </w:pPr>
            <w:r w:rsidRPr="009D5B83">
              <w:rPr>
                <w:bCs/>
                <w:sz w:val="16"/>
                <w:szCs w:val="16"/>
              </w:rPr>
              <w:t>39,5</w:t>
            </w:r>
          </w:p>
        </w:tc>
        <w:tc>
          <w:tcPr>
            <w:tcW w:w="1843" w:type="dxa"/>
            <w:tcBorders>
              <w:top w:val="nil"/>
              <w:left w:val="nil"/>
              <w:bottom w:val="single" w:sz="4" w:space="0" w:color="auto"/>
              <w:right w:val="single" w:sz="4" w:space="0" w:color="auto"/>
            </w:tcBorders>
            <w:shd w:val="clear" w:color="auto" w:fill="auto"/>
            <w:vAlign w:val="center"/>
          </w:tcPr>
          <w:p w14:paraId="0E1D0393" w14:textId="77777777" w:rsidR="00987707" w:rsidRPr="009D5B83" w:rsidRDefault="00987707" w:rsidP="00987707">
            <w:pPr>
              <w:jc w:val="center"/>
              <w:rPr>
                <w:bCs/>
                <w:sz w:val="16"/>
                <w:szCs w:val="16"/>
              </w:rPr>
            </w:pPr>
            <w:r w:rsidRPr="009D5B83">
              <w:rPr>
                <w:bCs/>
                <w:sz w:val="16"/>
                <w:szCs w:val="16"/>
              </w:rPr>
              <w:t>39,9</w:t>
            </w:r>
          </w:p>
        </w:tc>
        <w:tc>
          <w:tcPr>
            <w:tcW w:w="1842" w:type="dxa"/>
            <w:tcBorders>
              <w:top w:val="nil"/>
              <w:left w:val="nil"/>
              <w:bottom w:val="single" w:sz="4" w:space="0" w:color="auto"/>
              <w:right w:val="single" w:sz="4" w:space="0" w:color="auto"/>
            </w:tcBorders>
            <w:shd w:val="clear" w:color="auto" w:fill="auto"/>
            <w:vAlign w:val="center"/>
          </w:tcPr>
          <w:p w14:paraId="0A1ED21B" w14:textId="77777777" w:rsidR="00987707" w:rsidRPr="009D5B83" w:rsidRDefault="00987707" w:rsidP="00987707">
            <w:pPr>
              <w:jc w:val="center"/>
              <w:rPr>
                <w:bCs/>
                <w:sz w:val="16"/>
                <w:szCs w:val="16"/>
              </w:rPr>
            </w:pPr>
            <w:r w:rsidRPr="009D5B83">
              <w:rPr>
                <w:bCs/>
                <w:sz w:val="16"/>
                <w:szCs w:val="16"/>
              </w:rPr>
              <w:t xml:space="preserve">101,2 </w:t>
            </w:r>
          </w:p>
        </w:tc>
        <w:tc>
          <w:tcPr>
            <w:tcW w:w="1937" w:type="dxa"/>
            <w:tcBorders>
              <w:top w:val="nil"/>
              <w:left w:val="nil"/>
              <w:bottom w:val="single" w:sz="4" w:space="0" w:color="auto"/>
              <w:right w:val="single" w:sz="4" w:space="0" w:color="auto"/>
            </w:tcBorders>
            <w:shd w:val="clear" w:color="auto" w:fill="auto"/>
            <w:vAlign w:val="center"/>
          </w:tcPr>
          <w:p w14:paraId="5B6F1605" w14:textId="77777777" w:rsidR="00987707" w:rsidRPr="009D5B83" w:rsidRDefault="00987707" w:rsidP="00987707">
            <w:pPr>
              <w:jc w:val="center"/>
              <w:rPr>
                <w:bCs/>
                <w:sz w:val="16"/>
                <w:szCs w:val="16"/>
              </w:rPr>
            </w:pPr>
            <w:r w:rsidRPr="009D5B83">
              <w:rPr>
                <w:bCs/>
                <w:sz w:val="16"/>
                <w:szCs w:val="16"/>
              </w:rPr>
              <w:t>36,1</w:t>
            </w:r>
          </w:p>
        </w:tc>
        <w:tc>
          <w:tcPr>
            <w:tcW w:w="1937" w:type="dxa"/>
            <w:tcBorders>
              <w:top w:val="nil"/>
              <w:left w:val="nil"/>
              <w:bottom w:val="single" w:sz="4" w:space="0" w:color="auto"/>
              <w:right w:val="single" w:sz="4" w:space="0" w:color="auto"/>
            </w:tcBorders>
            <w:shd w:val="clear" w:color="auto" w:fill="auto"/>
            <w:vAlign w:val="center"/>
          </w:tcPr>
          <w:p w14:paraId="4FACB135" w14:textId="77777777" w:rsidR="00987707" w:rsidRPr="009D5B83" w:rsidRDefault="00987707" w:rsidP="00987707">
            <w:pPr>
              <w:jc w:val="center"/>
              <w:rPr>
                <w:bCs/>
                <w:sz w:val="16"/>
                <w:szCs w:val="16"/>
              </w:rPr>
            </w:pPr>
            <w:r w:rsidRPr="009D5B83">
              <w:rPr>
                <w:bCs/>
                <w:sz w:val="16"/>
                <w:szCs w:val="16"/>
              </w:rPr>
              <w:t>36,0</w:t>
            </w:r>
          </w:p>
        </w:tc>
        <w:tc>
          <w:tcPr>
            <w:tcW w:w="1938" w:type="dxa"/>
            <w:tcBorders>
              <w:top w:val="nil"/>
              <w:left w:val="nil"/>
              <w:bottom w:val="single" w:sz="4" w:space="0" w:color="auto"/>
              <w:right w:val="single" w:sz="4" w:space="0" w:color="auto"/>
            </w:tcBorders>
            <w:shd w:val="clear" w:color="auto" w:fill="auto"/>
            <w:vAlign w:val="center"/>
          </w:tcPr>
          <w:p w14:paraId="2F170D9B" w14:textId="77777777" w:rsidR="00987707" w:rsidRPr="009D5B83" w:rsidRDefault="00987707" w:rsidP="00987707">
            <w:pPr>
              <w:jc w:val="center"/>
              <w:rPr>
                <w:bCs/>
                <w:sz w:val="16"/>
                <w:szCs w:val="16"/>
              </w:rPr>
            </w:pPr>
            <w:r w:rsidRPr="009D5B83">
              <w:rPr>
                <w:bCs/>
                <w:sz w:val="16"/>
                <w:szCs w:val="16"/>
              </w:rPr>
              <w:t>99,8</w:t>
            </w:r>
          </w:p>
        </w:tc>
      </w:tr>
    </w:tbl>
    <w:p w14:paraId="7F264705" w14:textId="13F19314" w:rsidR="00987707" w:rsidRPr="009D5B83" w:rsidRDefault="00987707" w:rsidP="00A905E6">
      <w:pPr>
        <w:spacing w:after="120"/>
        <w:ind w:firstLine="720"/>
        <w:jc w:val="both"/>
        <w:rPr>
          <w:sz w:val="18"/>
          <w:szCs w:val="18"/>
        </w:rPr>
      </w:pPr>
      <w:r w:rsidRPr="00A905E6">
        <w:rPr>
          <w:i/>
          <w:iCs/>
          <w:sz w:val="18"/>
          <w:szCs w:val="18"/>
        </w:rPr>
        <w:t>Примечание</w:t>
      </w:r>
      <w:r w:rsidRPr="009D5B83">
        <w:rPr>
          <w:sz w:val="18"/>
          <w:szCs w:val="18"/>
        </w:rPr>
        <w:t>: * – показатели СБР по состоянию на 1 сентября 2022 г.;</w:t>
      </w:r>
    </w:p>
    <w:p w14:paraId="5CBF6B5B" w14:textId="38C79F4F" w:rsidR="00987707" w:rsidRPr="00A905E6" w:rsidRDefault="00987707" w:rsidP="00A905E6">
      <w:pPr>
        <w:spacing w:after="120"/>
        <w:ind w:firstLine="720"/>
        <w:jc w:val="both"/>
        <w:rPr>
          <w:sz w:val="18"/>
          <w:szCs w:val="18"/>
        </w:rPr>
      </w:pPr>
      <w:r w:rsidRPr="009D5B83">
        <w:rPr>
          <w:i/>
          <w:iCs/>
          <w:sz w:val="18"/>
          <w:szCs w:val="18"/>
        </w:rPr>
        <w:t>Источник</w:t>
      </w:r>
      <w:r w:rsidRPr="009D5B83">
        <w:rPr>
          <w:sz w:val="18"/>
          <w:szCs w:val="18"/>
        </w:rPr>
        <w:t>: Приложение 8 к Пояснительной записке.</w:t>
      </w:r>
      <w:r w:rsidRPr="009D5B83">
        <w:br w:type="page"/>
      </w:r>
    </w:p>
    <w:p w14:paraId="10B5AE1C" w14:textId="77777777" w:rsidR="00987707" w:rsidRPr="009D5B83" w:rsidRDefault="00987707" w:rsidP="00FD5D90">
      <w:pPr>
        <w:spacing w:after="60"/>
        <w:ind w:firstLine="709"/>
        <w:jc w:val="both"/>
        <w:sectPr w:rsidR="00987707" w:rsidRPr="009D5B83" w:rsidSect="00987707">
          <w:pgSz w:w="16838" w:h="11906" w:orient="landscape"/>
          <w:pgMar w:top="1134" w:right="964" w:bottom="1134" w:left="964" w:header="709" w:footer="709" w:gutter="567"/>
          <w:cols w:space="708"/>
          <w:titlePg/>
          <w:docGrid w:linePitch="360"/>
        </w:sectPr>
      </w:pPr>
    </w:p>
    <w:p w14:paraId="6A348531" w14:textId="1C7DB1CF" w:rsidR="00FD5D90" w:rsidRPr="00E103B9" w:rsidRDefault="00FD5D90" w:rsidP="00FD5D90">
      <w:pPr>
        <w:spacing w:after="60"/>
        <w:ind w:firstLine="709"/>
        <w:jc w:val="both"/>
        <w:rPr>
          <w:sz w:val="28"/>
        </w:rPr>
      </w:pPr>
      <w:r w:rsidRPr="00E103B9">
        <w:rPr>
          <w:sz w:val="28"/>
        </w:rPr>
        <w:lastRenderedPageBreak/>
        <w:t xml:space="preserve">Расходы на фундаментальные исследования (соответствующий подраздел общегосударственных расходов) сократятся по сравнению с прежними планами и, соответственно, снизится их доля в суммарных расходах на НИОКР (в 2023-2024 гг. она упадет до 45-46% </w:t>
      </w:r>
      <w:proofErr w:type="gramStart"/>
      <w:r w:rsidRPr="00E103B9">
        <w:rPr>
          <w:sz w:val="28"/>
        </w:rPr>
        <w:t>при</w:t>
      </w:r>
      <w:proofErr w:type="gramEnd"/>
      <w:r w:rsidRPr="00E103B9">
        <w:rPr>
          <w:sz w:val="28"/>
        </w:rPr>
        <w:t xml:space="preserve"> ранее планировавшихся 53-54%). </w:t>
      </w:r>
      <w:proofErr w:type="spellStart"/>
      <w:r w:rsidRPr="00E103B9">
        <w:rPr>
          <w:sz w:val="28"/>
        </w:rPr>
        <w:t>Грантовое</w:t>
      </w:r>
      <w:proofErr w:type="spellEnd"/>
      <w:r w:rsidRPr="00E103B9">
        <w:rPr>
          <w:sz w:val="28"/>
        </w:rPr>
        <w:t xml:space="preserve"> финансирование фундаментальных исследований теперь фактически ограничивается бюджетом Российского научного фонда (РНФ), поскольку Российский фонд фундаментальных исследований (РФФИ) был преобразован в Российский центр научной информации (РЦНИ) и не будет выделять средства на проведение фундаментальных исследований. Бюджет РНФ существенно возрастет в 2024-2025 гг. за счет перевода в него части средств РФФИ (</w:t>
      </w:r>
      <w:r w:rsidRPr="00E103B9">
        <w:rPr>
          <w:i/>
          <w:sz w:val="28"/>
        </w:rPr>
        <w:t xml:space="preserve">таблица </w:t>
      </w:r>
      <w:r w:rsidR="00923121" w:rsidRPr="00E103B9">
        <w:rPr>
          <w:i/>
          <w:sz w:val="28"/>
        </w:rPr>
        <w:t>20</w:t>
      </w:r>
      <w:r w:rsidRPr="00E103B9">
        <w:rPr>
          <w:sz w:val="28"/>
        </w:rPr>
        <w:t>). Снижение удельного веса фундаментальных исследований в структуре расходов на НИОКР в краткосрочной перспективе можно признать целесообразным, поскольку важно усилить поддержку практико-ориентированных НИОКР.</w:t>
      </w:r>
    </w:p>
    <w:p w14:paraId="7BE6997D" w14:textId="760E32A9" w:rsidR="00FD5D90" w:rsidRPr="009D5B83" w:rsidRDefault="00FD5D90" w:rsidP="00FD5D90">
      <w:pPr>
        <w:spacing w:after="60"/>
        <w:ind w:firstLine="709"/>
        <w:jc w:val="right"/>
        <w:rPr>
          <w:i/>
        </w:rPr>
      </w:pPr>
      <w:r w:rsidRPr="009D5B83">
        <w:rPr>
          <w:i/>
        </w:rPr>
        <w:t xml:space="preserve">Таблица </w:t>
      </w:r>
      <w:r w:rsidR="00923121" w:rsidRPr="009D5B83">
        <w:rPr>
          <w:i/>
        </w:rPr>
        <w:t>20</w:t>
      </w:r>
    </w:p>
    <w:p w14:paraId="589B57CE" w14:textId="77777777" w:rsidR="00FD5D90" w:rsidRPr="009D5B83" w:rsidRDefault="00FD5D90" w:rsidP="00FD5D90">
      <w:pPr>
        <w:spacing w:after="60"/>
        <w:jc w:val="center"/>
        <w:rPr>
          <w:b/>
        </w:rPr>
      </w:pPr>
      <w:r w:rsidRPr="009D5B83">
        <w:rPr>
          <w:b/>
        </w:rPr>
        <w:t>Бюджетные ассигнования на фундаментальные исследования</w:t>
      </w:r>
    </w:p>
    <w:tbl>
      <w:tblPr>
        <w:tblStyle w:val="a4"/>
        <w:tblW w:w="9355" w:type="dxa"/>
        <w:tblLook w:val="04A0" w:firstRow="1" w:lastRow="0" w:firstColumn="1" w:lastColumn="0" w:noHBand="0" w:noVBand="1"/>
      </w:tblPr>
      <w:tblGrid>
        <w:gridCol w:w="5467"/>
        <w:gridCol w:w="1278"/>
        <w:gridCol w:w="1350"/>
        <w:gridCol w:w="1260"/>
      </w:tblGrid>
      <w:tr w:rsidR="00FD5D90" w:rsidRPr="009D5B83" w14:paraId="4908D0BD" w14:textId="77777777" w:rsidTr="00016DA9">
        <w:tc>
          <w:tcPr>
            <w:tcW w:w="5467" w:type="dxa"/>
          </w:tcPr>
          <w:p w14:paraId="5A845C5E" w14:textId="77777777" w:rsidR="00FD5D90" w:rsidRPr="009D5B83" w:rsidRDefault="00FD5D90" w:rsidP="00FD5D90">
            <w:pPr>
              <w:spacing w:after="60"/>
              <w:jc w:val="center"/>
              <w:rPr>
                <w:b/>
                <w:bCs/>
                <w:sz w:val="20"/>
                <w:szCs w:val="20"/>
              </w:rPr>
            </w:pPr>
            <w:r w:rsidRPr="009D5B83">
              <w:rPr>
                <w:b/>
                <w:bCs/>
                <w:sz w:val="20"/>
                <w:szCs w:val="20"/>
              </w:rPr>
              <w:t>Вид расходов</w:t>
            </w:r>
          </w:p>
        </w:tc>
        <w:tc>
          <w:tcPr>
            <w:tcW w:w="1278" w:type="dxa"/>
          </w:tcPr>
          <w:p w14:paraId="22D85685" w14:textId="77777777" w:rsidR="00FD5D90" w:rsidRPr="009D5B83" w:rsidRDefault="00FD5D90" w:rsidP="00FD5D90">
            <w:pPr>
              <w:spacing w:after="60"/>
              <w:jc w:val="center"/>
              <w:rPr>
                <w:b/>
                <w:bCs/>
                <w:sz w:val="20"/>
                <w:szCs w:val="20"/>
              </w:rPr>
            </w:pPr>
            <w:r w:rsidRPr="009D5B83">
              <w:rPr>
                <w:b/>
                <w:bCs/>
                <w:sz w:val="20"/>
                <w:szCs w:val="20"/>
              </w:rPr>
              <w:t>2023 г.</w:t>
            </w:r>
          </w:p>
        </w:tc>
        <w:tc>
          <w:tcPr>
            <w:tcW w:w="1350" w:type="dxa"/>
          </w:tcPr>
          <w:p w14:paraId="607BF405" w14:textId="77777777" w:rsidR="00FD5D90" w:rsidRPr="009D5B83" w:rsidRDefault="00FD5D90" w:rsidP="00FD5D90">
            <w:pPr>
              <w:spacing w:after="60"/>
              <w:jc w:val="center"/>
              <w:rPr>
                <w:b/>
                <w:bCs/>
                <w:sz w:val="20"/>
                <w:szCs w:val="20"/>
              </w:rPr>
            </w:pPr>
            <w:r w:rsidRPr="009D5B83">
              <w:rPr>
                <w:b/>
                <w:bCs/>
                <w:sz w:val="20"/>
                <w:szCs w:val="20"/>
              </w:rPr>
              <w:t>2024 г.</w:t>
            </w:r>
          </w:p>
        </w:tc>
        <w:tc>
          <w:tcPr>
            <w:tcW w:w="1260" w:type="dxa"/>
          </w:tcPr>
          <w:p w14:paraId="0E4D5D81" w14:textId="77777777" w:rsidR="00FD5D90" w:rsidRPr="009D5B83" w:rsidRDefault="00FD5D90" w:rsidP="00FD5D90">
            <w:pPr>
              <w:spacing w:after="60"/>
              <w:jc w:val="center"/>
              <w:rPr>
                <w:b/>
                <w:bCs/>
                <w:sz w:val="20"/>
                <w:szCs w:val="20"/>
              </w:rPr>
            </w:pPr>
            <w:r w:rsidRPr="009D5B83">
              <w:rPr>
                <w:b/>
                <w:bCs/>
                <w:sz w:val="20"/>
                <w:szCs w:val="20"/>
              </w:rPr>
              <w:t>2025 г.</w:t>
            </w:r>
          </w:p>
        </w:tc>
      </w:tr>
      <w:tr w:rsidR="00FD5D90" w:rsidRPr="009D5B83" w14:paraId="7F77F92F" w14:textId="77777777" w:rsidTr="00016DA9">
        <w:tc>
          <w:tcPr>
            <w:tcW w:w="5467" w:type="dxa"/>
          </w:tcPr>
          <w:p w14:paraId="723CC94F" w14:textId="77777777" w:rsidR="00FD5D90" w:rsidRPr="009D5B83" w:rsidRDefault="00FD5D90" w:rsidP="00FD5D90">
            <w:pPr>
              <w:spacing w:after="60"/>
              <w:jc w:val="both"/>
              <w:rPr>
                <w:sz w:val="20"/>
                <w:szCs w:val="20"/>
              </w:rPr>
            </w:pPr>
            <w:r w:rsidRPr="009D5B83">
              <w:rPr>
                <w:sz w:val="20"/>
                <w:szCs w:val="20"/>
              </w:rPr>
              <w:t xml:space="preserve">Фундаментальные исследования, </w:t>
            </w:r>
            <w:proofErr w:type="gramStart"/>
            <w:r w:rsidRPr="009D5B83">
              <w:rPr>
                <w:sz w:val="20"/>
                <w:szCs w:val="20"/>
              </w:rPr>
              <w:t>млрд</w:t>
            </w:r>
            <w:proofErr w:type="gramEnd"/>
            <w:r w:rsidRPr="009D5B83">
              <w:rPr>
                <w:sz w:val="20"/>
                <w:szCs w:val="20"/>
              </w:rPr>
              <w:t xml:space="preserve"> руб.</w:t>
            </w:r>
          </w:p>
        </w:tc>
        <w:tc>
          <w:tcPr>
            <w:tcW w:w="1278" w:type="dxa"/>
          </w:tcPr>
          <w:p w14:paraId="2103D60F" w14:textId="77777777" w:rsidR="00FD5D90" w:rsidRPr="009D5B83" w:rsidRDefault="00FD5D90" w:rsidP="00FD5D90">
            <w:pPr>
              <w:spacing w:after="60"/>
              <w:jc w:val="center"/>
              <w:rPr>
                <w:sz w:val="20"/>
                <w:szCs w:val="20"/>
              </w:rPr>
            </w:pPr>
            <w:r w:rsidRPr="009D5B83">
              <w:rPr>
                <w:sz w:val="20"/>
                <w:szCs w:val="20"/>
              </w:rPr>
              <w:t>253,6</w:t>
            </w:r>
          </w:p>
        </w:tc>
        <w:tc>
          <w:tcPr>
            <w:tcW w:w="1350" w:type="dxa"/>
          </w:tcPr>
          <w:p w14:paraId="2B37C8C1" w14:textId="77777777" w:rsidR="00FD5D90" w:rsidRPr="009D5B83" w:rsidRDefault="00FD5D90" w:rsidP="00FD5D90">
            <w:pPr>
              <w:spacing w:after="60"/>
              <w:jc w:val="center"/>
              <w:rPr>
                <w:sz w:val="20"/>
                <w:szCs w:val="20"/>
              </w:rPr>
            </w:pPr>
            <w:r w:rsidRPr="009D5B83">
              <w:rPr>
                <w:sz w:val="20"/>
                <w:szCs w:val="20"/>
              </w:rPr>
              <w:t>254,7</w:t>
            </w:r>
          </w:p>
        </w:tc>
        <w:tc>
          <w:tcPr>
            <w:tcW w:w="1260" w:type="dxa"/>
          </w:tcPr>
          <w:p w14:paraId="161D5CA6" w14:textId="77777777" w:rsidR="00FD5D90" w:rsidRPr="009D5B83" w:rsidRDefault="00FD5D90" w:rsidP="00FD5D90">
            <w:pPr>
              <w:spacing w:after="60"/>
              <w:jc w:val="center"/>
              <w:rPr>
                <w:sz w:val="20"/>
                <w:szCs w:val="20"/>
              </w:rPr>
            </w:pPr>
            <w:r w:rsidRPr="009D5B83">
              <w:rPr>
                <w:sz w:val="20"/>
                <w:szCs w:val="20"/>
              </w:rPr>
              <w:t>232,9</w:t>
            </w:r>
          </w:p>
        </w:tc>
      </w:tr>
      <w:tr w:rsidR="00FD5D90" w:rsidRPr="009D5B83" w14:paraId="44AC41CD" w14:textId="77777777" w:rsidTr="00016DA9">
        <w:tc>
          <w:tcPr>
            <w:tcW w:w="5467" w:type="dxa"/>
          </w:tcPr>
          <w:p w14:paraId="389F78B6" w14:textId="77777777" w:rsidR="00FD5D90" w:rsidRPr="009D5B83" w:rsidRDefault="00FD5D90" w:rsidP="00FD5D90">
            <w:pPr>
              <w:spacing w:after="60"/>
              <w:jc w:val="both"/>
              <w:rPr>
                <w:i/>
                <w:sz w:val="20"/>
                <w:szCs w:val="20"/>
              </w:rPr>
            </w:pPr>
            <w:r w:rsidRPr="009D5B83">
              <w:rPr>
                <w:i/>
                <w:sz w:val="20"/>
                <w:szCs w:val="20"/>
              </w:rPr>
              <w:t xml:space="preserve">Доля в общих расходах на </w:t>
            </w:r>
            <w:proofErr w:type="gramStart"/>
            <w:r w:rsidRPr="009D5B83">
              <w:rPr>
                <w:i/>
                <w:sz w:val="20"/>
                <w:szCs w:val="20"/>
              </w:rPr>
              <w:t>гражданские</w:t>
            </w:r>
            <w:proofErr w:type="gramEnd"/>
            <w:r w:rsidRPr="009D5B83">
              <w:rPr>
                <w:i/>
                <w:sz w:val="20"/>
                <w:szCs w:val="20"/>
              </w:rPr>
              <w:t xml:space="preserve"> НИОКР, %</w:t>
            </w:r>
          </w:p>
        </w:tc>
        <w:tc>
          <w:tcPr>
            <w:tcW w:w="1278" w:type="dxa"/>
          </w:tcPr>
          <w:p w14:paraId="58E6A2AD" w14:textId="77777777" w:rsidR="00FD5D90" w:rsidRPr="009D5B83" w:rsidRDefault="00FD5D90" w:rsidP="00FD5D90">
            <w:pPr>
              <w:spacing w:after="60"/>
              <w:jc w:val="center"/>
              <w:rPr>
                <w:i/>
                <w:sz w:val="20"/>
                <w:szCs w:val="20"/>
              </w:rPr>
            </w:pPr>
            <w:r w:rsidRPr="009D5B83">
              <w:rPr>
                <w:i/>
                <w:sz w:val="20"/>
                <w:szCs w:val="20"/>
              </w:rPr>
              <w:t>45,1</w:t>
            </w:r>
          </w:p>
        </w:tc>
        <w:tc>
          <w:tcPr>
            <w:tcW w:w="1350" w:type="dxa"/>
          </w:tcPr>
          <w:p w14:paraId="22FBA868" w14:textId="77777777" w:rsidR="00FD5D90" w:rsidRPr="009D5B83" w:rsidRDefault="00FD5D90" w:rsidP="00FD5D90">
            <w:pPr>
              <w:spacing w:after="60"/>
              <w:jc w:val="center"/>
              <w:rPr>
                <w:i/>
                <w:sz w:val="20"/>
                <w:szCs w:val="20"/>
              </w:rPr>
            </w:pPr>
            <w:r w:rsidRPr="009D5B83">
              <w:rPr>
                <w:i/>
                <w:sz w:val="20"/>
                <w:szCs w:val="20"/>
              </w:rPr>
              <w:t>46,0</w:t>
            </w:r>
          </w:p>
        </w:tc>
        <w:tc>
          <w:tcPr>
            <w:tcW w:w="1260" w:type="dxa"/>
          </w:tcPr>
          <w:p w14:paraId="2B78644A" w14:textId="77777777" w:rsidR="00FD5D90" w:rsidRPr="009D5B83" w:rsidRDefault="00FD5D90" w:rsidP="00FD5D90">
            <w:pPr>
              <w:spacing w:after="60"/>
              <w:jc w:val="center"/>
              <w:rPr>
                <w:i/>
                <w:sz w:val="20"/>
                <w:szCs w:val="20"/>
              </w:rPr>
            </w:pPr>
            <w:r w:rsidRPr="009D5B83">
              <w:rPr>
                <w:i/>
                <w:sz w:val="20"/>
                <w:szCs w:val="20"/>
              </w:rPr>
              <w:t>53,1</w:t>
            </w:r>
          </w:p>
        </w:tc>
      </w:tr>
      <w:tr w:rsidR="00FD5D90" w:rsidRPr="009D5B83" w14:paraId="1A793EED" w14:textId="77777777" w:rsidTr="00016DA9">
        <w:tc>
          <w:tcPr>
            <w:tcW w:w="5467" w:type="dxa"/>
          </w:tcPr>
          <w:p w14:paraId="1F6523ED" w14:textId="77777777" w:rsidR="00FD5D90" w:rsidRPr="009D5B83" w:rsidRDefault="00FD5D90" w:rsidP="00FD5D90">
            <w:pPr>
              <w:spacing w:after="60"/>
              <w:jc w:val="both"/>
              <w:rPr>
                <w:sz w:val="20"/>
                <w:szCs w:val="20"/>
              </w:rPr>
            </w:pPr>
            <w:r w:rsidRPr="009D5B83">
              <w:rPr>
                <w:sz w:val="20"/>
                <w:szCs w:val="20"/>
              </w:rPr>
              <w:t xml:space="preserve">Российский центр научной информации (бывший Российский фонд фундаментальных исследований), </w:t>
            </w:r>
            <w:proofErr w:type="gramStart"/>
            <w:r w:rsidRPr="009D5B83">
              <w:rPr>
                <w:sz w:val="20"/>
                <w:szCs w:val="20"/>
              </w:rPr>
              <w:t>млрд</w:t>
            </w:r>
            <w:proofErr w:type="gramEnd"/>
            <w:r w:rsidRPr="009D5B83">
              <w:rPr>
                <w:sz w:val="20"/>
                <w:szCs w:val="20"/>
              </w:rPr>
              <w:t xml:space="preserve"> руб.</w:t>
            </w:r>
          </w:p>
        </w:tc>
        <w:tc>
          <w:tcPr>
            <w:tcW w:w="1278" w:type="dxa"/>
          </w:tcPr>
          <w:p w14:paraId="061FF565" w14:textId="77777777" w:rsidR="00FD5D90" w:rsidRPr="009D5B83" w:rsidRDefault="00FD5D90" w:rsidP="00FD5D90">
            <w:pPr>
              <w:spacing w:after="60"/>
              <w:jc w:val="center"/>
              <w:rPr>
                <w:sz w:val="20"/>
                <w:szCs w:val="20"/>
              </w:rPr>
            </w:pPr>
            <w:r w:rsidRPr="009D5B83">
              <w:rPr>
                <w:sz w:val="20"/>
                <w:szCs w:val="20"/>
              </w:rPr>
              <w:t>5,4</w:t>
            </w:r>
          </w:p>
        </w:tc>
        <w:tc>
          <w:tcPr>
            <w:tcW w:w="1350" w:type="dxa"/>
          </w:tcPr>
          <w:p w14:paraId="1315E34F" w14:textId="77777777" w:rsidR="00FD5D90" w:rsidRPr="009D5B83" w:rsidRDefault="00FD5D90" w:rsidP="00FD5D90">
            <w:pPr>
              <w:spacing w:after="60"/>
              <w:jc w:val="center"/>
              <w:rPr>
                <w:sz w:val="20"/>
                <w:szCs w:val="20"/>
              </w:rPr>
            </w:pPr>
            <w:r w:rsidRPr="009D5B83">
              <w:rPr>
                <w:sz w:val="20"/>
                <w:szCs w:val="20"/>
              </w:rPr>
              <w:t>4,4</w:t>
            </w:r>
          </w:p>
        </w:tc>
        <w:tc>
          <w:tcPr>
            <w:tcW w:w="1260" w:type="dxa"/>
          </w:tcPr>
          <w:p w14:paraId="49BE0958" w14:textId="77777777" w:rsidR="00FD5D90" w:rsidRPr="009D5B83" w:rsidRDefault="00FD5D90" w:rsidP="00FD5D90">
            <w:pPr>
              <w:spacing w:after="60"/>
              <w:jc w:val="center"/>
              <w:rPr>
                <w:sz w:val="20"/>
                <w:szCs w:val="20"/>
              </w:rPr>
            </w:pPr>
            <w:r w:rsidRPr="009D5B83">
              <w:rPr>
                <w:sz w:val="20"/>
                <w:szCs w:val="20"/>
              </w:rPr>
              <w:t>1,9</w:t>
            </w:r>
          </w:p>
        </w:tc>
      </w:tr>
      <w:tr w:rsidR="00FD5D90" w:rsidRPr="009D5B83" w14:paraId="208C867A" w14:textId="77777777" w:rsidTr="00016DA9">
        <w:tc>
          <w:tcPr>
            <w:tcW w:w="5467" w:type="dxa"/>
          </w:tcPr>
          <w:p w14:paraId="386FC84A" w14:textId="77777777" w:rsidR="00FD5D90" w:rsidRPr="009D5B83" w:rsidRDefault="00FD5D90" w:rsidP="00FD5D90">
            <w:pPr>
              <w:spacing w:after="60"/>
              <w:jc w:val="both"/>
              <w:rPr>
                <w:sz w:val="20"/>
                <w:szCs w:val="20"/>
              </w:rPr>
            </w:pPr>
            <w:r w:rsidRPr="009D5B83">
              <w:rPr>
                <w:sz w:val="20"/>
                <w:szCs w:val="20"/>
              </w:rPr>
              <w:t xml:space="preserve">Российский научный фонд, </w:t>
            </w:r>
            <w:proofErr w:type="gramStart"/>
            <w:r w:rsidRPr="009D5B83">
              <w:rPr>
                <w:sz w:val="20"/>
                <w:szCs w:val="20"/>
              </w:rPr>
              <w:t>млрд</w:t>
            </w:r>
            <w:proofErr w:type="gramEnd"/>
            <w:r w:rsidRPr="009D5B83">
              <w:rPr>
                <w:sz w:val="20"/>
                <w:szCs w:val="20"/>
              </w:rPr>
              <w:t xml:space="preserve"> руб.</w:t>
            </w:r>
          </w:p>
        </w:tc>
        <w:tc>
          <w:tcPr>
            <w:tcW w:w="1278" w:type="dxa"/>
          </w:tcPr>
          <w:p w14:paraId="33638F95" w14:textId="77777777" w:rsidR="00FD5D90" w:rsidRPr="009D5B83" w:rsidRDefault="00FD5D90" w:rsidP="00FD5D90">
            <w:pPr>
              <w:spacing w:after="60"/>
              <w:jc w:val="center"/>
              <w:rPr>
                <w:sz w:val="20"/>
                <w:szCs w:val="20"/>
              </w:rPr>
            </w:pPr>
            <w:r w:rsidRPr="009D5B83">
              <w:rPr>
                <w:sz w:val="20"/>
                <w:szCs w:val="20"/>
              </w:rPr>
              <w:t>29,5</w:t>
            </w:r>
          </w:p>
        </w:tc>
        <w:tc>
          <w:tcPr>
            <w:tcW w:w="1350" w:type="dxa"/>
          </w:tcPr>
          <w:p w14:paraId="0D8812A9" w14:textId="77777777" w:rsidR="00FD5D90" w:rsidRPr="009D5B83" w:rsidRDefault="00FD5D90" w:rsidP="00FD5D90">
            <w:pPr>
              <w:spacing w:after="60"/>
              <w:jc w:val="center"/>
              <w:rPr>
                <w:sz w:val="20"/>
                <w:szCs w:val="20"/>
              </w:rPr>
            </w:pPr>
            <w:r w:rsidRPr="009D5B83">
              <w:rPr>
                <w:sz w:val="20"/>
                <w:szCs w:val="20"/>
              </w:rPr>
              <w:t>38,7</w:t>
            </w:r>
          </w:p>
        </w:tc>
        <w:tc>
          <w:tcPr>
            <w:tcW w:w="1260" w:type="dxa"/>
          </w:tcPr>
          <w:p w14:paraId="38409478" w14:textId="77777777" w:rsidR="00FD5D90" w:rsidRPr="009D5B83" w:rsidRDefault="00FD5D90" w:rsidP="00FD5D90">
            <w:pPr>
              <w:spacing w:after="60"/>
              <w:jc w:val="center"/>
              <w:rPr>
                <w:sz w:val="20"/>
                <w:szCs w:val="20"/>
              </w:rPr>
            </w:pPr>
            <w:r w:rsidRPr="009D5B83">
              <w:rPr>
                <w:sz w:val="20"/>
                <w:szCs w:val="20"/>
              </w:rPr>
              <w:t>38,8</w:t>
            </w:r>
          </w:p>
        </w:tc>
      </w:tr>
    </w:tbl>
    <w:p w14:paraId="4A0FC9B7" w14:textId="62C3FD6B" w:rsidR="00FD5D90" w:rsidRPr="00E103B9" w:rsidRDefault="00FD5D90" w:rsidP="00FD5D90">
      <w:pPr>
        <w:spacing w:after="60"/>
        <w:ind w:firstLine="709"/>
        <w:jc w:val="both"/>
        <w:rPr>
          <w:sz w:val="22"/>
          <w:szCs w:val="20"/>
        </w:rPr>
      </w:pPr>
      <w:r w:rsidRPr="009D5B83">
        <w:rPr>
          <w:i/>
          <w:iCs/>
          <w:sz w:val="20"/>
          <w:szCs w:val="20"/>
        </w:rPr>
        <w:t>Источники</w:t>
      </w:r>
      <w:r w:rsidRPr="009D5B83">
        <w:rPr>
          <w:sz w:val="20"/>
          <w:szCs w:val="20"/>
        </w:rPr>
        <w:t xml:space="preserve">: Приложение 10 к Пояснительной записке, Приложение 15 </w:t>
      </w:r>
      <w:r w:rsidR="00987707" w:rsidRPr="009D5B83">
        <w:rPr>
          <w:sz w:val="20"/>
          <w:szCs w:val="20"/>
        </w:rPr>
        <w:t>Законопроекта</w:t>
      </w:r>
      <w:r w:rsidRPr="009D5B83">
        <w:rPr>
          <w:sz w:val="20"/>
          <w:szCs w:val="20"/>
        </w:rPr>
        <w:t xml:space="preserve">, расчеты </w:t>
      </w:r>
      <w:r w:rsidRPr="00E103B9">
        <w:rPr>
          <w:sz w:val="22"/>
          <w:szCs w:val="20"/>
        </w:rPr>
        <w:t>автор</w:t>
      </w:r>
      <w:r w:rsidR="007931B0" w:rsidRPr="00E103B9">
        <w:rPr>
          <w:sz w:val="22"/>
          <w:szCs w:val="20"/>
        </w:rPr>
        <w:t>ов</w:t>
      </w:r>
      <w:r w:rsidRPr="00E103B9">
        <w:rPr>
          <w:sz w:val="22"/>
          <w:szCs w:val="20"/>
        </w:rPr>
        <w:t>.</w:t>
      </w:r>
    </w:p>
    <w:p w14:paraId="5ABA51B0" w14:textId="35000A9C" w:rsidR="00FD5D90" w:rsidRPr="00E103B9" w:rsidRDefault="00FD5D90" w:rsidP="00FD5D90">
      <w:pPr>
        <w:spacing w:after="60"/>
        <w:ind w:firstLine="709"/>
        <w:jc w:val="both"/>
        <w:rPr>
          <w:sz w:val="28"/>
        </w:rPr>
      </w:pPr>
      <w:r w:rsidRPr="00E103B9">
        <w:rPr>
          <w:sz w:val="28"/>
        </w:rPr>
        <w:t>В области поддержки фундаментальных исследований обращают на себя внимание некоторые диспропорции в распределении средств между рядом организаций-прямых бюджетополучателей. Ассигнования на фундаментальные исследования, выполняемые в НИЦ «Курчатовский институт», за три года станут вдвое больше, чем на эти же цели у МГУ и СПбГУ вместе взятых (</w:t>
      </w:r>
      <w:r w:rsidRPr="00E103B9">
        <w:rPr>
          <w:i/>
          <w:sz w:val="28"/>
        </w:rPr>
        <w:t xml:space="preserve">таблица </w:t>
      </w:r>
      <w:r w:rsidR="00923121" w:rsidRPr="00E103B9">
        <w:rPr>
          <w:i/>
          <w:sz w:val="28"/>
        </w:rPr>
        <w:t>21</w:t>
      </w:r>
      <w:r w:rsidRPr="00E103B9">
        <w:rPr>
          <w:sz w:val="28"/>
        </w:rPr>
        <w:t>). С учетом широкого тематического профиля данных университетов столь большие диспропорции не вполне обоснованы.</w:t>
      </w:r>
    </w:p>
    <w:p w14:paraId="38DCAF78" w14:textId="1AAE4D74" w:rsidR="00FD5D90" w:rsidRPr="009D5B83" w:rsidRDefault="00FD5D90" w:rsidP="00FD5D90">
      <w:pPr>
        <w:spacing w:after="60"/>
        <w:ind w:firstLine="709"/>
        <w:jc w:val="right"/>
        <w:rPr>
          <w:i/>
        </w:rPr>
      </w:pPr>
      <w:r w:rsidRPr="009D5B83">
        <w:rPr>
          <w:i/>
        </w:rPr>
        <w:t xml:space="preserve">Таблица </w:t>
      </w:r>
      <w:r w:rsidR="00923121" w:rsidRPr="009D5B83">
        <w:rPr>
          <w:i/>
        </w:rPr>
        <w:t>21</w:t>
      </w:r>
    </w:p>
    <w:p w14:paraId="054462F8" w14:textId="77777777" w:rsidR="00FD5D90" w:rsidRPr="009D5B83" w:rsidRDefault="00FD5D90" w:rsidP="00FD5D90">
      <w:pPr>
        <w:spacing w:after="60"/>
        <w:jc w:val="center"/>
        <w:rPr>
          <w:b/>
        </w:rPr>
      </w:pPr>
      <w:r w:rsidRPr="009D5B83">
        <w:rPr>
          <w:b/>
        </w:rPr>
        <w:t xml:space="preserve">Ассигнования на фундаментальные исследования в разрезе организаций-бюджетополучателей, </w:t>
      </w:r>
      <w:proofErr w:type="gramStart"/>
      <w:r w:rsidRPr="009D5B83">
        <w:rPr>
          <w:b/>
        </w:rPr>
        <w:t>млрд</w:t>
      </w:r>
      <w:proofErr w:type="gramEnd"/>
      <w:r w:rsidRPr="009D5B83">
        <w:rPr>
          <w:b/>
        </w:rPr>
        <w:t xml:space="preserve"> руб.</w:t>
      </w:r>
    </w:p>
    <w:tbl>
      <w:tblPr>
        <w:tblStyle w:val="a4"/>
        <w:tblW w:w="9355" w:type="dxa"/>
        <w:tblLook w:val="04A0" w:firstRow="1" w:lastRow="0" w:firstColumn="1" w:lastColumn="0" w:noHBand="0" w:noVBand="1"/>
      </w:tblPr>
      <w:tblGrid>
        <w:gridCol w:w="3539"/>
        <w:gridCol w:w="1418"/>
        <w:gridCol w:w="1417"/>
        <w:gridCol w:w="1276"/>
        <w:gridCol w:w="1705"/>
      </w:tblGrid>
      <w:tr w:rsidR="00FD5D90" w:rsidRPr="009D5B83" w14:paraId="611B9FCF" w14:textId="77777777" w:rsidTr="00016DA9">
        <w:tc>
          <w:tcPr>
            <w:tcW w:w="3539" w:type="dxa"/>
          </w:tcPr>
          <w:p w14:paraId="2B956570" w14:textId="77777777" w:rsidR="00FD5D90" w:rsidRPr="009D5B83" w:rsidRDefault="00FD5D90" w:rsidP="00FD5D90">
            <w:pPr>
              <w:spacing w:after="60"/>
              <w:jc w:val="both"/>
              <w:rPr>
                <w:b/>
                <w:sz w:val="20"/>
                <w:szCs w:val="20"/>
              </w:rPr>
            </w:pPr>
            <w:r w:rsidRPr="009D5B83">
              <w:rPr>
                <w:b/>
                <w:sz w:val="20"/>
                <w:szCs w:val="20"/>
              </w:rPr>
              <w:t>Организация</w:t>
            </w:r>
          </w:p>
        </w:tc>
        <w:tc>
          <w:tcPr>
            <w:tcW w:w="1418" w:type="dxa"/>
          </w:tcPr>
          <w:p w14:paraId="1D614D03" w14:textId="33143C66" w:rsidR="00FD5D90" w:rsidRPr="009D5B83" w:rsidRDefault="00FD5D90" w:rsidP="00FD5D90">
            <w:pPr>
              <w:spacing w:after="60"/>
              <w:jc w:val="center"/>
              <w:rPr>
                <w:b/>
                <w:sz w:val="20"/>
                <w:szCs w:val="20"/>
              </w:rPr>
            </w:pPr>
            <w:r w:rsidRPr="009D5B83">
              <w:rPr>
                <w:b/>
                <w:sz w:val="20"/>
                <w:szCs w:val="20"/>
              </w:rPr>
              <w:t>2023</w:t>
            </w:r>
            <w:r w:rsidR="00987707" w:rsidRPr="009D5B83">
              <w:rPr>
                <w:b/>
                <w:sz w:val="20"/>
                <w:szCs w:val="20"/>
              </w:rPr>
              <w:t xml:space="preserve"> г.</w:t>
            </w:r>
          </w:p>
        </w:tc>
        <w:tc>
          <w:tcPr>
            <w:tcW w:w="1417" w:type="dxa"/>
          </w:tcPr>
          <w:p w14:paraId="38D41EF8" w14:textId="0346F7AA" w:rsidR="00FD5D90" w:rsidRPr="009D5B83" w:rsidRDefault="00FD5D90" w:rsidP="00FD5D90">
            <w:pPr>
              <w:spacing w:after="60"/>
              <w:jc w:val="center"/>
              <w:rPr>
                <w:b/>
                <w:sz w:val="20"/>
                <w:szCs w:val="20"/>
              </w:rPr>
            </w:pPr>
            <w:r w:rsidRPr="009D5B83">
              <w:rPr>
                <w:b/>
                <w:sz w:val="20"/>
                <w:szCs w:val="20"/>
              </w:rPr>
              <w:t>2024</w:t>
            </w:r>
            <w:r w:rsidR="00987707" w:rsidRPr="009D5B83">
              <w:rPr>
                <w:b/>
                <w:sz w:val="20"/>
                <w:szCs w:val="20"/>
              </w:rPr>
              <w:t xml:space="preserve"> г.</w:t>
            </w:r>
          </w:p>
        </w:tc>
        <w:tc>
          <w:tcPr>
            <w:tcW w:w="1276" w:type="dxa"/>
          </w:tcPr>
          <w:p w14:paraId="3CB4D062" w14:textId="0C03AC7C" w:rsidR="00FD5D90" w:rsidRPr="009D5B83" w:rsidRDefault="00FD5D90" w:rsidP="00FD5D90">
            <w:pPr>
              <w:spacing w:after="60"/>
              <w:jc w:val="center"/>
              <w:rPr>
                <w:b/>
                <w:sz w:val="20"/>
                <w:szCs w:val="20"/>
              </w:rPr>
            </w:pPr>
            <w:r w:rsidRPr="009D5B83">
              <w:rPr>
                <w:b/>
                <w:sz w:val="20"/>
                <w:szCs w:val="20"/>
              </w:rPr>
              <w:t>2025</w:t>
            </w:r>
            <w:r w:rsidR="00987707" w:rsidRPr="009D5B83">
              <w:rPr>
                <w:b/>
                <w:sz w:val="20"/>
                <w:szCs w:val="20"/>
              </w:rPr>
              <w:t xml:space="preserve"> г.</w:t>
            </w:r>
          </w:p>
        </w:tc>
        <w:tc>
          <w:tcPr>
            <w:tcW w:w="1705" w:type="dxa"/>
          </w:tcPr>
          <w:p w14:paraId="7FAB1398" w14:textId="77777777" w:rsidR="00FD5D90" w:rsidRPr="009D5B83" w:rsidRDefault="00FD5D90" w:rsidP="00FD5D90">
            <w:pPr>
              <w:spacing w:after="60"/>
              <w:jc w:val="center"/>
              <w:rPr>
                <w:b/>
                <w:sz w:val="20"/>
                <w:szCs w:val="20"/>
              </w:rPr>
            </w:pPr>
            <w:r w:rsidRPr="009D5B83">
              <w:rPr>
                <w:b/>
                <w:sz w:val="20"/>
                <w:szCs w:val="20"/>
              </w:rPr>
              <w:t>Всего за 3 года</w:t>
            </w:r>
          </w:p>
        </w:tc>
      </w:tr>
      <w:tr w:rsidR="00FD5D90" w:rsidRPr="009D5B83" w14:paraId="19251315" w14:textId="77777777" w:rsidTr="00016DA9">
        <w:tc>
          <w:tcPr>
            <w:tcW w:w="3539" w:type="dxa"/>
          </w:tcPr>
          <w:p w14:paraId="7BCEB01F" w14:textId="77777777" w:rsidR="00FD5D90" w:rsidRPr="009D5B83" w:rsidRDefault="00FD5D90" w:rsidP="00FD5D90">
            <w:pPr>
              <w:spacing w:after="60"/>
              <w:jc w:val="both"/>
              <w:rPr>
                <w:sz w:val="20"/>
                <w:szCs w:val="20"/>
              </w:rPr>
            </w:pPr>
            <w:r w:rsidRPr="009D5B83">
              <w:rPr>
                <w:sz w:val="20"/>
                <w:szCs w:val="20"/>
              </w:rPr>
              <w:t>НИЦ «Курчатовский институт»</w:t>
            </w:r>
          </w:p>
        </w:tc>
        <w:tc>
          <w:tcPr>
            <w:tcW w:w="1418" w:type="dxa"/>
          </w:tcPr>
          <w:p w14:paraId="434792FE" w14:textId="77777777" w:rsidR="00FD5D90" w:rsidRPr="009D5B83" w:rsidRDefault="00FD5D90" w:rsidP="00FD5D90">
            <w:pPr>
              <w:spacing w:after="60"/>
              <w:jc w:val="center"/>
              <w:rPr>
                <w:sz w:val="20"/>
                <w:szCs w:val="20"/>
              </w:rPr>
            </w:pPr>
            <w:r w:rsidRPr="009D5B83">
              <w:rPr>
                <w:sz w:val="20"/>
                <w:szCs w:val="20"/>
              </w:rPr>
              <w:t>12,3</w:t>
            </w:r>
          </w:p>
        </w:tc>
        <w:tc>
          <w:tcPr>
            <w:tcW w:w="1417" w:type="dxa"/>
          </w:tcPr>
          <w:p w14:paraId="2BDEEC52" w14:textId="77777777" w:rsidR="00FD5D90" w:rsidRPr="009D5B83" w:rsidRDefault="00FD5D90" w:rsidP="00FD5D90">
            <w:pPr>
              <w:spacing w:after="60"/>
              <w:jc w:val="center"/>
              <w:rPr>
                <w:sz w:val="20"/>
                <w:szCs w:val="20"/>
              </w:rPr>
            </w:pPr>
            <w:r w:rsidRPr="009D5B83">
              <w:rPr>
                <w:sz w:val="20"/>
                <w:szCs w:val="20"/>
              </w:rPr>
              <w:t>11,8</w:t>
            </w:r>
          </w:p>
        </w:tc>
        <w:tc>
          <w:tcPr>
            <w:tcW w:w="1276" w:type="dxa"/>
          </w:tcPr>
          <w:p w14:paraId="221CDBA9" w14:textId="77777777" w:rsidR="00FD5D90" w:rsidRPr="009D5B83" w:rsidRDefault="00FD5D90" w:rsidP="00FD5D90">
            <w:pPr>
              <w:spacing w:after="60"/>
              <w:jc w:val="center"/>
              <w:rPr>
                <w:sz w:val="20"/>
                <w:szCs w:val="20"/>
              </w:rPr>
            </w:pPr>
            <w:r w:rsidRPr="009D5B83">
              <w:rPr>
                <w:sz w:val="20"/>
                <w:szCs w:val="20"/>
              </w:rPr>
              <w:t>20,0</w:t>
            </w:r>
          </w:p>
        </w:tc>
        <w:tc>
          <w:tcPr>
            <w:tcW w:w="1705" w:type="dxa"/>
          </w:tcPr>
          <w:p w14:paraId="48239C04" w14:textId="77777777" w:rsidR="00FD5D90" w:rsidRPr="009D5B83" w:rsidRDefault="00FD5D90" w:rsidP="00FD5D90">
            <w:pPr>
              <w:spacing w:after="60"/>
              <w:jc w:val="center"/>
              <w:rPr>
                <w:sz w:val="20"/>
                <w:szCs w:val="20"/>
              </w:rPr>
            </w:pPr>
            <w:r w:rsidRPr="009D5B83">
              <w:rPr>
                <w:sz w:val="20"/>
                <w:szCs w:val="20"/>
              </w:rPr>
              <w:t>44,1</w:t>
            </w:r>
          </w:p>
        </w:tc>
      </w:tr>
      <w:tr w:rsidR="00FD5D90" w:rsidRPr="009D5B83" w14:paraId="71A0AD77" w14:textId="77777777" w:rsidTr="00016DA9">
        <w:tc>
          <w:tcPr>
            <w:tcW w:w="3539" w:type="dxa"/>
          </w:tcPr>
          <w:p w14:paraId="3E59C700" w14:textId="77777777" w:rsidR="00FD5D90" w:rsidRPr="009D5B83" w:rsidRDefault="00FD5D90" w:rsidP="00FD5D90">
            <w:pPr>
              <w:spacing w:after="60"/>
              <w:jc w:val="both"/>
              <w:rPr>
                <w:sz w:val="20"/>
                <w:szCs w:val="20"/>
              </w:rPr>
            </w:pPr>
            <w:r w:rsidRPr="009D5B83">
              <w:rPr>
                <w:sz w:val="20"/>
                <w:szCs w:val="20"/>
              </w:rPr>
              <w:t xml:space="preserve">МГУ им. </w:t>
            </w:r>
            <w:proofErr w:type="spellStart"/>
            <w:r w:rsidRPr="009D5B83">
              <w:rPr>
                <w:sz w:val="20"/>
                <w:szCs w:val="20"/>
              </w:rPr>
              <w:t>М.В.Ломоносова</w:t>
            </w:r>
            <w:proofErr w:type="spellEnd"/>
          </w:p>
        </w:tc>
        <w:tc>
          <w:tcPr>
            <w:tcW w:w="1418" w:type="dxa"/>
          </w:tcPr>
          <w:p w14:paraId="15341196" w14:textId="77777777" w:rsidR="00FD5D90" w:rsidRPr="009D5B83" w:rsidRDefault="00FD5D90" w:rsidP="00FD5D90">
            <w:pPr>
              <w:spacing w:after="60"/>
              <w:jc w:val="center"/>
              <w:rPr>
                <w:sz w:val="20"/>
                <w:szCs w:val="20"/>
              </w:rPr>
            </w:pPr>
            <w:r w:rsidRPr="009D5B83">
              <w:rPr>
                <w:sz w:val="20"/>
                <w:szCs w:val="20"/>
              </w:rPr>
              <w:t>5,5</w:t>
            </w:r>
          </w:p>
        </w:tc>
        <w:tc>
          <w:tcPr>
            <w:tcW w:w="1417" w:type="dxa"/>
          </w:tcPr>
          <w:p w14:paraId="09935F05" w14:textId="77777777" w:rsidR="00FD5D90" w:rsidRPr="009D5B83" w:rsidRDefault="00FD5D90" w:rsidP="00FD5D90">
            <w:pPr>
              <w:spacing w:after="60"/>
              <w:jc w:val="center"/>
              <w:rPr>
                <w:sz w:val="20"/>
                <w:szCs w:val="20"/>
              </w:rPr>
            </w:pPr>
            <w:r w:rsidRPr="009D5B83">
              <w:rPr>
                <w:sz w:val="20"/>
                <w:szCs w:val="20"/>
              </w:rPr>
              <w:t>5,7</w:t>
            </w:r>
          </w:p>
        </w:tc>
        <w:tc>
          <w:tcPr>
            <w:tcW w:w="1276" w:type="dxa"/>
          </w:tcPr>
          <w:p w14:paraId="75B0E6C7" w14:textId="77777777" w:rsidR="00FD5D90" w:rsidRPr="009D5B83" w:rsidRDefault="00FD5D90" w:rsidP="00FD5D90">
            <w:pPr>
              <w:spacing w:after="60"/>
              <w:jc w:val="center"/>
              <w:rPr>
                <w:sz w:val="20"/>
                <w:szCs w:val="20"/>
              </w:rPr>
            </w:pPr>
            <w:r w:rsidRPr="009D5B83">
              <w:rPr>
                <w:sz w:val="20"/>
                <w:szCs w:val="20"/>
              </w:rPr>
              <w:t>6,0</w:t>
            </w:r>
          </w:p>
        </w:tc>
        <w:tc>
          <w:tcPr>
            <w:tcW w:w="1705" w:type="dxa"/>
          </w:tcPr>
          <w:p w14:paraId="1E9267B1" w14:textId="77777777" w:rsidR="00FD5D90" w:rsidRPr="009D5B83" w:rsidRDefault="00FD5D90" w:rsidP="00FD5D90">
            <w:pPr>
              <w:spacing w:after="60"/>
              <w:jc w:val="center"/>
              <w:rPr>
                <w:sz w:val="20"/>
                <w:szCs w:val="20"/>
              </w:rPr>
            </w:pPr>
            <w:r w:rsidRPr="009D5B83">
              <w:rPr>
                <w:sz w:val="20"/>
                <w:szCs w:val="20"/>
              </w:rPr>
              <w:t>17,2</w:t>
            </w:r>
          </w:p>
        </w:tc>
      </w:tr>
      <w:tr w:rsidR="00FD5D90" w:rsidRPr="009D5B83" w14:paraId="28FD641E" w14:textId="77777777" w:rsidTr="00016DA9">
        <w:tc>
          <w:tcPr>
            <w:tcW w:w="3539" w:type="dxa"/>
          </w:tcPr>
          <w:p w14:paraId="3C2BA8F7" w14:textId="77777777" w:rsidR="00FD5D90" w:rsidRPr="009D5B83" w:rsidRDefault="00FD5D90" w:rsidP="00FD5D90">
            <w:pPr>
              <w:spacing w:after="60"/>
              <w:jc w:val="both"/>
              <w:rPr>
                <w:sz w:val="20"/>
                <w:szCs w:val="20"/>
              </w:rPr>
            </w:pPr>
            <w:r w:rsidRPr="009D5B83">
              <w:rPr>
                <w:sz w:val="20"/>
                <w:szCs w:val="20"/>
              </w:rPr>
              <w:t>СПбГУ</w:t>
            </w:r>
          </w:p>
        </w:tc>
        <w:tc>
          <w:tcPr>
            <w:tcW w:w="1418" w:type="dxa"/>
          </w:tcPr>
          <w:p w14:paraId="71FDD395" w14:textId="77777777" w:rsidR="00FD5D90" w:rsidRPr="009D5B83" w:rsidRDefault="00FD5D90" w:rsidP="00FD5D90">
            <w:pPr>
              <w:spacing w:after="60"/>
              <w:jc w:val="center"/>
              <w:rPr>
                <w:sz w:val="20"/>
                <w:szCs w:val="20"/>
              </w:rPr>
            </w:pPr>
            <w:r w:rsidRPr="009D5B83">
              <w:rPr>
                <w:sz w:val="20"/>
                <w:szCs w:val="20"/>
              </w:rPr>
              <w:t>0,8</w:t>
            </w:r>
          </w:p>
        </w:tc>
        <w:tc>
          <w:tcPr>
            <w:tcW w:w="1417" w:type="dxa"/>
          </w:tcPr>
          <w:p w14:paraId="31AB02C0" w14:textId="77777777" w:rsidR="00FD5D90" w:rsidRPr="009D5B83" w:rsidRDefault="00FD5D90" w:rsidP="00FD5D90">
            <w:pPr>
              <w:spacing w:after="60"/>
              <w:jc w:val="center"/>
              <w:rPr>
                <w:sz w:val="20"/>
                <w:szCs w:val="20"/>
              </w:rPr>
            </w:pPr>
            <w:r w:rsidRPr="009D5B83">
              <w:rPr>
                <w:sz w:val="20"/>
                <w:szCs w:val="20"/>
              </w:rPr>
              <w:t>0,9</w:t>
            </w:r>
          </w:p>
        </w:tc>
        <w:tc>
          <w:tcPr>
            <w:tcW w:w="1276" w:type="dxa"/>
          </w:tcPr>
          <w:p w14:paraId="089550E7" w14:textId="77777777" w:rsidR="00FD5D90" w:rsidRPr="009D5B83" w:rsidRDefault="00FD5D90" w:rsidP="00FD5D90">
            <w:pPr>
              <w:spacing w:after="60"/>
              <w:jc w:val="center"/>
              <w:rPr>
                <w:sz w:val="20"/>
                <w:szCs w:val="20"/>
              </w:rPr>
            </w:pPr>
            <w:r w:rsidRPr="009D5B83">
              <w:rPr>
                <w:sz w:val="20"/>
                <w:szCs w:val="20"/>
              </w:rPr>
              <w:t>0,9</w:t>
            </w:r>
          </w:p>
        </w:tc>
        <w:tc>
          <w:tcPr>
            <w:tcW w:w="1705" w:type="dxa"/>
          </w:tcPr>
          <w:p w14:paraId="634D5687" w14:textId="77777777" w:rsidR="00FD5D90" w:rsidRPr="009D5B83" w:rsidRDefault="00FD5D90" w:rsidP="00FD5D90">
            <w:pPr>
              <w:spacing w:after="60"/>
              <w:jc w:val="center"/>
              <w:rPr>
                <w:sz w:val="20"/>
                <w:szCs w:val="20"/>
              </w:rPr>
            </w:pPr>
            <w:r w:rsidRPr="009D5B83">
              <w:rPr>
                <w:sz w:val="20"/>
                <w:szCs w:val="20"/>
              </w:rPr>
              <w:t>2,6</w:t>
            </w:r>
          </w:p>
        </w:tc>
      </w:tr>
    </w:tbl>
    <w:p w14:paraId="1BF69C08" w14:textId="13DDE377" w:rsidR="00FD5D90" w:rsidRPr="009D5B83" w:rsidRDefault="00FD5D90" w:rsidP="00FD5D90">
      <w:pPr>
        <w:spacing w:after="60"/>
        <w:ind w:firstLine="709"/>
        <w:jc w:val="both"/>
        <w:rPr>
          <w:sz w:val="20"/>
          <w:szCs w:val="20"/>
        </w:rPr>
      </w:pPr>
      <w:r w:rsidRPr="00A905E6">
        <w:rPr>
          <w:i/>
          <w:iCs/>
          <w:sz w:val="20"/>
          <w:szCs w:val="20"/>
        </w:rPr>
        <w:t>Источник</w:t>
      </w:r>
      <w:r w:rsidRPr="009D5B83">
        <w:rPr>
          <w:sz w:val="20"/>
          <w:szCs w:val="20"/>
        </w:rPr>
        <w:t xml:space="preserve">: Приложение 12 к </w:t>
      </w:r>
      <w:r w:rsidR="00987707" w:rsidRPr="009D5B83">
        <w:rPr>
          <w:sz w:val="20"/>
          <w:szCs w:val="20"/>
        </w:rPr>
        <w:t>Законопроекту.</w:t>
      </w:r>
    </w:p>
    <w:p w14:paraId="5ECC9D2C" w14:textId="77777777" w:rsidR="00FD5D90" w:rsidRPr="009D5B83" w:rsidRDefault="00FD5D90" w:rsidP="00FD5D90">
      <w:pPr>
        <w:spacing w:after="60"/>
        <w:ind w:firstLine="709"/>
        <w:jc w:val="both"/>
        <w:rPr>
          <w:b/>
        </w:rPr>
      </w:pPr>
    </w:p>
    <w:p w14:paraId="6AB678A6" w14:textId="77777777" w:rsidR="00FD5D90" w:rsidRPr="00E103B9" w:rsidRDefault="00FD5D90" w:rsidP="00C572ED">
      <w:pPr>
        <w:spacing w:after="60"/>
        <w:ind w:firstLine="709"/>
        <w:jc w:val="both"/>
        <w:rPr>
          <w:b/>
          <w:i/>
          <w:iCs/>
          <w:sz w:val="28"/>
        </w:rPr>
      </w:pPr>
      <w:r w:rsidRPr="00E103B9">
        <w:rPr>
          <w:b/>
          <w:i/>
          <w:iCs/>
          <w:sz w:val="28"/>
        </w:rPr>
        <w:t>Расходы на критически важные направления НИОКР</w:t>
      </w:r>
    </w:p>
    <w:p w14:paraId="753F6612" w14:textId="77777777" w:rsidR="00FD5D90" w:rsidRPr="00E103B9" w:rsidRDefault="00FD5D90" w:rsidP="00C572ED">
      <w:pPr>
        <w:spacing w:after="60"/>
        <w:ind w:firstLine="709"/>
        <w:jc w:val="both"/>
        <w:rPr>
          <w:color w:val="000000"/>
          <w:sz w:val="28"/>
        </w:rPr>
      </w:pPr>
      <w:r w:rsidRPr="00E103B9">
        <w:rPr>
          <w:color w:val="000000"/>
          <w:sz w:val="28"/>
        </w:rPr>
        <w:lastRenderedPageBreak/>
        <w:t xml:space="preserve">В </w:t>
      </w:r>
      <w:proofErr w:type="gramStart"/>
      <w:r w:rsidRPr="00E103B9">
        <w:rPr>
          <w:color w:val="000000"/>
          <w:sz w:val="28"/>
        </w:rPr>
        <w:t>условиях</w:t>
      </w:r>
      <w:proofErr w:type="gramEnd"/>
      <w:r w:rsidRPr="00E103B9">
        <w:rPr>
          <w:color w:val="000000"/>
          <w:sz w:val="28"/>
        </w:rPr>
        <w:t xml:space="preserve"> </w:t>
      </w:r>
      <w:proofErr w:type="spellStart"/>
      <w:r w:rsidRPr="00E103B9">
        <w:rPr>
          <w:color w:val="000000"/>
          <w:sz w:val="28"/>
        </w:rPr>
        <w:t>санкционных</w:t>
      </w:r>
      <w:proofErr w:type="spellEnd"/>
      <w:r w:rsidRPr="00E103B9">
        <w:rPr>
          <w:color w:val="000000"/>
          <w:sz w:val="28"/>
        </w:rPr>
        <w:t xml:space="preserve"> ограничений, когда в условиях резко сократившегося доступа к современным приборам, оборудованию и материалам наука должна более активно решать задачи, связанные с разработкой необходимых технологий, важными областями бюджетной поддержки становятся по крайней мере четыре направления:</w:t>
      </w:r>
    </w:p>
    <w:p w14:paraId="1C3BC4B7" w14:textId="77777777" w:rsidR="00FD5D90" w:rsidRPr="00E103B9" w:rsidRDefault="00FD5D90" w:rsidP="00AA0954">
      <w:pPr>
        <w:numPr>
          <w:ilvl w:val="0"/>
          <w:numId w:val="71"/>
        </w:numPr>
        <w:spacing w:after="60"/>
        <w:ind w:left="0" w:firstLine="709"/>
        <w:jc w:val="both"/>
        <w:rPr>
          <w:color w:val="000000"/>
          <w:sz w:val="28"/>
          <w:szCs w:val="20"/>
        </w:rPr>
      </w:pPr>
      <w:r w:rsidRPr="00E103B9">
        <w:rPr>
          <w:color w:val="000000"/>
          <w:sz w:val="28"/>
          <w:szCs w:val="20"/>
        </w:rPr>
        <w:t>научное приборостроение и инфраструктура;</w:t>
      </w:r>
    </w:p>
    <w:p w14:paraId="3BF663D7" w14:textId="77777777" w:rsidR="00FD5D90" w:rsidRPr="00E103B9" w:rsidRDefault="00FD5D90" w:rsidP="00AA0954">
      <w:pPr>
        <w:numPr>
          <w:ilvl w:val="0"/>
          <w:numId w:val="71"/>
        </w:numPr>
        <w:spacing w:after="60"/>
        <w:ind w:left="0" w:firstLine="709"/>
        <w:jc w:val="both"/>
        <w:rPr>
          <w:color w:val="000000"/>
          <w:sz w:val="28"/>
          <w:szCs w:val="20"/>
        </w:rPr>
      </w:pPr>
      <w:r w:rsidRPr="00E103B9">
        <w:rPr>
          <w:color w:val="000000"/>
          <w:sz w:val="28"/>
          <w:szCs w:val="20"/>
        </w:rPr>
        <w:t>кооперация науки и бизнеса;</w:t>
      </w:r>
    </w:p>
    <w:p w14:paraId="76611441" w14:textId="77777777" w:rsidR="00FD5D90" w:rsidRPr="00E103B9" w:rsidRDefault="00FD5D90" w:rsidP="00AA0954">
      <w:pPr>
        <w:numPr>
          <w:ilvl w:val="0"/>
          <w:numId w:val="71"/>
        </w:numPr>
        <w:spacing w:after="60"/>
        <w:ind w:left="0" w:firstLine="709"/>
        <w:jc w:val="both"/>
        <w:rPr>
          <w:color w:val="000000"/>
          <w:sz w:val="28"/>
          <w:szCs w:val="20"/>
        </w:rPr>
      </w:pPr>
      <w:r w:rsidRPr="00E103B9">
        <w:rPr>
          <w:color w:val="000000"/>
          <w:sz w:val="28"/>
          <w:szCs w:val="20"/>
        </w:rPr>
        <w:t xml:space="preserve">НИОКР в малых инновационных компаниях, включая </w:t>
      </w:r>
      <w:proofErr w:type="spellStart"/>
      <w:r w:rsidRPr="00E103B9">
        <w:rPr>
          <w:color w:val="000000"/>
          <w:sz w:val="28"/>
          <w:szCs w:val="20"/>
        </w:rPr>
        <w:t>стартапы</w:t>
      </w:r>
      <w:proofErr w:type="spellEnd"/>
      <w:r w:rsidRPr="00E103B9">
        <w:rPr>
          <w:color w:val="000000"/>
          <w:sz w:val="28"/>
          <w:szCs w:val="20"/>
        </w:rPr>
        <w:t>;</w:t>
      </w:r>
    </w:p>
    <w:p w14:paraId="05530A10" w14:textId="77777777" w:rsidR="00FD5D90" w:rsidRPr="00E103B9" w:rsidRDefault="00FD5D90" w:rsidP="00AA0954">
      <w:pPr>
        <w:numPr>
          <w:ilvl w:val="0"/>
          <w:numId w:val="71"/>
        </w:numPr>
        <w:spacing w:after="60"/>
        <w:ind w:left="0" w:firstLine="709"/>
        <w:jc w:val="both"/>
        <w:rPr>
          <w:color w:val="000000"/>
          <w:sz w:val="28"/>
          <w:szCs w:val="20"/>
        </w:rPr>
      </w:pPr>
      <w:r w:rsidRPr="00E103B9">
        <w:rPr>
          <w:color w:val="000000"/>
          <w:sz w:val="28"/>
          <w:szCs w:val="20"/>
        </w:rPr>
        <w:t>НИОКР в отдельных критически важных отраслях.</w:t>
      </w:r>
    </w:p>
    <w:p w14:paraId="5DB5B272" w14:textId="77777777" w:rsidR="00FD5D90" w:rsidRPr="00E103B9" w:rsidRDefault="00FD5D90" w:rsidP="00C572ED">
      <w:pPr>
        <w:spacing w:after="60"/>
        <w:ind w:firstLine="709"/>
        <w:jc w:val="both"/>
        <w:rPr>
          <w:color w:val="000000"/>
          <w:sz w:val="28"/>
        </w:rPr>
      </w:pPr>
      <w:r w:rsidRPr="00E103B9">
        <w:rPr>
          <w:color w:val="000000"/>
          <w:sz w:val="28"/>
        </w:rPr>
        <w:t xml:space="preserve">В </w:t>
      </w:r>
      <w:proofErr w:type="gramStart"/>
      <w:r w:rsidRPr="00E103B9">
        <w:rPr>
          <w:color w:val="000000"/>
          <w:sz w:val="28"/>
        </w:rPr>
        <w:t>разрезе</w:t>
      </w:r>
      <w:proofErr w:type="gramEnd"/>
      <w:r w:rsidRPr="00E103B9">
        <w:rPr>
          <w:color w:val="000000"/>
          <w:sz w:val="28"/>
        </w:rPr>
        <w:t xml:space="preserve"> обозначенных направлений запланирована недостаточная, а в ряде случаев и сокращающаяся бюджетная поддержка.</w:t>
      </w:r>
    </w:p>
    <w:p w14:paraId="1E8BA6D1" w14:textId="6BC0C55E" w:rsidR="00FD5D90" w:rsidRPr="00E103B9" w:rsidRDefault="00FD5D90" w:rsidP="00C572ED">
      <w:pPr>
        <w:spacing w:after="60"/>
        <w:ind w:firstLine="709"/>
        <w:jc w:val="both"/>
        <w:rPr>
          <w:color w:val="000000"/>
          <w:sz w:val="28"/>
        </w:rPr>
      </w:pPr>
      <w:r w:rsidRPr="00E103B9">
        <w:rPr>
          <w:color w:val="000000"/>
          <w:sz w:val="28"/>
        </w:rPr>
        <w:t xml:space="preserve">В частности, научное приборостроение и инфраструктура (улучшение материальной базы науки) планируется поддерживать в рамках двух федеральных проектов – </w:t>
      </w:r>
      <w:r w:rsidRPr="00E103B9">
        <w:rPr>
          <w:sz w:val="28"/>
        </w:rPr>
        <w:t>«Развитие отечественного приборостроения гражданского назначения»</w:t>
      </w:r>
      <w:r w:rsidRPr="00E103B9">
        <w:rPr>
          <w:sz w:val="28"/>
          <w:vertAlign w:val="superscript"/>
        </w:rPr>
        <w:footnoteReference w:id="57"/>
      </w:r>
      <w:r w:rsidRPr="00E103B9">
        <w:rPr>
          <w:sz w:val="28"/>
        </w:rPr>
        <w:t xml:space="preserve"> и «Развитие инфраструктуры для научных исследований и подготовки кадров»</w:t>
      </w:r>
      <w:r w:rsidRPr="00E103B9">
        <w:rPr>
          <w:b/>
          <w:sz w:val="28"/>
        </w:rPr>
        <w:t xml:space="preserve"> </w:t>
      </w:r>
      <w:r w:rsidR="00987707" w:rsidRPr="00E103B9">
        <w:rPr>
          <w:sz w:val="28"/>
        </w:rPr>
        <w:t>НП</w:t>
      </w:r>
      <w:r w:rsidRPr="00E103B9">
        <w:rPr>
          <w:sz w:val="28"/>
        </w:rPr>
        <w:t xml:space="preserve"> «Наука и университеты». На </w:t>
      </w:r>
      <w:r w:rsidR="00987707" w:rsidRPr="00E103B9">
        <w:rPr>
          <w:sz w:val="28"/>
        </w:rPr>
        <w:t>ФП</w:t>
      </w:r>
      <w:r w:rsidRPr="00E103B9">
        <w:rPr>
          <w:sz w:val="28"/>
        </w:rPr>
        <w:t xml:space="preserve"> «Развитие отечественного приборостроения гражданского назначения» выделяется около 4 </w:t>
      </w:r>
      <w:proofErr w:type="gramStart"/>
      <w:r w:rsidRPr="00E103B9">
        <w:rPr>
          <w:sz w:val="28"/>
        </w:rPr>
        <w:t>млрд</w:t>
      </w:r>
      <w:proofErr w:type="gramEnd"/>
      <w:r w:rsidRPr="00E103B9">
        <w:rPr>
          <w:sz w:val="28"/>
        </w:rPr>
        <w:t xml:space="preserve"> руб. ежегодно при оцениваемой потребности в 10-15 млрд руб. в год. Эти средства изымаются из </w:t>
      </w:r>
      <w:r w:rsidR="00987707" w:rsidRPr="00E103B9">
        <w:rPr>
          <w:sz w:val="28"/>
        </w:rPr>
        <w:t xml:space="preserve">ФП </w:t>
      </w:r>
      <w:r w:rsidRPr="00E103B9">
        <w:rPr>
          <w:sz w:val="28"/>
        </w:rPr>
        <w:t xml:space="preserve">«Развитие инфраструктуры для научных исследований и подготовки кадров» </w:t>
      </w:r>
      <w:r w:rsidR="00987707" w:rsidRPr="00E103B9">
        <w:rPr>
          <w:sz w:val="28"/>
        </w:rPr>
        <w:t>НП</w:t>
      </w:r>
      <w:r w:rsidRPr="00E103B9">
        <w:rPr>
          <w:sz w:val="28"/>
        </w:rPr>
        <w:t xml:space="preserve"> «Наука и университеты». Таким образом, п</w:t>
      </w:r>
      <w:r w:rsidRPr="00E103B9">
        <w:rPr>
          <w:color w:val="000000"/>
          <w:sz w:val="28"/>
        </w:rPr>
        <w:t xml:space="preserve">оддержка разработки научного оборудования будет обеспечиваться за счет того, что у научных организаций и ВУЗов будет меньше средств на обновление материальной базы исследований. </w:t>
      </w:r>
    </w:p>
    <w:p w14:paraId="6E8B6CE0" w14:textId="5D609A89" w:rsidR="00FD5D90" w:rsidRPr="00E103B9" w:rsidRDefault="00FD5D90" w:rsidP="00C572ED">
      <w:pPr>
        <w:spacing w:after="60"/>
        <w:ind w:firstLine="709"/>
        <w:jc w:val="both"/>
        <w:rPr>
          <w:sz w:val="28"/>
          <w:szCs w:val="28"/>
        </w:rPr>
      </w:pPr>
      <w:r w:rsidRPr="00E103B9">
        <w:rPr>
          <w:color w:val="000000"/>
          <w:sz w:val="28"/>
        </w:rPr>
        <w:t xml:space="preserve">По </w:t>
      </w:r>
      <w:r w:rsidR="00987707" w:rsidRPr="00E103B9">
        <w:rPr>
          <w:color w:val="000000"/>
          <w:sz w:val="28"/>
        </w:rPr>
        <w:t xml:space="preserve">ФП </w:t>
      </w:r>
      <w:r w:rsidRPr="00E103B9">
        <w:rPr>
          <w:color w:val="000000"/>
          <w:sz w:val="28"/>
        </w:rPr>
        <w:t>«Развитие инфраструктуры для научных исследований и подготовки кадров» расходы в 2023 г. сократятся по сравнению с Законом №390-ФЗ на 9,8%, а затем возрастут в 2024 г. почти на 20% от уровня, заложенного в данном Законе. При этом в последние три года</w:t>
      </w:r>
      <w:r w:rsidRPr="00E103B9">
        <w:rPr>
          <w:sz w:val="28"/>
        </w:rPr>
        <w:t xml:space="preserve"> уже наблюдалось недофинансирование обновления приборной базы науки, а сейчас эта проблема еще более обостряется. Ввиду того, что сократилась возможность закупать импортное высокотехнологичное научное оборудование, представляется важным увеличить</w:t>
      </w:r>
      <w:r w:rsidRPr="00E103B9">
        <w:rPr>
          <w:sz w:val="28"/>
          <w:szCs w:val="28"/>
        </w:rPr>
        <w:t xml:space="preserve"> финансирование НИОКР для отечественного приборостроения как минимум на 20%, с прогнозным ростом расходов в течение трех лет.</w:t>
      </w:r>
    </w:p>
    <w:p w14:paraId="75DCBC1E" w14:textId="1F033DB0" w:rsidR="00FD5D90" w:rsidRPr="00E103B9" w:rsidRDefault="00FD5D90" w:rsidP="00C572ED">
      <w:pPr>
        <w:spacing w:after="60"/>
        <w:ind w:firstLine="720"/>
        <w:jc w:val="both"/>
        <w:rPr>
          <w:color w:val="000000"/>
          <w:sz w:val="28"/>
        </w:rPr>
      </w:pPr>
      <w:r w:rsidRPr="00E103B9">
        <w:rPr>
          <w:color w:val="000000"/>
          <w:sz w:val="28"/>
        </w:rPr>
        <w:t xml:space="preserve">Кооперация науки и бизнеса целевым образом поддерживается в рамках </w:t>
      </w:r>
      <w:r w:rsidR="00DA63F9" w:rsidRPr="00E103B9">
        <w:rPr>
          <w:color w:val="000000"/>
          <w:sz w:val="28"/>
        </w:rPr>
        <w:t>ФП</w:t>
      </w:r>
      <w:r w:rsidRPr="00E103B9">
        <w:rPr>
          <w:color w:val="000000"/>
          <w:sz w:val="28"/>
        </w:rPr>
        <w:t xml:space="preserve"> «Развитие интеграционных процессов в сфере науки, высшего образования и индустрии» </w:t>
      </w:r>
      <w:r w:rsidR="00DA63F9" w:rsidRPr="00E103B9">
        <w:rPr>
          <w:color w:val="000000"/>
          <w:sz w:val="28"/>
        </w:rPr>
        <w:t>НП</w:t>
      </w:r>
      <w:r w:rsidRPr="00E103B9">
        <w:rPr>
          <w:color w:val="000000"/>
          <w:sz w:val="28"/>
        </w:rPr>
        <w:t xml:space="preserve"> «Наука и университеты». Однако на данный проект в 2023-2024 гг. запланировано снижение ассигнований по сравнению с уровнем финансирования 2022 г. На наш взгляд, требуется, как минимум, сохранить прежний уровень финансирования, поскольку необходимо усиливать и развивать кооперационные связи, так как именно </w:t>
      </w:r>
      <w:r w:rsidRPr="00E103B9">
        <w:rPr>
          <w:color w:val="000000"/>
          <w:sz w:val="28"/>
        </w:rPr>
        <w:lastRenderedPageBreak/>
        <w:t>на базе консорциумов, как правило, выполняются комплексные проекты по разработке новых технологий.</w:t>
      </w:r>
    </w:p>
    <w:p w14:paraId="3029B6B9" w14:textId="55281429" w:rsidR="00FD5D90" w:rsidRPr="00E103B9" w:rsidRDefault="00FD5D90" w:rsidP="00C572ED">
      <w:pPr>
        <w:spacing w:after="60"/>
        <w:ind w:firstLine="709"/>
        <w:jc w:val="both"/>
        <w:rPr>
          <w:rFonts w:eastAsia="Calibri"/>
          <w:sz w:val="28"/>
        </w:rPr>
      </w:pPr>
      <w:proofErr w:type="gramStart"/>
      <w:r w:rsidRPr="00E103B9">
        <w:rPr>
          <w:color w:val="000000"/>
          <w:sz w:val="28"/>
        </w:rPr>
        <w:t>Поддержка НИОКР, выполняемых малыми инновационными компаниями, важна, потому что они могут оперативно разрабатывать элементы технологий для среднего и крупного бизнеса.</w:t>
      </w:r>
      <w:proofErr w:type="gramEnd"/>
      <w:r w:rsidRPr="00E103B9">
        <w:rPr>
          <w:color w:val="000000"/>
          <w:sz w:val="28"/>
        </w:rPr>
        <w:t xml:space="preserve"> Средства на НИОКР для малых инновационных компаний и </w:t>
      </w:r>
      <w:proofErr w:type="spellStart"/>
      <w:r w:rsidRPr="00E103B9">
        <w:rPr>
          <w:color w:val="000000"/>
          <w:sz w:val="28"/>
        </w:rPr>
        <w:t>стартапов</w:t>
      </w:r>
      <w:proofErr w:type="spellEnd"/>
      <w:r w:rsidRPr="00E103B9">
        <w:rPr>
          <w:color w:val="000000"/>
          <w:sz w:val="28"/>
        </w:rPr>
        <w:t xml:space="preserve"> выделяются в рамках </w:t>
      </w:r>
      <w:r w:rsidR="00C1576F" w:rsidRPr="00E103B9">
        <w:rPr>
          <w:sz w:val="28"/>
        </w:rPr>
        <w:t>ФП</w:t>
      </w:r>
      <w:r w:rsidRPr="00E103B9">
        <w:rPr>
          <w:sz w:val="28"/>
        </w:rPr>
        <w:t xml:space="preserve"> «Взлет - от </w:t>
      </w:r>
      <w:proofErr w:type="spellStart"/>
      <w:r w:rsidRPr="00E103B9">
        <w:rPr>
          <w:sz w:val="28"/>
        </w:rPr>
        <w:t>стартапа</w:t>
      </w:r>
      <w:proofErr w:type="spellEnd"/>
      <w:r w:rsidRPr="00E103B9">
        <w:rPr>
          <w:sz w:val="28"/>
        </w:rPr>
        <w:t xml:space="preserve"> до IPO» и через </w:t>
      </w:r>
      <w:r w:rsidRPr="00E103B9">
        <w:rPr>
          <w:rFonts w:eastAsia="Calibri"/>
          <w:sz w:val="28"/>
        </w:rPr>
        <w:t xml:space="preserve">Фонд содействия развитию малых форм предприятий в научно-технической сфере. Запланировано сокращение </w:t>
      </w:r>
      <w:proofErr w:type="gramStart"/>
      <w:r w:rsidRPr="00E103B9">
        <w:rPr>
          <w:rFonts w:eastAsia="Calibri"/>
          <w:sz w:val="28"/>
        </w:rPr>
        <w:t>ассигнований</w:t>
      </w:r>
      <w:proofErr w:type="gramEnd"/>
      <w:r w:rsidRPr="00E103B9">
        <w:rPr>
          <w:rFonts w:eastAsia="Calibri"/>
          <w:sz w:val="28"/>
        </w:rPr>
        <w:t xml:space="preserve"> как данного проекта, так и указанного Фонда. По Законопроекту</w:t>
      </w:r>
      <w:r w:rsidRPr="00E103B9">
        <w:rPr>
          <w:sz w:val="28"/>
        </w:rPr>
        <w:t xml:space="preserve"> заложено сокращение почти на 10% ежегодно по сравнению с Законом №390-ФЗ</w:t>
      </w:r>
      <w:r w:rsidRPr="00E103B9">
        <w:rPr>
          <w:color w:val="000000"/>
          <w:sz w:val="28"/>
        </w:rPr>
        <w:t>. В свою очередь объемы б</w:t>
      </w:r>
      <w:r w:rsidRPr="00E103B9">
        <w:rPr>
          <w:rFonts w:eastAsia="Calibri"/>
          <w:sz w:val="28"/>
        </w:rPr>
        <w:t xml:space="preserve">юджетных ассигнований на НИОКР, направляемые в Фонд содействия развитию малых форм предприятий в научно-технической сфере, окажутся меньше ранее планировавшихся, согласно Приложению 12 к Законопроекту – 11,9 </w:t>
      </w:r>
      <w:proofErr w:type="gramStart"/>
      <w:r w:rsidRPr="00E103B9">
        <w:rPr>
          <w:rFonts w:eastAsia="Calibri"/>
          <w:sz w:val="28"/>
        </w:rPr>
        <w:t>млрд</w:t>
      </w:r>
      <w:proofErr w:type="gramEnd"/>
      <w:r w:rsidRPr="00E103B9">
        <w:rPr>
          <w:rFonts w:eastAsia="Calibri"/>
          <w:sz w:val="28"/>
        </w:rPr>
        <w:t xml:space="preserve"> руб. в 2023 г., 12,7 млрд руб. в 2024 г. и 6,9 млрд руб. в 2025 г. при изначальных планах выделять 14,3-14,6 млрд руб. ежегодно. С учетом важности выполняемых Фондом задач считаем целесообразным сохранить его финансирование на уровне 14-15 </w:t>
      </w:r>
      <w:proofErr w:type="gramStart"/>
      <w:r w:rsidRPr="00E103B9">
        <w:rPr>
          <w:rFonts w:eastAsia="Calibri"/>
          <w:sz w:val="28"/>
        </w:rPr>
        <w:t>млрд</w:t>
      </w:r>
      <w:proofErr w:type="gramEnd"/>
      <w:r w:rsidRPr="00E103B9">
        <w:rPr>
          <w:rFonts w:eastAsia="Calibri"/>
          <w:sz w:val="28"/>
        </w:rPr>
        <w:t xml:space="preserve"> руб. в год.</w:t>
      </w:r>
    </w:p>
    <w:p w14:paraId="4B53995E" w14:textId="5A624926" w:rsidR="00FD5D90" w:rsidRPr="00E103B9" w:rsidRDefault="00FD5D90" w:rsidP="00C572ED">
      <w:pPr>
        <w:spacing w:after="60"/>
        <w:ind w:firstLine="709"/>
        <w:jc w:val="both"/>
        <w:rPr>
          <w:color w:val="000000"/>
          <w:sz w:val="28"/>
        </w:rPr>
      </w:pPr>
      <w:r w:rsidRPr="00E103B9">
        <w:rPr>
          <w:color w:val="000000"/>
          <w:sz w:val="28"/>
        </w:rPr>
        <w:t xml:space="preserve">К НИОКР в отдельных критически важных отраслях можно отнести исследования и разработки в </w:t>
      </w:r>
      <w:r w:rsidRPr="00E103B9">
        <w:rPr>
          <w:sz w:val="28"/>
        </w:rPr>
        <w:t xml:space="preserve">гражданских отраслях промышленности, </w:t>
      </w:r>
      <w:r w:rsidRPr="00E103B9">
        <w:rPr>
          <w:color w:val="000000"/>
          <w:sz w:val="28"/>
        </w:rPr>
        <w:t xml:space="preserve">электронике, </w:t>
      </w:r>
      <w:proofErr w:type="gramStart"/>
      <w:r w:rsidRPr="00E103B9">
        <w:rPr>
          <w:color w:val="000000"/>
          <w:sz w:val="28"/>
        </w:rPr>
        <w:t>ИТ</w:t>
      </w:r>
      <w:proofErr w:type="gramEnd"/>
      <w:r w:rsidRPr="00E103B9">
        <w:rPr>
          <w:color w:val="000000"/>
          <w:sz w:val="28"/>
        </w:rPr>
        <w:t xml:space="preserve">, материалов для энергетики и ряд других. И хотя по отдельным из указанных направлений запланирован прирост бюджетных ассигнований в предстоящую трехлетку, даже по ним расходы в номинальном выражении будут ниже уровня 2022 г. </w:t>
      </w:r>
    </w:p>
    <w:p w14:paraId="612F93E6" w14:textId="33688F84" w:rsidR="00FD5D90" w:rsidRPr="00E103B9" w:rsidRDefault="00FD5D90" w:rsidP="00C572ED">
      <w:pPr>
        <w:autoSpaceDE w:val="0"/>
        <w:autoSpaceDN w:val="0"/>
        <w:adjustRightInd w:val="0"/>
        <w:spacing w:after="60"/>
        <w:ind w:firstLine="709"/>
        <w:jc w:val="both"/>
        <w:rPr>
          <w:sz w:val="28"/>
        </w:rPr>
      </w:pPr>
      <w:r w:rsidRPr="00E103B9">
        <w:rPr>
          <w:rFonts w:eastAsia="Calibri"/>
          <w:sz w:val="28"/>
        </w:rPr>
        <w:t xml:space="preserve">По </w:t>
      </w:r>
      <w:r w:rsidR="00C1576F" w:rsidRPr="00E103B9">
        <w:rPr>
          <w:sz w:val="28"/>
        </w:rPr>
        <w:t>ФП</w:t>
      </w:r>
      <w:r w:rsidRPr="00E103B9">
        <w:rPr>
          <w:sz w:val="28"/>
        </w:rPr>
        <w:t xml:space="preserve"> «Содействие проведению научно-исследовательских и опытно-конструкторских работ в гражданских отраслях промышленности» ассигнования существенно вырастут по сравнению с Законом № 390-ФЗ (на 17,1% в 2023 г., на 29,9% в 2024 г.). Однако в сравнении с финансированием в 2022 г</w:t>
      </w:r>
      <w:r w:rsidR="00C1576F" w:rsidRPr="00E103B9">
        <w:rPr>
          <w:sz w:val="28"/>
        </w:rPr>
        <w:t>.</w:t>
      </w:r>
      <w:r w:rsidRPr="00E103B9">
        <w:rPr>
          <w:sz w:val="28"/>
        </w:rPr>
        <w:t xml:space="preserve"> ассигнования снизятся и составят в 2023 г. лишь 70,6% от уровня 2022 г., в 2024 г. – 78,2% и в 2025 г – 96,2%. Таким образом, планируется только к 2025 г. примерно выйти на номинальный уровень 2022 г.</w:t>
      </w:r>
    </w:p>
    <w:p w14:paraId="7949B5D8" w14:textId="4D567C24" w:rsidR="00FD5D90" w:rsidRPr="00E103B9" w:rsidRDefault="00FD5D90" w:rsidP="00C572ED">
      <w:pPr>
        <w:autoSpaceDE w:val="0"/>
        <w:autoSpaceDN w:val="0"/>
        <w:adjustRightInd w:val="0"/>
        <w:spacing w:after="60"/>
        <w:ind w:firstLine="709"/>
        <w:jc w:val="both"/>
        <w:rPr>
          <w:sz w:val="28"/>
        </w:rPr>
      </w:pPr>
      <w:r w:rsidRPr="00E103B9">
        <w:rPr>
          <w:sz w:val="28"/>
        </w:rPr>
        <w:t xml:space="preserve">Поддержка ИТ-отрасли будет </w:t>
      </w:r>
      <w:proofErr w:type="gramStart"/>
      <w:r w:rsidRPr="00E103B9">
        <w:rPr>
          <w:sz w:val="28"/>
        </w:rPr>
        <w:t>проводиться</w:t>
      </w:r>
      <w:proofErr w:type="gramEnd"/>
      <w:r w:rsidRPr="00E103B9">
        <w:rPr>
          <w:sz w:val="28"/>
        </w:rPr>
        <w:t xml:space="preserve"> в том числе в рамках </w:t>
      </w:r>
      <w:r w:rsidR="00C1576F" w:rsidRPr="00E103B9">
        <w:rPr>
          <w:sz w:val="28"/>
        </w:rPr>
        <w:t>ФП</w:t>
      </w:r>
      <w:r w:rsidRPr="00E103B9">
        <w:rPr>
          <w:sz w:val="28"/>
        </w:rPr>
        <w:t xml:space="preserve"> «Развитие кадрового потенциала ИТ-отрасли», по которому предусмотрено сокращение финансирования на 10% ежегодно в 2023-2024 гг. с последующим завершением поддержки – вероятно, прогнозируется, что через два года либо кадровая проблема в ИТ-отрасли будет решена, либо потребуется разработка нового федерального проекта.</w:t>
      </w:r>
    </w:p>
    <w:p w14:paraId="1BD210C3" w14:textId="5B4FCB5B" w:rsidR="00FD5D90" w:rsidRPr="00E103B9" w:rsidRDefault="00FD5D90" w:rsidP="00C572ED">
      <w:pPr>
        <w:spacing w:after="60"/>
        <w:ind w:firstLine="709"/>
        <w:jc w:val="both"/>
        <w:rPr>
          <w:color w:val="212121"/>
          <w:sz w:val="28"/>
          <w:shd w:val="clear" w:color="auto" w:fill="FFFFFF"/>
        </w:rPr>
      </w:pPr>
      <w:r w:rsidRPr="00E103B9">
        <w:rPr>
          <w:color w:val="000000"/>
          <w:sz w:val="28"/>
        </w:rPr>
        <w:t xml:space="preserve">Расходы на НИОКР в рамках </w:t>
      </w:r>
      <w:r w:rsidR="00C1576F" w:rsidRPr="00E103B9">
        <w:rPr>
          <w:color w:val="000000"/>
          <w:sz w:val="28"/>
        </w:rPr>
        <w:t>ГП</w:t>
      </w:r>
      <w:r w:rsidRPr="00E103B9">
        <w:rPr>
          <w:color w:val="000000"/>
          <w:sz w:val="28"/>
        </w:rPr>
        <w:t xml:space="preserve"> «Развитие электронной и радиоэлектронной промышленности» будут сокращаться (НИОКР в области средств производства) или </w:t>
      </w:r>
      <w:proofErr w:type="spellStart"/>
      <w:r w:rsidRPr="00E103B9">
        <w:rPr>
          <w:color w:val="000000"/>
          <w:sz w:val="28"/>
        </w:rPr>
        <w:t>стагнировать</w:t>
      </w:r>
      <w:proofErr w:type="spellEnd"/>
      <w:r w:rsidRPr="00E103B9">
        <w:rPr>
          <w:color w:val="000000"/>
          <w:sz w:val="28"/>
        </w:rPr>
        <w:t xml:space="preserve"> (НИОКР для разработки базовых технологий), а по </w:t>
      </w:r>
      <w:r w:rsidR="00C1576F" w:rsidRPr="00E103B9">
        <w:rPr>
          <w:color w:val="000000"/>
          <w:sz w:val="28"/>
        </w:rPr>
        <w:t>ФП</w:t>
      </w:r>
      <w:r w:rsidRPr="00E103B9">
        <w:rPr>
          <w:color w:val="000000"/>
          <w:sz w:val="28"/>
        </w:rPr>
        <w:t xml:space="preserve"> «Искусственный интеллект» финансирование предусмотрено только на 2023-2024 гг. Суммарно </w:t>
      </w:r>
      <w:r w:rsidRPr="00E103B9">
        <w:rPr>
          <w:color w:val="000000"/>
          <w:sz w:val="28"/>
        </w:rPr>
        <w:lastRenderedPageBreak/>
        <w:t xml:space="preserve">расходы на НИОКР в области электроники и радиоэлектроники составят 24,3 </w:t>
      </w:r>
      <w:proofErr w:type="gramStart"/>
      <w:r w:rsidRPr="00E103B9">
        <w:rPr>
          <w:color w:val="000000"/>
          <w:sz w:val="28"/>
        </w:rPr>
        <w:t>млрд</w:t>
      </w:r>
      <w:proofErr w:type="gramEnd"/>
      <w:r w:rsidRPr="00E103B9">
        <w:rPr>
          <w:color w:val="000000"/>
          <w:sz w:val="28"/>
        </w:rPr>
        <w:t xml:space="preserve"> руб. в 2023 г</w:t>
      </w:r>
      <w:r w:rsidR="00C1576F" w:rsidRPr="00E103B9">
        <w:rPr>
          <w:color w:val="000000"/>
          <w:sz w:val="28"/>
        </w:rPr>
        <w:t>.</w:t>
      </w:r>
      <w:r w:rsidRPr="00E103B9">
        <w:rPr>
          <w:color w:val="000000"/>
          <w:sz w:val="28"/>
        </w:rPr>
        <w:t>, 21,4 млрд руб. в 2024 г</w:t>
      </w:r>
      <w:r w:rsidR="00C1576F" w:rsidRPr="00E103B9">
        <w:rPr>
          <w:color w:val="000000"/>
          <w:sz w:val="28"/>
        </w:rPr>
        <w:t>.</w:t>
      </w:r>
      <w:r w:rsidRPr="00E103B9">
        <w:rPr>
          <w:color w:val="000000"/>
          <w:sz w:val="28"/>
        </w:rPr>
        <w:t xml:space="preserve"> и 20,1 </w:t>
      </w:r>
      <w:proofErr w:type="gramStart"/>
      <w:r w:rsidRPr="00E103B9">
        <w:rPr>
          <w:color w:val="000000"/>
          <w:sz w:val="28"/>
        </w:rPr>
        <w:t>млрд</w:t>
      </w:r>
      <w:proofErr w:type="gramEnd"/>
      <w:r w:rsidRPr="00E103B9">
        <w:rPr>
          <w:color w:val="000000"/>
          <w:sz w:val="28"/>
        </w:rPr>
        <w:t xml:space="preserve"> руб. в 2025 г. Это относительно небольшие объемы финансирования с учетом важности создания в стране электронной компонентной базы и средств производства. На </w:t>
      </w:r>
      <w:r w:rsidR="00C1576F" w:rsidRPr="00E103B9">
        <w:rPr>
          <w:color w:val="000000"/>
          <w:sz w:val="28"/>
        </w:rPr>
        <w:t>ФП</w:t>
      </w:r>
      <w:r w:rsidRPr="00E103B9">
        <w:rPr>
          <w:color w:val="000000"/>
          <w:sz w:val="28"/>
        </w:rPr>
        <w:t xml:space="preserve"> «Научное обеспечение развития электронной и радиоэлектронной промышленности» в 2022 г. было выделено 23 </w:t>
      </w:r>
      <w:proofErr w:type="gramStart"/>
      <w:r w:rsidRPr="00E103B9">
        <w:rPr>
          <w:color w:val="000000"/>
          <w:sz w:val="28"/>
        </w:rPr>
        <w:t>млрд</w:t>
      </w:r>
      <w:proofErr w:type="gramEnd"/>
      <w:r w:rsidRPr="00E103B9">
        <w:rPr>
          <w:color w:val="000000"/>
          <w:sz w:val="28"/>
        </w:rPr>
        <w:t xml:space="preserve"> руб., а на 2023 г. запланировано только 17,5 млрд руб. с последующим сокращением финансирования. Поэтому считаем, что </w:t>
      </w:r>
      <w:r w:rsidRPr="00E103B9">
        <w:rPr>
          <w:sz w:val="28"/>
        </w:rPr>
        <w:t xml:space="preserve">финансирование НИОКР в области электроники следует хотя бы не сокращать по сравнению с уровнем 2022 г., а в качестве целевого сценария рекомендуется закладывать </w:t>
      </w:r>
      <w:r w:rsidRPr="00E103B9">
        <w:rPr>
          <w:color w:val="212121"/>
          <w:sz w:val="28"/>
          <w:shd w:val="clear" w:color="auto" w:fill="FFFFFF"/>
        </w:rPr>
        <w:t>постепенный рост бюджетных ассигнований (с пониманием сложности расширения кадрового обеспечения разработки), но не менее</w:t>
      </w:r>
      <w:proofErr w:type="gramStart"/>
      <w:r w:rsidRPr="00E103B9">
        <w:rPr>
          <w:color w:val="212121"/>
          <w:sz w:val="28"/>
          <w:shd w:val="clear" w:color="auto" w:fill="FFFFFF"/>
        </w:rPr>
        <w:t>,</w:t>
      </w:r>
      <w:proofErr w:type="gramEnd"/>
      <w:r w:rsidRPr="00E103B9">
        <w:rPr>
          <w:color w:val="212121"/>
          <w:sz w:val="28"/>
          <w:shd w:val="clear" w:color="auto" w:fill="FFFFFF"/>
        </w:rPr>
        <w:t xml:space="preserve"> чем на 20% ежегодно.</w:t>
      </w:r>
    </w:p>
    <w:p w14:paraId="64D9D4E4" w14:textId="473409F8" w:rsidR="00FD5D90" w:rsidRPr="00E103B9" w:rsidRDefault="00FD5D90" w:rsidP="00C572ED">
      <w:pPr>
        <w:spacing w:after="60"/>
        <w:ind w:firstLine="709"/>
        <w:jc w:val="both"/>
        <w:rPr>
          <w:sz w:val="28"/>
        </w:rPr>
      </w:pPr>
      <w:proofErr w:type="gramStart"/>
      <w:r w:rsidRPr="00E103B9">
        <w:rPr>
          <w:color w:val="212121"/>
          <w:sz w:val="28"/>
          <w:shd w:val="clear" w:color="auto" w:fill="FFFFFF"/>
        </w:rPr>
        <w:t xml:space="preserve">Наконец, по </w:t>
      </w:r>
      <w:r w:rsidR="00C1576F" w:rsidRPr="00E103B9">
        <w:rPr>
          <w:color w:val="212121"/>
          <w:sz w:val="28"/>
          <w:shd w:val="clear" w:color="auto" w:fill="FFFFFF"/>
        </w:rPr>
        <w:t>ФП</w:t>
      </w:r>
      <w:r w:rsidRPr="00E103B9">
        <w:rPr>
          <w:color w:val="212121"/>
          <w:sz w:val="28"/>
          <w:shd w:val="clear" w:color="auto" w:fill="FFFFFF"/>
        </w:rPr>
        <w:t xml:space="preserve"> «</w:t>
      </w:r>
      <w:r w:rsidRPr="00E103B9">
        <w:rPr>
          <w:sz w:val="28"/>
        </w:rPr>
        <w:t>Разработка новых материалов и технологий для перспективных энергетических систем» запланировано сокращение ассигнований на 5-10% по сравнению с Законом №390-ФЗ и еще большее сокращение относительно уровня 2022 г. Так, в 2023 г. предполагается выделять финансирование на уровне 51,6% от 2022 г</w:t>
      </w:r>
      <w:r w:rsidR="00C1576F" w:rsidRPr="00E103B9">
        <w:rPr>
          <w:sz w:val="28"/>
        </w:rPr>
        <w:t>.</w:t>
      </w:r>
      <w:r w:rsidRPr="00E103B9">
        <w:rPr>
          <w:sz w:val="28"/>
        </w:rPr>
        <w:t>, в 2024</w:t>
      </w:r>
      <w:r w:rsidR="00C1576F" w:rsidRPr="00E103B9">
        <w:rPr>
          <w:sz w:val="28"/>
        </w:rPr>
        <w:t xml:space="preserve"> г.</w:t>
      </w:r>
      <w:r w:rsidRPr="00E103B9">
        <w:rPr>
          <w:sz w:val="28"/>
        </w:rPr>
        <w:t xml:space="preserve"> – 42,2%, в 2025</w:t>
      </w:r>
      <w:r w:rsidR="00C1576F" w:rsidRPr="00E103B9">
        <w:rPr>
          <w:sz w:val="28"/>
        </w:rPr>
        <w:t xml:space="preserve"> г.</w:t>
      </w:r>
      <w:r w:rsidRPr="00E103B9">
        <w:rPr>
          <w:sz w:val="28"/>
        </w:rPr>
        <w:t xml:space="preserve"> – 39,4%. Таким образом, ряд критически важных отраслей не будет иметь</w:t>
      </w:r>
      <w:proofErr w:type="gramEnd"/>
      <w:r w:rsidRPr="00E103B9">
        <w:rPr>
          <w:sz w:val="28"/>
        </w:rPr>
        <w:t xml:space="preserve"> достаточно сре</w:t>
      </w:r>
      <w:proofErr w:type="gramStart"/>
      <w:r w:rsidRPr="00E103B9">
        <w:rPr>
          <w:sz w:val="28"/>
        </w:rPr>
        <w:t>дств дл</w:t>
      </w:r>
      <w:proofErr w:type="gramEnd"/>
      <w:r w:rsidRPr="00E103B9">
        <w:rPr>
          <w:sz w:val="28"/>
        </w:rPr>
        <w:t>я разработки отечественных технологий.</w:t>
      </w:r>
    </w:p>
    <w:p w14:paraId="73F6A768" w14:textId="77777777" w:rsidR="00B25E50" w:rsidRPr="00E103B9" w:rsidRDefault="00B25E50" w:rsidP="00B25E50">
      <w:pPr>
        <w:rPr>
          <w:rFonts w:eastAsia="Calibri"/>
          <w:sz w:val="28"/>
        </w:rPr>
      </w:pPr>
    </w:p>
    <w:p w14:paraId="2D7B6F08" w14:textId="61B3527C" w:rsidR="004800BF" w:rsidRPr="00E103B9" w:rsidRDefault="004800BF" w:rsidP="00FB0ECA">
      <w:pPr>
        <w:keepNext/>
        <w:spacing w:before="60" w:after="60"/>
        <w:jc w:val="center"/>
        <w:outlineLvl w:val="2"/>
        <w:rPr>
          <w:b/>
          <w:sz w:val="28"/>
          <w:szCs w:val="20"/>
        </w:rPr>
      </w:pPr>
      <w:bookmarkStart w:id="35" w:name="_Toc116593943"/>
      <w:r w:rsidRPr="00E103B9">
        <w:rPr>
          <w:b/>
          <w:sz w:val="28"/>
          <w:szCs w:val="20"/>
        </w:rPr>
        <w:t>Расходы на здравоохранение</w:t>
      </w:r>
      <w:bookmarkEnd w:id="35"/>
    </w:p>
    <w:p w14:paraId="4171FED1" w14:textId="77777777" w:rsidR="008637AE" w:rsidRPr="00E103B9" w:rsidRDefault="003A3EE6" w:rsidP="003A3EE6">
      <w:pPr>
        <w:spacing w:after="60"/>
        <w:ind w:firstLine="709"/>
        <w:jc w:val="both"/>
        <w:rPr>
          <w:sz w:val="28"/>
        </w:rPr>
      </w:pPr>
      <w:r w:rsidRPr="00E103B9">
        <w:rPr>
          <w:sz w:val="28"/>
        </w:rPr>
        <w:t xml:space="preserve">В Законопроекте в 2023-2025 гг. продолжится тенденция сокращения расходов на </w:t>
      </w:r>
      <w:proofErr w:type="gramStart"/>
      <w:r w:rsidRPr="00E103B9">
        <w:rPr>
          <w:sz w:val="28"/>
        </w:rPr>
        <w:t>здравоохранение</w:t>
      </w:r>
      <w:proofErr w:type="gramEnd"/>
      <w:r w:rsidRPr="00E103B9">
        <w:rPr>
          <w:sz w:val="28"/>
        </w:rPr>
        <w:t xml:space="preserve"> как в долях ВВП, так и реальном выражении. Хотя переход к номинальному росту ожидается в 2024-2025 гг., планируемые темпы наращивания расходов (1,6% в 2024 г., 1,1% в 2025 г.) не превысят ожидаемый уровень инфляции (5,5% и 4,0% соответственно). Доля расходов на здравоохранение в структуре ВВП продолжит медленное снижение, в структуре расходов федерального бюджета останется в пределах 5,1-5,4% (</w:t>
      </w:r>
      <w:r w:rsidRPr="00E103B9">
        <w:rPr>
          <w:i/>
          <w:iCs/>
          <w:sz w:val="28"/>
        </w:rPr>
        <w:t>таблица 22</w:t>
      </w:r>
      <w:r w:rsidRPr="00E103B9">
        <w:rPr>
          <w:sz w:val="28"/>
        </w:rPr>
        <w:t>).</w:t>
      </w:r>
    </w:p>
    <w:p w14:paraId="630B90A6" w14:textId="407ABD7C" w:rsidR="003A3EE6" w:rsidRPr="003A3EE6" w:rsidRDefault="003A3EE6" w:rsidP="003A3EE6">
      <w:pPr>
        <w:spacing w:after="60"/>
        <w:ind w:firstLine="709"/>
        <w:jc w:val="both"/>
      </w:pPr>
      <w:r w:rsidRPr="003A3EE6">
        <w:t xml:space="preserve"> </w:t>
      </w:r>
    </w:p>
    <w:p w14:paraId="4DB92D36" w14:textId="0EF9B172" w:rsidR="003A3EE6" w:rsidRPr="003A3EE6" w:rsidRDefault="003A3EE6" w:rsidP="003A3EE6">
      <w:pPr>
        <w:keepNext/>
        <w:spacing w:before="120"/>
        <w:jc w:val="right"/>
        <w:rPr>
          <w:bCs/>
          <w:i/>
          <w:szCs w:val="20"/>
        </w:rPr>
      </w:pPr>
      <w:r w:rsidRPr="003A3EE6">
        <w:rPr>
          <w:bCs/>
          <w:i/>
          <w:szCs w:val="20"/>
        </w:rPr>
        <w:t xml:space="preserve">Таблица </w:t>
      </w:r>
      <w:r w:rsidRPr="009D5B83">
        <w:rPr>
          <w:bCs/>
          <w:i/>
          <w:szCs w:val="20"/>
        </w:rPr>
        <w:t>22</w:t>
      </w:r>
    </w:p>
    <w:p w14:paraId="54084296" w14:textId="77777777" w:rsidR="003A3EE6" w:rsidRPr="003A3EE6" w:rsidRDefault="003A3EE6" w:rsidP="003A3EE6">
      <w:pPr>
        <w:spacing w:after="120"/>
        <w:jc w:val="center"/>
        <w:rPr>
          <w:b/>
        </w:rPr>
      </w:pPr>
      <w:r w:rsidRPr="003A3EE6">
        <w:rPr>
          <w:b/>
        </w:rPr>
        <w:t>Динамика расходов федерального бюджета по разделу «Здравоохранение» в 2020-2025 гг.</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4A0" w:firstRow="1" w:lastRow="0" w:firstColumn="1" w:lastColumn="0" w:noHBand="0" w:noVBand="1"/>
      </w:tblPr>
      <w:tblGrid>
        <w:gridCol w:w="2428"/>
        <w:gridCol w:w="1465"/>
        <w:gridCol w:w="1465"/>
        <w:gridCol w:w="1304"/>
        <w:gridCol w:w="1139"/>
        <w:gridCol w:w="1131"/>
        <w:gridCol w:w="1129"/>
      </w:tblGrid>
      <w:tr w:rsidR="003A3EE6" w:rsidRPr="003A3EE6" w14:paraId="5E4B5E4B" w14:textId="77777777" w:rsidTr="00133B80">
        <w:trPr>
          <w:cantSplit/>
          <w:trHeight w:val="468"/>
          <w:tblHeader/>
        </w:trPr>
        <w:tc>
          <w:tcPr>
            <w:tcW w:w="1207" w:type="pct"/>
            <w:vMerge w:val="restart"/>
            <w:vAlign w:val="center"/>
          </w:tcPr>
          <w:p w14:paraId="5BEF69C1" w14:textId="77777777" w:rsidR="003A3EE6" w:rsidRPr="003A3EE6" w:rsidRDefault="003A3EE6" w:rsidP="003A3EE6">
            <w:pPr>
              <w:spacing w:after="60"/>
              <w:jc w:val="center"/>
              <w:rPr>
                <w:b/>
                <w:sz w:val="20"/>
              </w:rPr>
            </w:pPr>
            <w:r w:rsidRPr="003A3EE6">
              <w:rPr>
                <w:b/>
                <w:sz w:val="20"/>
              </w:rPr>
              <w:t>Показатель</w:t>
            </w:r>
          </w:p>
        </w:tc>
        <w:tc>
          <w:tcPr>
            <w:tcW w:w="1456" w:type="pct"/>
            <w:gridSpan w:val="2"/>
            <w:vAlign w:val="center"/>
          </w:tcPr>
          <w:p w14:paraId="0AB8F539" w14:textId="77777777" w:rsidR="003A3EE6" w:rsidRPr="003A3EE6" w:rsidRDefault="003A3EE6" w:rsidP="003A3EE6">
            <w:pPr>
              <w:spacing w:after="60"/>
              <w:jc w:val="center"/>
              <w:rPr>
                <w:b/>
                <w:sz w:val="20"/>
              </w:rPr>
            </w:pPr>
            <w:r w:rsidRPr="003A3EE6">
              <w:rPr>
                <w:b/>
                <w:sz w:val="20"/>
              </w:rPr>
              <w:t>Кассовое исполнение</w:t>
            </w:r>
          </w:p>
        </w:tc>
        <w:tc>
          <w:tcPr>
            <w:tcW w:w="648" w:type="pct"/>
            <w:vAlign w:val="center"/>
            <w:hideMark/>
          </w:tcPr>
          <w:p w14:paraId="74A43298" w14:textId="77777777" w:rsidR="003A3EE6" w:rsidRPr="003A3EE6" w:rsidRDefault="003A3EE6" w:rsidP="003A3EE6">
            <w:pPr>
              <w:spacing w:after="60"/>
              <w:jc w:val="center"/>
              <w:rPr>
                <w:b/>
                <w:sz w:val="20"/>
              </w:rPr>
            </w:pPr>
            <w:r w:rsidRPr="003A3EE6">
              <w:rPr>
                <w:b/>
                <w:sz w:val="20"/>
              </w:rPr>
              <w:t>Оценка</w:t>
            </w:r>
          </w:p>
        </w:tc>
        <w:tc>
          <w:tcPr>
            <w:tcW w:w="1689" w:type="pct"/>
            <w:gridSpan w:val="3"/>
            <w:vAlign w:val="center"/>
            <w:hideMark/>
          </w:tcPr>
          <w:p w14:paraId="5A35D579" w14:textId="77777777" w:rsidR="003A3EE6" w:rsidRPr="003A3EE6" w:rsidRDefault="003A3EE6" w:rsidP="003A3EE6">
            <w:pPr>
              <w:spacing w:after="60"/>
              <w:jc w:val="center"/>
              <w:rPr>
                <w:b/>
                <w:sz w:val="20"/>
              </w:rPr>
            </w:pPr>
            <w:r w:rsidRPr="003A3EE6">
              <w:rPr>
                <w:b/>
                <w:sz w:val="20"/>
              </w:rPr>
              <w:t xml:space="preserve">Законопроект </w:t>
            </w:r>
          </w:p>
        </w:tc>
      </w:tr>
      <w:tr w:rsidR="003A3EE6" w:rsidRPr="003A3EE6" w14:paraId="2FEA34AE" w14:textId="77777777" w:rsidTr="00133B80">
        <w:trPr>
          <w:cantSplit/>
          <w:trHeight w:val="412"/>
          <w:tblHeader/>
        </w:trPr>
        <w:tc>
          <w:tcPr>
            <w:tcW w:w="1207" w:type="pct"/>
            <w:vMerge/>
            <w:vAlign w:val="center"/>
            <w:hideMark/>
          </w:tcPr>
          <w:p w14:paraId="0C6D4D33" w14:textId="77777777" w:rsidR="003A3EE6" w:rsidRPr="003A3EE6" w:rsidRDefault="003A3EE6" w:rsidP="003A3EE6">
            <w:pPr>
              <w:spacing w:after="60"/>
              <w:rPr>
                <w:b/>
                <w:sz w:val="20"/>
              </w:rPr>
            </w:pPr>
          </w:p>
        </w:tc>
        <w:tc>
          <w:tcPr>
            <w:tcW w:w="728" w:type="pct"/>
            <w:vAlign w:val="center"/>
          </w:tcPr>
          <w:p w14:paraId="58374ADC" w14:textId="11681D18" w:rsidR="003A3EE6" w:rsidRPr="003A3EE6" w:rsidRDefault="003A3EE6" w:rsidP="003A3EE6">
            <w:pPr>
              <w:spacing w:after="60"/>
              <w:jc w:val="center"/>
              <w:rPr>
                <w:b/>
                <w:sz w:val="20"/>
              </w:rPr>
            </w:pPr>
            <w:r w:rsidRPr="003A3EE6">
              <w:rPr>
                <w:b/>
                <w:sz w:val="20"/>
              </w:rPr>
              <w:t>2020</w:t>
            </w:r>
            <w:r w:rsidRPr="009D5B83">
              <w:rPr>
                <w:b/>
                <w:sz w:val="20"/>
              </w:rPr>
              <w:t xml:space="preserve"> г.</w:t>
            </w:r>
          </w:p>
        </w:tc>
        <w:tc>
          <w:tcPr>
            <w:tcW w:w="728" w:type="pct"/>
            <w:vAlign w:val="center"/>
            <w:hideMark/>
          </w:tcPr>
          <w:p w14:paraId="5C3FAFA3" w14:textId="7791FDA8" w:rsidR="003A3EE6" w:rsidRPr="003A3EE6" w:rsidRDefault="003A3EE6" w:rsidP="003A3EE6">
            <w:pPr>
              <w:spacing w:after="60"/>
              <w:jc w:val="center"/>
              <w:rPr>
                <w:b/>
                <w:sz w:val="20"/>
              </w:rPr>
            </w:pPr>
            <w:r w:rsidRPr="003A3EE6">
              <w:rPr>
                <w:b/>
                <w:sz w:val="20"/>
              </w:rPr>
              <w:t>2021</w:t>
            </w:r>
            <w:r w:rsidRPr="009D5B83">
              <w:rPr>
                <w:b/>
                <w:sz w:val="20"/>
              </w:rPr>
              <w:t xml:space="preserve"> г.</w:t>
            </w:r>
          </w:p>
        </w:tc>
        <w:tc>
          <w:tcPr>
            <w:tcW w:w="648" w:type="pct"/>
            <w:vAlign w:val="center"/>
            <w:hideMark/>
          </w:tcPr>
          <w:p w14:paraId="1241F8A1" w14:textId="1E196617" w:rsidR="003A3EE6" w:rsidRPr="003A3EE6" w:rsidRDefault="003A3EE6" w:rsidP="003A3EE6">
            <w:pPr>
              <w:spacing w:after="60"/>
              <w:jc w:val="center"/>
              <w:rPr>
                <w:b/>
                <w:sz w:val="20"/>
              </w:rPr>
            </w:pPr>
            <w:r w:rsidRPr="003A3EE6">
              <w:rPr>
                <w:b/>
                <w:sz w:val="20"/>
              </w:rPr>
              <w:t>2022</w:t>
            </w:r>
            <w:r w:rsidRPr="009D5B83">
              <w:rPr>
                <w:b/>
                <w:sz w:val="20"/>
              </w:rPr>
              <w:t xml:space="preserve"> г.</w:t>
            </w:r>
          </w:p>
        </w:tc>
        <w:tc>
          <w:tcPr>
            <w:tcW w:w="566" w:type="pct"/>
            <w:vAlign w:val="center"/>
            <w:hideMark/>
          </w:tcPr>
          <w:p w14:paraId="07EBE7FF" w14:textId="08795779" w:rsidR="003A3EE6" w:rsidRPr="003A3EE6" w:rsidRDefault="003A3EE6" w:rsidP="003A3EE6">
            <w:pPr>
              <w:spacing w:after="60"/>
              <w:jc w:val="center"/>
              <w:rPr>
                <w:b/>
                <w:sz w:val="20"/>
              </w:rPr>
            </w:pPr>
            <w:r w:rsidRPr="003A3EE6">
              <w:rPr>
                <w:b/>
                <w:sz w:val="20"/>
              </w:rPr>
              <w:t>2023</w:t>
            </w:r>
            <w:r w:rsidRPr="009D5B83">
              <w:rPr>
                <w:b/>
                <w:sz w:val="20"/>
              </w:rPr>
              <w:t xml:space="preserve"> г.</w:t>
            </w:r>
          </w:p>
        </w:tc>
        <w:tc>
          <w:tcPr>
            <w:tcW w:w="562" w:type="pct"/>
            <w:vAlign w:val="center"/>
            <w:hideMark/>
          </w:tcPr>
          <w:p w14:paraId="002FDB43" w14:textId="2759551A" w:rsidR="003A3EE6" w:rsidRPr="003A3EE6" w:rsidRDefault="003A3EE6" w:rsidP="003A3EE6">
            <w:pPr>
              <w:spacing w:after="60"/>
              <w:jc w:val="center"/>
              <w:rPr>
                <w:b/>
                <w:sz w:val="20"/>
              </w:rPr>
            </w:pPr>
            <w:r w:rsidRPr="003A3EE6">
              <w:rPr>
                <w:b/>
                <w:sz w:val="20"/>
              </w:rPr>
              <w:t>2024</w:t>
            </w:r>
            <w:r w:rsidRPr="009D5B83">
              <w:rPr>
                <w:b/>
                <w:sz w:val="20"/>
              </w:rPr>
              <w:t xml:space="preserve"> г.</w:t>
            </w:r>
          </w:p>
        </w:tc>
        <w:tc>
          <w:tcPr>
            <w:tcW w:w="561" w:type="pct"/>
            <w:vAlign w:val="center"/>
            <w:hideMark/>
          </w:tcPr>
          <w:p w14:paraId="46FB409A" w14:textId="1703322D" w:rsidR="003A3EE6" w:rsidRPr="003A3EE6" w:rsidRDefault="003A3EE6" w:rsidP="003A3EE6">
            <w:pPr>
              <w:spacing w:after="60"/>
              <w:jc w:val="center"/>
              <w:rPr>
                <w:b/>
                <w:sz w:val="20"/>
              </w:rPr>
            </w:pPr>
            <w:r w:rsidRPr="003A3EE6">
              <w:rPr>
                <w:b/>
                <w:sz w:val="20"/>
              </w:rPr>
              <w:t>2025</w:t>
            </w:r>
            <w:r w:rsidRPr="009D5B83">
              <w:rPr>
                <w:b/>
                <w:sz w:val="20"/>
              </w:rPr>
              <w:t xml:space="preserve"> г.</w:t>
            </w:r>
          </w:p>
        </w:tc>
      </w:tr>
      <w:tr w:rsidR="003A3EE6" w:rsidRPr="003A3EE6" w14:paraId="75F86E78" w14:textId="77777777" w:rsidTr="00133B80">
        <w:trPr>
          <w:trHeight w:val="220"/>
        </w:trPr>
        <w:tc>
          <w:tcPr>
            <w:tcW w:w="1207" w:type="pct"/>
            <w:vAlign w:val="center"/>
            <w:hideMark/>
          </w:tcPr>
          <w:p w14:paraId="46F3CC2E" w14:textId="77777777" w:rsidR="003A3EE6" w:rsidRPr="003A3EE6" w:rsidRDefault="003A3EE6" w:rsidP="003A3EE6">
            <w:pPr>
              <w:spacing w:after="60"/>
              <w:rPr>
                <w:bCs/>
                <w:sz w:val="20"/>
              </w:rPr>
            </w:pPr>
            <w:r w:rsidRPr="003A3EE6">
              <w:rPr>
                <w:bCs/>
                <w:sz w:val="20"/>
              </w:rPr>
              <w:t xml:space="preserve">Расходы, </w:t>
            </w:r>
            <w:proofErr w:type="gramStart"/>
            <w:r w:rsidRPr="003A3EE6">
              <w:rPr>
                <w:bCs/>
                <w:sz w:val="20"/>
              </w:rPr>
              <w:t>млрд</w:t>
            </w:r>
            <w:proofErr w:type="gramEnd"/>
            <w:r w:rsidRPr="003A3EE6">
              <w:rPr>
                <w:bCs/>
                <w:sz w:val="20"/>
              </w:rPr>
              <w:t xml:space="preserve"> руб.</w:t>
            </w:r>
          </w:p>
        </w:tc>
        <w:tc>
          <w:tcPr>
            <w:tcW w:w="728" w:type="pct"/>
            <w:vAlign w:val="center"/>
          </w:tcPr>
          <w:p w14:paraId="11ECD9CE" w14:textId="77777777" w:rsidR="003A3EE6" w:rsidRPr="003A3EE6" w:rsidRDefault="003A3EE6" w:rsidP="003A3EE6">
            <w:pPr>
              <w:spacing w:after="60"/>
              <w:jc w:val="center"/>
              <w:rPr>
                <w:sz w:val="20"/>
                <w:szCs w:val="20"/>
              </w:rPr>
            </w:pPr>
            <w:r w:rsidRPr="003A3EE6">
              <w:rPr>
                <w:bCs/>
                <w:sz w:val="20"/>
                <w:szCs w:val="20"/>
              </w:rPr>
              <w:t>1 334,4</w:t>
            </w:r>
          </w:p>
        </w:tc>
        <w:tc>
          <w:tcPr>
            <w:tcW w:w="728" w:type="pct"/>
            <w:vAlign w:val="center"/>
          </w:tcPr>
          <w:p w14:paraId="466C6630" w14:textId="77777777" w:rsidR="003A3EE6" w:rsidRPr="003A3EE6" w:rsidRDefault="003A3EE6" w:rsidP="003A3EE6">
            <w:pPr>
              <w:spacing w:after="60"/>
              <w:jc w:val="center"/>
              <w:rPr>
                <w:bCs/>
                <w:sz w:val="20"/>
                <w:szCs w:val="20"/>
              </w:rPr>
            </w:pPr>
            <w:r w:rsidRPr="003A3EE6">
              <w:rPr>
                <w:bCs/>
                <w:sz w:val="20"/>
                <w:szCs w:val="20"/>
              </w:rPr>
              <w:t>1 473,9</w:t>
            </w:r>
          </w:p>
        </w:tc>
        <w:tc>
          <w:tcPr>
            <w:tcW w:w="648" w:type="pct"/>
            <w:shd w:val="clear" w:color="auto" w:fill="auto"/>
            <w:vAlign w:val="center"/>
          </w:tcPr>
          <w:p w14:paraId="47991BAD" w14:textId="77777777" w:rsidR="003A3EE6" w:rsidRPr="003A3EE6" w:rsidRDefault="003A3EE6" w:rsidP="003A3EE6">
            <w:pPr>
              <w:spacing w:after="60"/>
              <w:jc w:val="center"/>
              <w:rPr>
                <w:bCs/>
                <w:sz w:val="20"/>
                <w:szCs w:val="20"/>
              </w:rPr>
            </w:pPr>
            <w:r w:rsidRPr="003A3EE6">
              <w:rPr>
                <w:bCs/>
                <w:sz w:val="20"/>
                <w:szCs w:val="20"/>
              </w:rPr>
              <w:t>1 496,6</w:t>
            </w:r>
          </w:p>
        </w:tc>
        <w:tc>
          <w:tcPr>
            <w:tcW w:w="566" w:type="pct"/>
            <w:shd w:val="clear" w:color="auto" w:fill="auto"/>
            <w:vAlign w:val="center"/>
          </w:tcPr>
          <w:p w14:paraId="57C78653" w14:textId="77777777" w:rsidR="003A3EE6" w:rsidRPr="003A3EE6" w:rsidRDefault="003A3EE6" w:rsidP="003A3EE6">
            <w:pPr>
              <w:spacing w:after="60"/>
              <w:jc w:val="center"/>
              <w:rPr>
                <w:bCs/>
                <w:sz w:val="20"/>
                <w:szCs w:val="20"/>
              </w:rPr>
            </w:pPr>
            <w:r w:rsidRPr="003A3EE6">
              <w:rPr>
                <w:bCs/>
                <w:sz w:val="20"/>
                <w:szCs w:val="20"/>
              </w:rPr>
              <w:t>1 469,4</w:t>
            </w:r>
          </w:p>
        </w:tc>
        <w:tc>
          <w:tcPr>
            <w:tcW w:w="562" w:type="pct"/>
            <w:vAlign w:val="center"/>
          </w:tcPr>
          <w:p w14:paraId="1C790D20" w14:textId="77777777" w:rsidR="003A3EE6" w:rsidRPr="003A3EE6" w:rsidRDefault="003A3EE6" w:rsidP="003A3EE6">
            <w:pPr>
              <w:spacing w:after="60"/>
              <w:jc w:val="center"/>
              <w:rPr>
                <w:bCs/>
                <w:sz w:val="20"/>
                <w:szCs w:val="20"/>
              </w:rPr>
            </w:pPr>
            <w:r w:rsidRPr="003A3EE6">
              <w:rPr>
                <w:bCs/>
                <w:sz w:val="20"/>
                <w:szCs w:val="20"/>
              </w:rPr>
              <w:t>1 493,2</w:t>
            </w:r>
          </w:p>
        </w:tc>
        <w:tc>
          <w:tcPr>
            <w:tcW w:w="561" w:type="pct"/>
            <w:shd w:val="clear" w:color="auto" w:fill="auto"/>
            <w:vAlign w:val="center"/>
          </w:tcPr>
          <w:p w14:paraId="6AF93879" w14:textId="77777777" w:rsidR="003A3EE6" w:rsidRPr="003A3EE6" w:rsidRDefault="003A3EE6" w:rsidP="003A3EE6">
            <w:pPr>
              <w:spacing w:after="60"/>
              <w:jc w:val="center"/>
              <w:rPr>
                <w:bCs/>
                <w:sz w:val="20"/>
                <w:szCs w:val="20"/>
              </w:rPr>
            </w:pPr>
            <w:r w:rsidRPr="003A3EE6">
              <w:rPr>
                <w:bCs/>
                <w:sz w:val="20"/>
                <w:szCs w:val="20"/>
              </w:rPr>
              <w:t>1 510,3</w:t>
            </w:r>
          </w:p>
        </w:tc>
      </w:tr>
      <w:tr w:rsidR="003A3EE6" w:rsidRPr="009D5B83" w14:paraId="269E0D20" w14:textId="77777777" w:rsidTr="00133B80">
        <w:trPr>
          <w:trHeight w:val="92"/>
        </w:trPr>
        <w:tc>
          <w:tcPr>
            <w:tcW w:w="1207" w:type="pct"/>
            <w:vAlign w:val="center"/>
            <w:hideMark/>
          </w:tcPr>
          <w:p w14:paraId="56B2DCD1" w14:textId="77777777" w:rsidR="003A3EE6" w:rsidRPr="009D5B83" w:rsidRDefault="003A3EE6" w:rsidP="003A3EE6">
            <w:pPr>
              <w:spacing w:after="60"/>
              <w:rPr>
                <w:i/>
                <w:iCs/>
                <w:sz w:val="20"/>
              </w:rPr>
            </w:pPr>
            <w:r w:rsidRPr="0055726F">
              <w:rPr>
                <w:i/>
                <w:iCs/>
                <w:sz w:val="20"/>
              </w:rPr>
              <w:t>Расходы, % ВВП</w:t>
            </w:r>
          </w:p>
        </w:tc>
        <w:tc>
          <w:tcPr>
            <w:tcW w:w="728" w:type="pct"/>
            <w:vAlign w:val="center"/>
          </w:tcPr>
          <w:p w14:paraId="26CE1512" w14:textId="77777777" w:rsidR="003A3EE6" w:rsidRPr="0055726F" w:rsidRDefault="003A3EE6" w:rsidP="003A3EE6">
            <w:pPr>
              <w:spacing w:after="60"/>
              <w:jc w:val="center"/>
              <w:rPr>
                <w:i/>
                <w:iCs/>
                <w:sz w:val="20"/>
                <w:szCs w:val="20"/>
              </w:rPr>
            </w:pPr>
            <w:r w:rsidRPr="0055726F">
              <w:rPr>
                <w:i/>
                <w:iCs/>
                <w:sz w:val="20"/>
                <w:szCs w:val="20"/>
              </w:rPr>
              <w:t>1,2</w:t>
            </w:r>
          </w:p>
        </w:tc>
        <w:tc>
          <w:tcPr>
            <w:tcW w:w="728" w:type="pct"/>
            <w:vAlign w:val="center"/>
          </w:tcPr>
          <w:p w14:paraId="4B0B1088" w14:textId="77777777" w:rsidR="003A3EE6" w:rsidRPr="0055726F" w:rsidRDefault="003A3EE6" w:rsidP="003A3EE6">
            <w:pPr>
              <w:spacing w:after="60"/>
              <w:jc w:val="center"/>
              <w:rPr>
                <w:i/>
                <w:iCs/>
                <w:sz w:val="20"/>
                <w:szCs w:val="20"/>
                <w:lang w:val="en-US"/>
              </w:rPr>
            </w:pPr>
            <w:r w:rsidRPr="0055726F">
              <w:rPr>
                <w:i/>
                <w:iCs/>
                <w:sz w:val="20"/>
                <w:szCs w:val="20"/>
                <w:lang w:val="en-US"/>
              </w:rPr>
              <w:t>1,1</w:t>
            </w:r>
          </w:p>
        </w:tc>
        <w:tc>
          <w:tcPr>
            <w:tcW w:w="648" w:type="pct"/>
            <w:vAlign w:val="center"/>
          </w:tcPr>
          <w:p w14:paraId="028605B4" w14:textId="77777777" w:rsidR="003A3EE6" w:rsidRPr="0055726F" w:rsidRDefault="003A3EE6" w:rsidP="003A3EE6">
            <w:pPr>
              <w:spacing w:after="60"/>
              <w:jc w:val="center"/>
              <w:rPr>
                <w:i/>
                <w:iCs/>
                <w:sz w:val="20"/>
                <w:szCs w:val="20"/>
              </w:rPr>
            </w:pPr>
            <w:r w:rsidRPr="0055726F">
              <w:rPr>
                <w:i/>
                <w:iCs/>
                <w:sz w:val="20"/>
                <w:szCs w:val="20"/>
              </w:rPr>
              <w:t>1,0</w:t>
            </w:r>
          </w:p>
        </w:tc>
        <w:tc>
          <w:tcPr>
            <w:tcW w:w="566" w:type="pct"/>
            <w:vAlign w:val="center"/>
          </w:tcPr>
          <w:p w14:paraId="6A958B20" w14:textId="77777777" w:rsidR="003A3EE6" w:rsidRPr="0055726F" w:rsidRDefault="003A3EE6" w:rsidP="003A3EE6">
            <w:pPr>
              <w:spacing w:after="60"/>
              <w:jc w:val="center"/>
              <w:rPr>
                <w:i/>
                <w:iCs/>
                <w:sz w:val="20"/>
                <w:szCs w:val="20"/>
              </w:rPr>
            </w:pPr>
            <w:r w:rsidRPr="0055726F">
              <w:rPr>
                <w:i/>
                <w:iCs/>
                <w:sz w:val="20"/>
                <w:szCs w:val="20"/>
              </w:rPr>
              <w:t>1,0</w:t>
            </w:r>
          </w:p>
        </w:tc>
        <w:tc>
          <w:tcPr>
            <w:tcW w:w="562" w:type="pct"/>
            <w:vAlign w:val="center"/>
          </w:tcPr>
          <w:p w14:paraId="06074870" w14:textId="77777777" w:rsidR="003A3EE6" w:rsidRPr="0055726F" w:rsidRDefault="003A3EE6" w:rsidP="003A3EE6">
            <w:pPr>
              <w:spacing w:after="60"/>
              <w:jc w:val="center"/>
              <w:rPr>
                <w:i/>
                <w:iCs/>
                <w:sz w:val="20"/>
                <w:szCs w:val="20"/>
              </w:rPr>
            </w:pPr>
            <w:r w:rsidRPr="0055726F">
              <w:rPr>
                <w:i/>
                <w:iCs/>
                <w:sz w:val="20"/>
                <w:szCs w:val="20"/>
              </w:rPr>
              <w:t>0,9</w:t>
            </w:r>
          </w:p>
        </w:tc>
        <w:tc>
          <w:tcPr>
            <w:tcW w:w="561" w:type="pct"/>
            <w:vAlign w:val="center"/>
          </w:tcPr>
          <w:p w14:paraId="607293D4" w14:textId="77777777" w:rsidR="003A3EE6" w:rsidRPr="0055726F" w:rsidRDefault="003A3EE6" w:rsidP="003A3EE6">
            <w:pPr>
              <w:spacing w:after="60"/>
              <w:jc w:val="center"/>
              <w:rPr>
                <w:i/>
                <w:iCs/>
                <w:sz w:val="20"/>
                <w:szCs w:val="20"/>
              </w:rPr>
            </w:pPr>
            <w:r w:rsidRPr="0055726F">
              <w:rPr>
                <w:i/>
                <w:iCs/>
                <w:sz w:val="20"/>
                <w:szCs w:val="20"/>
              </w:rPr>
              <w:t>0,9</w:t>
            </w:r>
          </w:p>
        </w:tc>
      </w:tr>
      <w:tr w:rsidR="003A3EE6" w:rsidRPr="009D5B83" w14:paraId="43F9B76F" w14:textId="77777777" w:rsidTr="00133B80">
        <w:trPr>
          <w:trHeight w:val="92"/>
        </w:trPr>
        <w:tc>
          <w:tcPr>
            <w:tcW w:w="1207" w:type="pct"/>
            <w:vAlign w:val="center"/>
          </w:tcPr>
          <w:p w14:paraId="186A47B0" w14:textId="77777777" w:rsidR="003A3EE6" w:rsidRPr="0055726F" w:rsidRDefault="003A3EE6" w:rsidP="003A3EE6">
            <w:pPr>
              <w:spacing w:after="60"/>
              <w:rPr>
                <w:i/>
                <w:iCs/>
                <w:sz w:val="20"/>
              </w:rPr>
            </w:pPr>
            <w:r w:rsidRPr="0055726F">
              <w:rPr>
                <w:i/>
                <w:iCs/>
                <w:sz w:val="20"/>
              </w:rPr>
              <w:t>Расходы, % от общих расходов</w:t>
            </w:r>
          </w:p>
        </w:tc>
        <w:tc>
          <w:tcPr>
            <w:tcW w:w="728" w:type="pct"/>
            <w:vAlign w:val="center"/>
          </w:tcPr>
          <w:p w14:paraId="404CF438" w14:textId="77777777" w:rsidR="003A3EE6" w:rsidRPr="0055726F" w:rsidRDefault="003A3EE6" w:rsidP="003A3EE6">
            <w:pPr>
              <w:spacing w:after="60"/>
              <w:jc w:val="center"/>
              <w:rPr>
                <w:i/>
                <w:iCs/>
                <w:sz w:val="20"/>
                <w:szCs w:val="20"/>
              </w:rPr>
            </w:pPr>
            <w:r w:rsidRPr="0055726F">
              <w:rPr>
                <w:i/>
                <w:iCs/>
                <w:sz w:val="20"/>
                <w:szCs w:val="20"/>
              </w:rPr>
              <w:t>6,7</w:t>
            </w:r>
          </w:p>
        </w:tc>
        <w:tc>
          <w:tcPr>
            <w:tcW w:w="728" w:type="pct"/>
            <w:vAlign w:val="center"/>
          </w:tcPr>
          <w:p w14:paraId="6341D48B" w14:textId="77777777" w:rsidR="003A3EE6" w:rsidRPr="0055726F" w:rsidRDefault="003A3EE6" w:rsidP="003A3EE6">
            <w:pPr>
              <w:spacing w:after="60"/>
              <w:jc w:val="center"/>
              <w:rPr>
                <w:i/>
                <w:iCs/>
                <w:sz w:val="20"/>
                <w:szCs w:val="20"/>
              </w:rPr>
            </w:pPr>
            <w:r w:rsidRPr="0055726F">
              <w:rPr>
                <w:i/>
                <w:iCs/>
                <w:sz w:val="20"/>
                <w:szCs w:val="20"/>
              </w:rPr>
              <w:t>6,0</w:t>
            </w:r>
          </w:p>
        </w:tc>
        <w:tc>
          <w:tcPr>
            <w:tcW w:w="648" w:type="pct"/>
            <w:vAlign w:val="center"/>
          </w:tcPr>
          <w:p w14:paraId="6F83CE48" w14:textId="77777777" w:rsidR="003A3EE6" w:rsidRPr="0055726F" w:rsidRDefault="003A3EE6" w:rsidP="003A3EE6">
            <w:pPr>
              <w:spacing w:after="60"/>
              <w:jc w:val="center"/>
              <w:rPr>
                <w:i/>
                <w:iCs/>
                <w:sz w:val="20"/>
                <w:szCs w:val="20"/>
              </w:rPr>
            </w:pPr>
            <w:r w:rsidRPr="0055726F">
              <w:rPr>
                <w:i/>
                <w:iCs/>
                <w:sz w:val="20"/>
                <w:szCs w:val="20"/>
              </w:rPr>
              <w:t>5,6</w:t>
            </w:r>
          </w:p>
        </w:tc>
        <w:tc>
          <w:tcPr>
            <w:tcW w:w="566" w:type="pct"/>
            <w:vAlign w:val="center"/>
          </w:tcPr>
          <w:p w14:paraId="2E8D8EAD" w14:textId="77777777" w:rsidR="003A3EE6" w:rsidRPr="0055726F" w:rsidRDefault="003A3EE6" w:rsidP="003A3EE6">
            <w:pPr>
              <w:spacing w:after="60"/>
              <w:jc w:val="center"/>
              <w:rPr>
                <w:i/>
                <w:iCs/>
                <w:sz w:val="20"/>
                <w:szCs w:val="20"/>
              </w:rPr>
            </w:pPr>
            <w:r w:rsidRPr="0055726F">
              <w:rPr>
                <w:i/>
                <w:iCs/>
                <w:sz w:val="20"/>
                <w:szCs w:val="20"/>
              </w:rPr>
              <w:t>5,1</w:t>
            </w:r>
          </w:p>
        </w:tc>
        <w:tc>
          <w:tcPr>
            <w:tcW w:w="562" w:type="pct"/>
            <w:vAlign w:val="center"/>
          </w:tcPr>
          <w:p w14:paraId="07A759B1" w14:textId="77777777" w:rsidR="003A3EE6" w:rsidRPr="0055726F" w:rsidRDefault="003A3EE6" w:rsidP="003A3EE6">
            <w:pPr>
              <w:spacing w:after="60"/>
              <w:jc w:val="center"/>
              <w:rPr>
                <w:i/>
                <w:iCs/>
                <w:sz w:val="20"/>
                <w:szCs w:val="20"/>
              </w:rPr>
            </w:pPr>
            <w:r w:rsidRPr="0055726F">
              <w:rPr>
                <w:i/>
                <w:iCs/>
                <w:sz w:val="20"/>
                <w:szCs w:val="20"/>
              </w:rPr>
              <w:t>5,2</w:t>
            </w:r>
          </w:p>
        </w:tc>
        <w:tc>
          <w:tcPr>
            <w:tcW w:w="561" w:type="pct"/>
            <w:vAlign w:val="center"/>
          </w:tcPr>
          <w:p w14:paraId="3A28A2C8" w14:textId="77777777" w:rsidR="003A3EE6" w:rsidRPr="0055726F" w:rsidRDefault="003A3EE6" w:rsidP="003A3EE6">
            <w:pPr>
              <w:spacing w:after="60"/>
              <w:jc w:val="center"/>
              <w:rPr>
                <w:i/>
                <w:iCs/>
                <w:sz w:val="20"/>
                <w:szCs w:val="20"/>
              </w:rPr>
            </w:pPr>
            <w:r w:rsidRPr="0055726F">
              <w:rPr>
                <w:i/>
                <w:iCs/>
                <w:sz w:val="20"/>
                <w:szCs w:val="20"/>
              </w:rPr>
              <w:t>5,4</w:t>
            </w:r>
          </w:p>
        </w:tc>
      </w:tr>
    </w:tbl>
    <w:p w14:paraId="5DFF02ED" w14:textId="034E575A" w:rsidR="003A3EE6" w:rsidRPr="003A3EE6" w:rsidRDefault="003A3EE6" w:rsidP="003A3EE6">
      <w:pPr>
        <w:keepLines/>
        <w:spacing w:after="120"/>
        <w:ind w:firstLine="708"/>
        <w:jc w:val="both"/>
        <w:rPr>
          <w:rFonts w:eastAsia="Calibri"/>
          <w:sz w:val="20"/>
        </w:rPr>
      </w:pPr>
      <w:r w:rsidRPr="003A3EE6">
        <w:rPr>
          <w:i/>
          <w:sz w:val="20"/>
        </w:rPr>
        <w:t>Источник:</w:t>
      </w:r>
      <w:r w:rsidRPr="003A3EE6">
        <w:rPr>
          <w:sz w:val="20"/>
        </w:rPr>
        <w:t xml:space="preserve"> Пояснительная записка, </w:t>
      </w:r>
      <w:r w:rsidRPr="009D5B83">
        <w:rPr>
          <w:sz w:val="20"/>
        </w:rPr>
        <w:t>Федеральный закон «Об исполнении федерального бюджета за 2020 год» от 25.10.2021 N 361-ФЗ</w:t>
      </w:r>
      <w:r w:rsidRPr="003A3EE6">
        <w:rPr>
          <w:sz w:val="20"/>
        </w:rPr>
        <w:t xml:space="preserve">, </w:t>
      </w:r>
      <w:r w:rsidRPr="009D5B83">
        <w:rPr>
          <w:sz w:val="20"/>
        </w:rPr>
        <w:t>Федеральный закон «Об исполнении федерального бюджета за 2021 год» от 14.07.2022 N 249-ФЗ</w:t>
      </w:r>
      <w:r w:rsidRPr="003A3EE6">
        <w:rPr>
          <w:sz w:val="20"/>
        </w:rPr>
        <w:t xml:space="preserve">, </w:t>
      </w:r>
      <w:r w:rsidR="003D6A44" w:rsidRPr="009D5B83">
        <w:rPr>
          <w:sz w:val="20"/>
        </w:rPr>
        <w:t>СБР</w:t>
      </w:r>
      <w:r w:rsidRPr="003A3EE6">
        <w:rPr>
          <w:sz w:val="20"/>
        </w:rPr>
        <w:t>, расчеты авторов.</w:t>
      </w:r>
    </w:p>
    <w:p w14:paraId="1B2023A1" w14:textId="0451B11A" w:rsidR="003A3EE6" w:rsidRPr="00E103B9" w:rsidRDefault="003A3EE6" w:rsidP="003A3EE6">
      <w:pPr>
        <w:spacing w:after="60"/>
        <w:ind w:firstLine="709"/>
        <w:jc w:val="both"/>
        <w:rPr>
          <w:sz w:val="28"/>
        </w:rPr>
      </w:pPr>
      <w:r w:rsidRPr="00E103B9">
        <w:rPr>
          <w:sz w:val="28"/>
        </w:rPr>
        <w:lastRenderedPageBreak/>
        <w:t>В то же время Законопроект предусматривает значительное увеличение расходов на здравоохранение по сравнению со значениями, утвержденными Законом № 390-ФЗ и бюджетным прогнозом (</w:t>
      </w:r>
      <w:r w:rsidRPr="00E103B9">
        <w:rPr>
          <w:i/>
          <w:iCs/>
          <w:sz w:val="28"/>
        </w:rPr>
        <w:t>таблица 23</w:t>
      </w:r>
      <w:r w:rsidRPr="00E103B9">
        <w:rPr>
          <w:sz w:val="28"/>
        </w:rPr>
        <w:t>).</w:t>
      </w:r>
    </w:p>
    <w:p w14:paraId="3B038FAF" w14:textId="5F51B099" w:rsidR="003A3EE6" w:rsidRPr="003A3EE6" w:rsidRDefault="003A3EE6" w:rsidP="003A3EE6">
      <w:pPr>
        <w:spacing w:after="60"/>
        <w:ind w:firstLine="709"/>
        <w:jc w:val="right"/>
        <w:rPr>
          <w:i/>
          <w:iCs/>
        </w:rPr>
      </w:pPr>
      <w:r w:rsidRPr="003A3EE6">
        <w:rPr>
          <w:i/>
          <w:iCs/>
        </w:rPr>
        <w:t>Таблица</w:t>
      </w:r>
      <w:r w:rsidRPr="009D5B83">
        <w:rPr>
          <w:i/>
          <w:iCs/>
        </w:rPr>
        <w:t xml:space="preserve"> 23</w:t>
      </w:r>
    </w:p>
    <w:p w14:paraId="12AC0F42" w14:textId="77777777" w:rsidR="003A3EE6" w:rsidRPr="003A3EE6" w:rsidRDefault="003A3EE6" w:rsidP="003A3EE6">
      <w:pPr>
        <w:spacing w:after="60"/>
        <w:jc w:val="center"/>
        <w:rPr>
          <w:b/>
          <w:bCs/>
        </w:rPr>
      </w:pPr>
      <w:r w:rsidRPr="003A3EE6">
        <w:rPr>
          <w:b/>
          <w:bCs/>
        </w:rPr>
        <w:t>Изменения плановых расходов федерального бюджета по разделу «Здравоохранение» в 2022-2025 гг.</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87"/>
        <w:gridCol w:w="1429"/>
        <w:gridCol w:w="1163"/>
        <w:gridCol w:w="1281"/>
      </w:tblGrid>
      <w:tr w:rsidR="003A3EE6" w:rsidRPr="003A3EE6" w14:paraId="4FC4AB06" w14:textId="77777777" w:rsidTr="0055726F">
        <w:trPr>
          <w:trHeight w:val="360"/>
          <w:jc w:val="center"/>
        </w:trPr>
        <w:tc>
          <w:tcPr>
            <w:tcW w:w="4111" w:type="dxa"/>
            <w:shd w:val="clear" w:color="auto" w:fill="auto"/>
            <w:vAlign w:val="center"/>
            <w:hideMark/>
          </w:tcPr>
          <w:p w14:paraId="6DD212EB" w14:textId="6F79C1A7" w:rsidR="003A3EE6" w:rsidRPr="003A3EE6" w:rsidRDefault="003A3EE6" w:rsidP="003A3EE6">
            <w:pPr>
              <w:jc w:val="center"/>
              <w:rPr>
                <w:b/>
                <w:bCs/>
                <w:color w:val="000000"/>
                <w:sz w:val="20"/>
                <w:szCs w:val="20"/>
              </w:rPr>
            </w:pPr>
            <w:r w:rsidRPr="009D5B83">
              <w:rPr>
                <w:b/>
                <w:bCs/>
                <w:color w:val="000000"/>
                <w:sz w:val="20"/>
                <w:szCs w:val="20"/>
              </w:rPr>
              <w:t>Показатель</w:t>
            </w:r>
          </w:p>
        </w:tc>
        <w:tc>
          <w:tcPr>
            <w:tcW w:w="1187" w:type="dxa"/>
            <w:shd w:val="clear" w:color="auto" w:fill="auto"/>
            <w:vAlign w:val="center"/>
            <w:hideMark/>
          </w:tcPr>
          <w:p w14:paraId="2F2CA733" w14:textId="225C5603" w:rsidR="003A3EE6" w:rsidRPr="003A3EE6" w:rsidRDefault="003A3EE6" w:rsidP="003A3EE6">
            <w:pPr>
              <w:jc w:val="center"/>
              <w:rPr>
                <w:b/>
                <w:bCs/>
                <w:color w:val="000000"/>
                <w:sz w:val="20"/>
                <w:szCs w:val="20"/>
              </w:rPr>
            </w:pPr>
            <w:r w:rsidRPr="003A3EE6">
              <w:rPr>
                <w:b/>
                <w:bCs/>
                <w:color w:val="000000"/>
                <w:sz w:val="20"/>
                <w:szCs w:val="20"/>
              </w:rPr>
              <w:t>2022</w:t>
            </w:r>
            <w:r w:rsidRPr="009D5B83">
              <w:rPr>
                <w:b/>
                <w:bCs/>
                <w:color w:val="000000"/>
                <w:sz w:val="20"/>
                <w:szCs w:val="20"/>
              </w:rPr>
              <w:t xml:space="preserve"> г.</w:t>
            </w:r>
          </w:p>
        </w:tc>
        <w:tc>
          <w:tcPr>
            <w:tcW w:w="1429" w:type="dxa"/>
            <w:shd w:val="clear" w:color="auto" w:fill="auto"/>
            <w:vAlign w:val="center"/>
            <w:hideMark/>
          </w:tcPr>
          <w:p w14:paraId="5F1723AC" w14:textId="118ACA3D" w:rsidR="003A3EE6" w:rsidRPr="003A3EE6" w:rsidRDefault="003A3EE6" w:rsidP="003A3EE6">
            <w:pPr>
              <w:jc w:val="center"/>
              <w:rPr>
                <w:b/>
                <w:bCs/>
                <w:color w:val="000000"/>
                <w:sz w:val="20"/>
                <w:szCs w:val="20"/>
              </w:rPr>
            </w:pPr>
            <w:r w:rsidRPr="003A3EE6">
              <w:rPr>
                <w:b/>
                <w:bCs/>
                <w:color w:val="000000"/>
                <w:sz w:val="20"/>
                <w:szCs w:val="20"/>
              </w:rPr>
              <w:t>2023</w:t>
            </w:r>
            <w:r w:rsidRPr="009D5B83">
              <w:rPr>
                <w:b/>
                <w:bCs/>
                <w:color w:val="000000"/>
                <w:sz w:val="20"/>
                <w:szCs w:val="20"/>
              </w:rPr>
              <w:t xml:space="preserve"> г.</w:t>
            </w:r>
          </w:p>
        </w:tc>
        <w:tc>
          <w:tcPr>
            <w:tcW w:w="1163" w:type="dxa"/>
            <w:shd w:val="clear" w:color="auto" w:fill="auto"/>
            <w:vAlign w:val="center"/>
            <w:hideMark/>
          </w:tcPr>
          <w:p w14:paraId="15C056A7" w14:textId="5CC9EC22" w:rsidR="003A3EE6" w:rsidRPr="003A3EE6" w:rsidRDefault="003A3EE6" w:rsidP="003A3EE6">
            <w:pPr>
              <w:jc w:val="center"/>
              <w:rPr>
                <w:b/>
                <w:bCs/>
                <w:color w:val="000000"/>
                <w:sz w:val="20"/>
                <w:szCs w:val="20"/>
              </w:rPr>
            </w:pPr>
            <w:r w:rsidRPr="003A3EE6">
              <w:rPr>
                <w:b/>
                <w:bCs/>
                <w:color w:val="000000"/>
                <w:sz w:val="20"/>
                <w:szCs w:val="20"/>
              </w:rPr>
              <w:t>2024</w:t>
            </w:r>
            <w:r w:rsidRPr="009D5B83">
              <w:rPr>
                <w:b/>
                <w:bCs/>
                <w:color w:val="000000"/>
                <w:sz w:val="20"/>
                <w:szCs w:val="20"/>
              </w:rPr>
              <w:t xml:space="preserve"> г.</w:t>
            </w:r>
          </w:p>
        </w:tc>
        <w:tc>
          <w:tcPr>
            <w:tcW w:w="1281" w:type="dxa"/>
            <w:shd w:val="clear" w:color="auto" w:fill="auto"/>
            <w:vAlign w:val="center"/>
            <w:hideMark/>
          </w:tcPr>
          <w:p w14:paraId="0EC8FDFE" w14:textId="29A27C1A" w:rsidR="003A3EE6" w:rsidRPr="003A3EE6" w:rsidRDefault="003A3EE6" w:rsidP="003A3EE6">
            <w:pPr>
              <w:jc w:val="center"/>
              <w:rPr>
                <w:b/>
                <w:bCs/>
                <w:color w:val="000000"/>
                <w:sz w:val="20"/>
                <w:szCs w:val="20"/>
              </w:rPr>
            </w:pPr>
            <w:r w:rsidRPr="003A3EE6">
              <w:rPr>
                <w:b/>
                <w:bCs/>
                <w:color w:val="000000"/>
                <w:sz w:val="20"/>
                <w:szCs w:val="20"/>
              </w:rPr>
              <w:t>2025</w:t>
            </w:r>
            <w:r w:rsidRPr="009D5B83">
              <w:rPr>
                <w:b/>
                <w:bCs/>
                <w:color w:val="000000"/>
                <w:sz w:val="20"/>
                <w:szCs w:val="20"/>
              </w:rPr>
              <w:t xml:space="preserve"> г.</w:t>
            </w:r>
          </w:p>
        </w:tc>
      </w:tr>
      <w:tr w:rsidR="003A3EE6" w:rsidRPr="003A3EE6" w14:paraId="7346A371" w14:textId="77777777" w:rsidTr="0055726F">
        <w:trPr>
          <w:trHeight w:val="360"/>
          <w:jc w:val="center"/>
        </w:trPr>
        <w:tc>
          <w:tcPr>
            <w:tcW w:w="4111" w:type="dxa"/>
            <w:shd w:val="clear" w:color="auto" w:fill="auto"/>
            <w:vAlign w:val="center"/>
            <w:hideMark/>
          </w:tcPr>
          <w:p w14:paraId="46E1F665" w14:textId="310BFCE1" w:rsidR="003A3EE6" w:rsidRPr="003A3EE6" w:rsidRDefault="003A3EE6" w:rsidP="003A3EE6">
            <w:pPr>
              <w:jc w:val="both"/>
              <w:rPr>
                <w:color w:val="000000"/>
                <w:sz w:val="20"/>
                <w:szCs w:val="20"/>
              </w:rPr>
            </w:pPr>
            <w:r w:rsidRPr="009D5B83">
              <w:rPr>
                <w:color w:val="000000"/>
                <w:sz w:val="20"/>
                <w:szCs w:val="20"/>
              </w:rPr>
              <w:t xml:space="preserve">Плановые расходы ФБ по разделу «Здравоохранение» согласно Закону № </w:t>
            </w:r>
            <w:r w:rsidRPr="003A3EE6">
              <w:rPr>
                <w:color w:val="000000"/>
                <w:sz w:val="20"/>
                <w:szCs w:val="20"/>
              </w:rPr>
              <w:t xml:space="preserve">390-ФЗ, </w:t>
            </w:r>
            <w:proofErr w:type="gramStart"/>
            <w:r w:rsidRPr="003A3EE6">
              <w:rPr>
                <w:color w:val="000000"/>
                <w:sz w:val="20"/>
                <w:szCs w:val="20"/>
              </w:rPr>
              <w:t>млрд</w:t>
            </w:r>
            <w:proofErr w:type="gramEnd"/>
            <w:r w:rsidRPr="003A3EE6">
              <w:rPr>
                <w:color w:val="000000"/>
                <w:sz w:val="20"/>
                <w:szCs w:val="20"/>
              </w:rPr>
              <w:t xml:space="preserve"> руб.</w:t>
            </w:r>
          </w:p>
        </w:tc>
        <w:tc>
          <w:tcPr>
            <w:tcW w:w="1187" w:type="dxa"/>
            <w:shd w:val="clear" w:color="auto" w:fill="auto"/>
            <w:vAlign w:val="center"/>
            <w:hideMark/>
          </w:tcPr>
          <w:p w14:paraId="65B66C23" w14:textId="77777777" w:rsidR="003A3EE6" w:rsidRPr="003A3EE6" w:rsidRDefault="003A3EE6" w:rsidP="003A3EE6">
            <w:pPr>
              <w:jc w:val="center"/>
              <w:rPr>
                <w:color w:val="000000"/>
                <w:sz w:val="20"/>
                <w:szCs w:val="20"/>
              </w:rPr>
            </w:pPr>
            <w:r w:rsidRPr="003A3EE6">
              <w:rPr>
                <w:color w:val="000000"/>
                <w:sz w:val="20"/>
                <w:szCs w:val="20"/>
              </w:rPr>
              <w:t>1 234,6</w:t>
            </w:r>
          </w:p>
        </w:tc>
        <w:tc>
          <w:tcPr>
            <w:tcW w:w="1429" w:type="dxa"/>
            <w:shd w:val="clear" w:color="auto" w:fill="auto"/>
            <w:vAlign w:val="center"/>
            <w:hideMark/>
          </w:tcPr>
          <w:p w14:paraId="225F66B0" w14:textId="77777777" w:rsidR="003A3EE6" w:rsidRPr="003A3EE6" w:rsidRDefault="003A3EE6" w:rsidP="003A3EE6">
            <w:pPr>
              <w:jc w:val="center"/>
              <w:rPr>
                <w:color w:val="000000"/>
                <w:sz w:val="20"/>
                <w:szCs w:val="20"/>
              </w:rPr>
            </w:pPr>
            <w:r w:rsidRPr="003A3EE6">
              <w:rPr>
                <w:color w:val="000000"/>
                <w:sz w:val="20"/>
                <w:szCs w:val="20"/>
              </w:rPr>
              <w:t>1 217,4</w:t>
            </w:r>
          </w:p>
        </w:tc>
        <w:tc>
          <w:tcPr>
            <w:tcW w:w="1163" w:type="dxa"/>
            <w:shd w:val="clear" w:color="auto" w:fill="auto"/>
            <w:vAlign w:val="center"/>
            <w:hideMark/>
          </w:tcPr>
          <w:p w14:paraId="40F33DF6" w14:textId="77777777" w:rsidR="003A3EE6" w:rsidRPr="003A3EE6" w:rsidRDefault="003A3EE6" w:rsidP="003A3EE6">
            <w:pPr>
              <w:jc w:val="center"/>
              <w:rPr>
                <w:color w:val="000000"/>
                <w:sz w:val="20"/>
                <w:szCs w:val="20"/>
              </w:rPr>
            </w:pPr>
            <w:r w:rsidRPr="003A3EE6">
              <w:rPr>
                <w:color w:val="000000"/>
                <w:sz w:val="20"/>
                <w:szCs w:val="20"/>
              </w:rPr>
              <w:t>1 233,5</w:t>
            </w:r>
          </w:p>
        </w:tc>
        <w:tc>
          <w:tcPr>
            <w:tcW w:w="1281" w:type="dxa"/>
            <w:shd w:val="clear" w:color="auto" w:fill="auto"/>
            <w:vAlign w:val="center"/>
            <w:hideMark/>
          </w:tcPr>
          <w:p w14:paraId="4E9CDFE8" w14:textId="77777777" w:rsidR="003A3EE6" w:rsidRPr="003A3EE6" w:rsidRDefault="003A3EE6" w:rsidP="003A3EE6">
            <w:pPr>
              <w:jc w:val="center"/>
              <w:rPr>
                <w:color w:val="000000"/>
                <w:sz w:val="20"/>
                <w:szCs w:val="20"/>
              </w:rPr>
            </w:pPr>
            <w:r w:rsidRPr="003A3EE6">
              <w:rPr>
                <w:color w:val="000000"/>
                <w:sz w:val="20"/>
                <w:szCs w:val="20"/>
              </w:rPr>
              <w:t>1 298,1*</w:t>
            </w:r>
          </w:p>
        </w:tc>
      </w:tr>
      <w:tr w:rsidR="003A3EE6" w:rsidRPr="003A3EE6" w14:paraId="2B2D60B6" w14:textId="77777777" w:rsidTr="0055726F">
        <w:trPr>
          <w:trHeight w:val="336"/>
          <w:jc w:val="center"/>
        </w:trPr>
        <w:tc>
          <w:tcPr>
            <w:tcW w:w="4111" w:type="dxa"/>
            <w:shd w:val="clear" w:color="auto" w:fill="auto"/>
            <w:vAlign w:val="center"/>
            <w:hideMark/>
          </w:tcPr>
          <w:p w14:paraId="77F90FEC" w14:textId="77777777" w:rsidR="003A3EE6" w:rsidRPr="003A3EE6" w:rsidRDefault="003A3EE6" w:rsidP="003A3EE6">
            <w:pPr>
              <w:jc w:val="both"/>
              <w:rPr>
                <w:color w:val="000000"/>
                <w:sz w:val="20"/>
                <w:szCs w:val="20"/>
              </w:rPr>
            </w:pPr>
            <w:r w:rsidRPr="003A3EE6">
              <w:rPr>
                <w:color w:val="000000"/>
                <w:sz w:val="20"/>
                <w:szCs w:val="20"/>
              </w:rPr>
              <w:t xml:space="preserve">Законопроект, </w:t>
            </w:r>
            <w:proofErr w:type="gramStart"/>
            <w:r w:rsidRPr="003A3EE6">
              <w:rPr>
                <w:color w:val="000000"/>
                <w:sz w:val="20"/>
                <w:szCs w:val="20"/>
              </w:rPr>
              <w:t>млрд</w:t>
            </w:r>
            <w:proofErr w:type="gramEnd"/>
            <w:r w:rsidRPr="003A3EE6">
              <w:rPr>
                <w:color w:val="000000"/>
                <w:sz w:val="20"/>
                <w:szCs w:val="20"/>
              </w:rPr>
              <w:t xml:space="preserve"> руб.</w:t>
            </w:r>
          </w:p>
        </w:tc>
        <w:tc>
          <w:tcPr>
            <w:tcW w:w="1187" w:type="dxa"/>
            <w:shd w:val="clear" w:color="auto" w:fill="auto"/>
            <w:vAlign w:val="center"/>
            <w:hideMark/>
          </w:tcPr>
          <w:p w14:paraId="28E4C3E7" w14:textId="77777777" w:rsidR="003A3EE6" w:rsidRPr="003A3EE6" w:rsidRDefault="003A3EE6" w:rsidP="003A3EE6">
            <w:pPr>
              <w:jc w:val="center"/>
              <w:rPr>
                <w:color w:val="000000"/>
                <w:sz w:val="20"/>
                <w:szCs w:val="20"/>
              </w:rPr>
            </w:pPr>
            <w:r w:rsidRPr="003A3EE6">
              <w:rPr>
                <w:color w:val="000000"/>
                <w:sz w:val="20"/>
                <w:szCs w:val="20"/>
              </w:rPr>
              <w:t>1 496,6**</w:t>
            </w:r>
          </w:p>
        </w:tc>
        <w:tc>
          <w:tcPr>
            <w:tcW w:w="1429" w:type="dxa"/>
            <w:shd w:val="clear" w:color="auto" w:fill="auto"/>
            <w:vAlign w:val="center"/>
            <w:hideMark/>
          </w:tcPr>
          <w:p w14:paraId="6B3C2F6F" w14:textId="77777777" w:rsidR="003A3EE6" w:rsidRPr="003A3EE6" w:rsidRDefault="003A3EE6" w:rsidP="003A3EE6">
            <w:pPr>
              <w:jc w:val="center"/>
              <w:rPr>
                <w:color w:val="000000"/>
                <w:sz w:val="20"/>
                <w:szCs w:val="20"/>
              </w:rPr>
            </w:pPr>
            <w:r w:rsidRPr="003A3EE6">
              <w:rPr>
                <w:color w:val="000000"/>
                <w:sz w:val="20"/>
                <w:szCs w:val="20"/>
              </w:rPr>
              <w:t>1469,4</w:t>
            </w:r>
          </w:p>
        </w:tc>
        <w:tc>
          <w:tcPr>
            <w:tcW w:w="1163" w:type="dxa"/>
            <w:shd w:val="clear" w:color="auto" w:fill="auto"/>
            <w:vAlign w:val="center"/>
            <w:hideMark/>
          </w:tcPr>
          <w:p w14:paraId="7EF4B034" w14:textId="77777777" w:rsidR="003A3EE6" w:rsidRPr="003A3EE6" w:rsidRDefault="003A3EE6" w:rsidP="003A3EE6">
            <w:pPr>
              <w:jc w:val="center"/>
              <w:rPr>
                <w:color w:val="000000"/>
                <w:sz w:val="20"/>
                <w:szCs w:val="20"/>
              </w:rPr>
            </w:pPr>
            <w:r w:rsidRPr="003A3EE6">
              <w:rPr>
                <w:color w:val="000000"/>
                <w:sz w:val="20"/>
                <w:szCs w:val="20"/>
              </w:rPr>
              <w:t>1493,2</w:t>
            </w:r>
          </w:p>
        </w:tc>
        <w:tc>
          <w:tcPr>
            <w:tcW w:w="1281" w:type="dxa"/>
            <w:shd w:val="clear" w:color="auto" w:fill="auto"/>
            <w:vAlign w:val="center"/>
            <w:hideMark/>
          </w:tcPr>
          <w:p w14:paraId="0C18B6E7" w14:textId="77777777" w:rsidR="003A3EE6" w:rsidRPr="003A3EE6" w:rsidRDefault="003A3EE6" w:rsidP="003A3EE6">
            <w:pPr>
              <w:jc w:val="center"/>
              <w:rPr>
                <w:color w:val="000000"/>
                <w:sz w:val="20"/>
                <w:szCs w:val="20"/>
              </w:rPr>
            </w:pPr>
            <w:r w:rsidRPr="003A3EE6">
              <w:rPr>
                <w:color w:val="000000"/>
                <w:sz w:val="20"/>
                <w:szCs w:val="20"/>
              </w:rPr>
              <w:t>1510,3</w:t>
            </w:r>
          </w:p>
        </w:tc>
      </w:tr>
      <w:tr w:rsidR="003A3EE6" w:rsidRPr="003A3EE6" w14:paraId="6D5ADAD5" w14:textId="77777777" w:rsidTr="0055726F">
        <w:trPr>
          <w:trHeight w:val="411"/>
          <w:jc w:val="center"/>
        </w:trPr>
        <w:tc>
          <w:tcPr>
            <w:tcW w:w="4111" w:type="dxa"/>
            <w:shd w:val="clear" w:color="auto" w:fill="auto"/>
            <w:vAlign w:val="center"/>
            <w:hideMark/>
          </w:tcPr>
          <w:p w14:paraId="06E3E0B7" w14:textId="77777777" w:rsidR="003A3EE6" w:rsidRPr="003A3EE6" w:rsidRDefault="003A3EE6" w:rsidP="003A3EE6">
            <w:pPr>
              <w:jc w:val="both"/>
              <w:rPr>
                <w:color w:val="000000"/>
                <w:sz w:val="20"/>
                <w:szCs w:val="20"/>
              </w:rPr>
            </w:pPr>
            <w:r w:rsidRPr="003A3EE6">
              <w:rPr>
                <w:color w:val="000000"/>
                <w:sz w:val="20"/>
                <w:szCs w:val="20"/>
              </w:rPr>
              <w:t xml:space="preserve">Изменение, </w:t>
            </w:r>
            <w:proofErr w:type="gramStart"/>
            <w:r w:rsidRPr="003A3EE6">
              <w:rPr>
                <w:color w:val="000000"/>
                <w:sz w:val="20"/>
                <w:szCs w:val="20"/>
              </w:rPr>
              <w:t>млрд</w:t>
            </w:r>
            <w:proofErr w:type="gramEnd"/>
            <w:r w:rsidRPr="003A3EE6">
              <w:rPr>
                <w:color w:val="000000"/>
                <w:sz w:val="20"/>
                <w:szCs w:val="20"/>
              </w:rPr>
              <w:t xml:space="preserve"> руб.</w:t>
            </w:r>
          </w:p>
        </w:tc>
        <w:tc>
          <w:tcPr>
            <w:tcW w:w="1187" w:type="dxa"/>
            <w:shd w:val="clear" w:color="auto" w:fill="auto"/>
            <w:vAlign w:val="center"/>
            <w:hideMark/>
          </w:tcPr>
          <w:p w14:paraId="6F30819A" w14:textId="77777777" w:rsidR="003A3EE6" w:rsidRPr="003A3EE6" w:rsidRDefault="003A3EE6" w:rsidP="003A3EE6">
            <w:pPr>
              <w:jc w:val="center"/>
              <w:rPr>
                <w:color w:val="000000"/>
                <w:sz w:val="20"/>
                <w:szCs w:val="20"/>
              </w:rPr>
            </w:pPr>
            <w:r w:rsidRPr="003A3EE6">
              <w:rPr>
                <w:color w:val="000000"/>
                <w:sz w:val="20"/>
                <w:szCs w:val="20"/>
              </w:rPr>
              <w:t>+ 262,0</w:t>
            </w:r>
          </w:p>
        </w:tc>
        <w:tc>
          <w:tcPr>
            <w:tcW w:w="1429" w:type="dxa"/>
            <w:shd w:val="clear" w:color="auto" w:fill="auto"/>
            <w:vAlign w:val="center"/>
            <w:hideMark/>
          </w:tcPr>
          <w:p w14:paraId="32E8E8D5" w14:textId="77777777" w:rsidR="003A3EE6" w:rsidRPr="003A3EE6" w:rsidRDefault="003A3EE6" w:rsidP="003A3EE6">
            <w:pPr>
              <w:jc w:val="center"/>
              <w:rPr>
                <w:color w:val="000000"/>
                <w:sz w:val="20"/>
                <w:szCs w:val="20"/>
              </w:rPr>
            </w:pPr>
            <w:r w:rsidRPr="003A3EE6">
              <w:rPr>
                <w:color w:val="000000"/>
                <w:sz w:val="20"/>
                <w:szCs w:val="20"/>
              </w:rPr>
              <w:t xml:space="preserve">+ 252,0  </w:t>
            </w:r>
          </w:p>
        </w:tc>
        <w:tc>
          <w:tcPr>
            <w:tcW w:w="1163" w:type="dxa"/>
            <w:shd w:val="clear" w:color="auto" w:fill="auto"/>
            <w:vAlign w:val="center"/>
            <w:hideMark/>
          </w:tcPr>
          <w:p w14:paraId="2C38FED5" w14:textId="77777777" w:rsidR="003A3EE6" w:rsidRPr="003A3EE6" w:rsidRDefault="003A3EE6" w:rsidP="003A3EE6">
            <w:pPr>
              <w:jc w:val="center"/>
              <w:rPr>
                <w:color w:val="000000"/>
                <w:sz w:val="20"/>
                <w:szCs w:val="20"/>
              </w:rPr>
            </w:pPr>
            <w:r w:rsidRPr="003A3EE6">
              <w:rPr>
                <w:color w:val="000000"/>
                <w:sz w:val="20"/>
                <w:szCs w:val="20"/>
              </w:rPr>
              <w:t>+ 259,7</w:t>
            </w:r>
          </w:p>
        </w:tc>
        <w:tc>
          <w:tcPr>
            <w:tcW w:w="1281" w:type="dxa"/>
            <w:shd w:val="clear" w:color="auto" w:fill="auto"/>
            <w:vAlign w:val="center"/>
            <w:hideMark/>
          </w:tcPr>
          <w:p w14:paraId="219507D9" w14:textId="77777777" w:rsidR="003A3EE6" w:rsidRPr="003A3EE6" w:rsidRDefault="003A3EE6" w:rsidP="003A3EE6">
            <w:pPr>
              <w:jc w:val="center"/>
              <w:rPr>
                <w:color w:val="000000"/>
                <w:sz w:val="20"/>
                <w:szCs w:val="20"/>
              </w:rPr>
            </w:pPr>
            <w:r w:rsidRPr="003A3EE6">
              <w:rPr>
                <w:color w:val="000000"/>
                <w:sz w:val="20"/>
                <w:szCs w:val="20"/>
              </w:rPr>
              <w:t>+ 212,2</w:t>
            </w:r>
          </w:p>
        </w:tc>
      </w:tr>
      <w:tr w:rsidR="003A3EE6" w:rsidRPr="009D5B83" w14:paraId="7BDEFB75" w14:textId="77777777" w:rsidTr="0055726F">
        <w:trPr>
          <w:trHeight w:val="417"/>
          <w:jc w:val="center"/>
        </w:trPr>
        <w:tc>
          <w:tcPr>
            <w:tcW w:w="4111" w:type="dxa"/>
            <w:shd w:val="clear" w:color="auto" w:fill="auto"/>
            <w:vAlign w:val="center"/>
          </w:tcPr>
          <w:p w14:paraId="518A16C3" w14:textId="77777777" w:rsidR="003A3EE6" w:rsidRPr="0055726F" w:rsidRDefault="003A3EE6" w:rsidP="003A3EE6">
            <w:pPr>
              <w:jc w:val="both"/>
              <w:rPr>
                <w:i/>
                <w:iCs/>
                <w:color w:val="000000"/>
                <w:sz w:val="20"/>
                <w:szCs w:val="20"/>
              </w:rPr>
            </w:pPr>
            <w:r w:rsidRPr="0055726F">
              <w:rPr>
                <w:i/>
                <w:iCs/>
                <w:color w:val="000000"/>
                <w:sz w:val="20"/>
                <w:szCs w:val="20"/>
              </w:rPr>
              <w:t>Изменение, %</w:t>
            </w:r>
          </w:p>
        </w:tc>
        <w:tc>
          <w:tcPr>
            <w:tcW w:w="1187" w:type="dxa"/>
            <w:shd w:val="clear" w:color="auto" w:fill="auto"/>
            <w:vAlign w:val="center"/>
          </w:tcPr>
          <w:p w14:paraId="39981A92" w14:textId="2D071916" w:rsidR="003A3EE6" w:rsidRPr="0055726F" w:rsidRDefault="003A3EE6" w:rsidP="003A3EE6">
            <w:pPr>
              <w:jc w:val="center"/>
              <w:rPr>
                <w:i/>
                <w:iCs/>
                <w:color w:val="000000"/>
                <w:sz w:val="20"/>
                <w:szCs w:val="20"/>
              </w:rPr>
            </w:pPr>
            <w:r w:rsidRPr="0055726F">
              <w:rPr>
                <w:i/>
                <w:iCs/>
                <w:color w:val="000000"/>
                <w:sz w:val="20"/>
                <w:szCs w:val="20"/>
              </w:rPr>
              <w:t>+ 21,2</w:t>
            </w:r>
          </w:p>
        </w:tc>
        <w:tc>
          <w:tcPr>
            <w:tcW w:w="1429" w:type="dxa"/>
            <w:shd w:val="clear" w:color="auto" w:fill="auto"/>
            <w:vAlign w:val="center"/>
          </w:tcPr>
          <w:p w14:paraId="1B4023D0" w14:textId="045A1D50" w:rsidR="003A3EE6" w:rsidRPr="0055726F" w:rsidRDefault="003A3EE6" w:rsidP="003A3EE6">
            <w:pPr>
              <w:jc w:val="center"/>
              <w:rPr>
                <w:i/>
                <w:iCs/>
                <w:color w:val="000000"/>
                <w:sz w:val="20"/>
                <w:szCs w:val="20"/>
              </w:rPr>
            </w:pPr>
            <w:r w:rsidRPr="0055726F">
              <w:rPr>
                <w:i/>
                <w:iCs/>
                <w:color w:val="000000"/>
                <w:sz w:val="20"/>
                <w:szCs w:val="20"/>
              </w:rPr>
              <w:t>+ 20,7</w:t>
            </w:r>
          </w:p>
        </w:tc>
        <w:tc>
          <w:tcPr>
            <w:tcW w:w="1163" w:type="dxa"/>
            <w:shd w:val="clear" w:color="auto" w:fill="auto"/>
            <w:vAlign w:val="center"/>
          </w:tcPr>
          <w:p w14:paraId="06AAB510" w14:textId="10234202" w:rsidR="003A3EE6" w:rsidRPr="0055726F" w:rsidRDefault="003A3EE6" w:rsidP="003A3EE6">
            <w:pPr>
              <w:jc w:val="center"/>
              <w:rPr>
                <w:i/>
                <w:iCs/>
                <w:color w:val="000000"/>
                <w:sz w:val="20"/>
                <w:szCs w:val="20"/>
              </w:rPr>
            </w:pPr>
            <w:r w:rsidRPr="0055726F">
              <w:rPr>
                <w:i/>
                <w:iCs/>
                <w:color w:val="000000"/>
                <w:sz w:val="20"/>
                <w:szCs w:val="20"/>
              </w:rPr>
              <w:t>+ 21,1</w:t>
            </w:r>
          </w:p>
        </w:tc>
        <w:tc>
          <w:tcPr>
            <w:tcW w:w="1281" w:type="dxa"/>
            <w:shd w:val="clear" w:color="auto" w:fill="auto"/>
            <w:vAlign w:val="center"/>
          </w:tcPr>
          <w:p w14:paraId="5DF0D9C3" w14:textId="33A80631" w:rsidR="003A3EE6" w:rsidRPr="0055726F" w:rsidRDefault="003A3EE6" w:rsidP="003A3EE6">
            <w:pPr>
              <w:jc w:val="center"/>
              <w:rPr>
                <w:i/>
                <w:iCs/>
                <w:color w:val="000000"/>
                <w:sz w:val="20"/>
                <w:szCs w:val="20"/>
              </w:rPr>
            </w:pPr>
            <w:r w:rsidRPr="0055726F">
              <w:rPr>
                <w:i/>
                <w:iCs/>
                <w:color w:val="000000"/>
                <w:sz w:val="20"/>
                <w:szCs w:val="20"/>
              </w:rPr>
              <w:t>+16,3</w:t>
            </w:r>
          </w:p>
        </w:tc>
      </w:tr>
    </w:tbl>
    <w:p w14:paraId="3461ADBE" w14:textId="77777777" w:rsidR="003A3EE6" w:rsidRPr="003A3EE6" w:rsidRDefault="003A3EE6" w:rsidP="003A3EE6">
      <w:pPr>
        <w:ind w:firstLine="709"/>
        <w:jc w:val="both"/>
        <w:rPr>
          <w:sz w:val="20"/>
          <w:szCs w:val="20"/>
        </w:rPr>
      </w:pPr>
      <w:r w:rsidRPr="003A3EE6">
        <w:rPr>
          <w:i/>
          <w:iCs/>
          <w:sz w:val="20"/>
          <w:szCs w:val="20"/>
        </w:rPr>
        <w:t>Примечания:</w:t>
      </w:r>
      <w:r w:rsidRPr="003A3EE6">
        <w:rPr>
          <w:sz w:val="20"/>
          <w:szCs w:val="20"/>
        </w:rPr>
        <w:t xml:space="preserve"> *По сравнению с Бюджетным прогнозом, ** Кассовое исполнение (оценка по СБР на 06.10.2022)</w:t>
      </w:r>
    </w:p>
    <w:p w14:paraId="22531DC7" w14:textId="053E9236" w:rsidR="003A3EE6" w:rsidRPr="003A3EE6" w:rsidRDefault="003A3EE6" w:rsidP="003A3EE6">
      <w:pPr>
        <w:ind w:firstLine="709"/>
        <w:jc w:val="both"/>
        <w:rPr>
          <w:sz w:val="20"/>
          <w:szCs w:val="20"/>
        </w:rPr>
      </w:pPr>
      <w:r w:rsidRPr="003A3EE6">
        <w:rPr>
          <w:i/>
          <w:iCs/>
          <w:sz w:val="20"/>
          <w:szCs w:val="20"/>
        </w:rPr>
        <w:t>Источник:</w:t>
      </w:r>
      <w:r w:rsidRPr="003A3EE6">
        <w:rPr>
          <w:sz w:val="20"/>
          <w:szCs w:val="20"/>
        </w:rPr>
        <w:t xml:space="preserve"> Пояснительная записка, </w:t>
      </w:r>
      <w:r w:rsidRPr="009D5B83">
        <w:rPr>
          <w:sz w:val="20"/>
          <w:szCs w:val="20"/>
        </w:rPr>
        <w:t>Закон №390-ФЗ.</w:t>
      </w:r>
    </w:p>
    <w:p w14:paraId="69AA2745" w14:textId="77777777" w:rsidR="003A3EE6" w:rsidRPr="003A3EE6" w:rsidRDefault="003A3EE6" w:rsidP="003A3EE6">
      <w:pPr>
        <w:spacing w:after="60"/>
        <w:jc w:val="both"/>
      </w:pPr>
    </w:p>
    <w:p w14:paraId="3FB162F3" w14:textId="77777777" w:rsidR="003A3EE6" w:rsidRPr="00E103B9" w:rsidRDefault="003A3EE6" w:rsidP="003A3EE6">
      <w:pPr>
        <w:spacing w:after="60"/>
        <w:ind w:firstLine="709"/>
        <w:jc w:val="both"/>
        <w:rPr>
          <w:sz w:val="28"/>
        </w:rPr>
      </w:pPr>
      <w:r w:rsidRPr="00E103B9">
        <w:rPr>
          <w:sz w:val="28"/>
        </w:rPr>
        <w:t>Увеличение расходов федерального бюджета по разделу в основном вызвано:</w:t>
      </w:r>
    </w:p>
    <w:p w14:paraId="132DD8CD" w14:textId="66432742" w:rsidR="003A3EE6" w:rsidRPr="00E103B9" w:rsidRDefault="003A3EE6" w:rsidP="003A3EE6">
      <w:pPr>
        <w:spacing w:after="60"/>
        <w:ind w:firstLine="709"/>
        <w:jc w:val="both"/>
        <w:rPr>
          <w:sz w:val="28"/>
        </w:rPr>
      </w:pPr>
      <w:r w:rsidRPr="00E103B9">
        <w:rPr>
          <w:sz w:val="28"/>
        </w:rPr>
        <w:t xml:space="preserve">1) Увеличением размера межбюджетного трансферта ФФОМС: в 2023 г. – на 102,7 </w:t>
      </w:r>
      <w:proofErr w:type="gramStart"/>
      <w:r w:rsidRPr="00E103B9">
        <w:rPr>
          <w:sz w:val="28"/>
        </w:rPr>
        <w:t>млрд</w:t>
      </w:r>
      <w:proofErr w:type="gramEnd"/>
      <w:r w:rsidRPr="00E103B9">
        <w:rPr>
          <w:sz w:val="28"/>
        </w:rPr>
        <w:t xml:space="preserve"> руб., в 2024 г. – на 113,0 млрд руб. и в 2025 г. – на 123,6 млрд руб. </w:t>
      </w:r>
    </w:p>
    <w:p w14:paraId="60E2DFC0" w14:textId="4A380924" w:rsidR="003A3EE6" w:rsidRPr="00E103B9" w:rsidRDefault="003A3EE6" w:rsidP="003A3EE6">
      <w:pPr>
        <w:spacing w:after="60"/>
        <w:ind w:firstLine="709"/>
        <w:jc w:val="both"/>
        <w:rPr>
          <w:sz w:val="28"/>
        </w:rPr>
      </w:pPr>
      <w:r w:rsidRPr="00E103B9">
        <w:rPr>
          <w:sz w:val="28"/>
        </w:rPr>
        <w:t xml:space="preserve">Прирост расходов обусловлен в основном пересчетом размера компенсации выпадающих доходов бюджета ФФОМС в связи с установлением пониженных тарифов страховых взносов вследствие уточнения отдельных показателей Прогноза (в 2023 г. – на 98,6 </w:t>
      </w:r>
      <w:proofErr w:type="gramStart"/>
      <w:r w:rsidRPr="00E103B9">
        <w:rPr>
          <w:sz w:val="28"/>
        </w:rPr>
        <w:t>млрд</w:t>
      </w:r>
      <w:proofErr w:type="gramEnd"/>
      <w:r w:rsidRPr="00E103B9">
        <w:rPr>
          <w:sz w:val="28"/>
        </w:rPr>
        <w:t xml:space="preserve"> руб., в 2024 г. – на 107,4 млрд руб., в 2025 г. – на 115,2 млрд руб.), а также финансированием </w:t>
      </w:r>
      <w:proofErr w:type="spellStart"/>
      <w:r w:rsidRPr="00E103B9">
        <w:rPr>
          <w:sz w:val="28"/>
        </w:rPr>
        <w:t>нестраховых</w:t>
      </w:r>
      <w:proofErr w:type="spellEnd"/>
      <w:r w:rsidRPr="00E103B9">
        <w:rPr>
          <w:sz w:val="28"/>
        </w:rPr>
        <w:t xml:space="preserve"> расходов </w:t>
      </w:r>
      <w:r w:rsidR="00B64FB4" w:rsidRPr="00E103B9">
        <w:rPr>
          <w:sz w:val="28"/>
        </w:rPr>
        <w:t>Ф</w:t>
      </w:r>
      <w:r w:rsidRPr="00E103B9">
        <w:rPr>
          <w:sz w:val="28"/>
        </w:rPr>
        <w:t xml:space="preserve">ФОМС – высокотехнологичной медицинской помощи, оказываемой вне программы </w:t>
      </w:r>
      <w:r w:rsidR="00AE2C3D" w:rsidRPr="00E103B9">
        <w:rPr>
          <w:sz w:val="28"/>
        </w:rPr>
        <w:t xml:space="preserve">ОМС </w:t>
      </w:r>
      <w:r w:rsidRPr="00E103B9">
        <w:rPr>
          <w:sz w:val="28"/>
        </w:rPr>
        <w:t xml:space="preserve">(в 2023 г. – на  3,3 </w:t>
      </w:r>
      <w:proofErr w:type="gramStart"/>
      <w:r w:rsidRPr="00E103B9">
        <w:rPr>
          <w:sz w:val="28"/>
        </w:rPr>
        <w:t>млрд</w:t>
      </w:r>
      <w:proofErr w:type="gramEnd"/>
      <w:r w:rsidRPr="00E103B9">
        <w:rPr>
          <w:sz w:val="28"/>
        </w:rPr>
        <w:t xml:space="preserve"> руб., в 2024 г. – на 4,8 млрд руб.) и родовых сертификатов (в 2023-2024 гг. – на 0,8 млрд руб. ежегодно). В 2025 г. размер трансферта на финансовое обеспечение </w:t>
      </w:r>
      <w:proofErr w:type="spellStart"/>
      <w:r w:rsidRPr="00E103B9">
        <w:rPr>
          <w:sz w:val="28"/>
        </w:rPr>
        <w:t>нестраховых</w:t>
      </w:r>
      <w:proofErr w:type="spellEnd"/>
      <w:r w:rsidRPr="00E103B9">
        <w:rPr>
          <w:sz w:val="28"/>
        </w:rPr>
        <w:t xml:space="preserve"> расходов </w:t>
      </w:r>
      <w:r w:rsidR="00B64FB4" w:rsidRPr="00E103B9">
        <w:rPr>
          <w:sz w:val="28"/>
        </w:rPr>
        <w:t>Ф</w:t>
      </w:r>
      <w:r w:rsidRPr="00E103B9">
        <w:rPr>
          <w:sz w:val="28"/>
        </w:rPr>
        <w:t xml:space="preserve">ФОМС составит 8,4 </w:t>
      </w:r>
      <w:proofErr w:type="gramStart"/>
      <w:r w:rsidRPr="00E103B9">
        <w:rPr>
          <w:sz w:val="28"/>
        </w:rPr>
        <w:t>млрд</w:t>
      </w:r>
      <w:proofErr w:type="gramEnd"/>
      <w:r w:rsidRPr="00E103B9">
        <w:rPr>
          <w:sz w:val="28"/>
        </w:rPr>
        <w:t xml:space="preserve"> руб., разбивка по статьям расходов не приведена. Необходимость увеличения межбюджетного трансферта на компенсацию выпадающих доходов объясняется преимущественно установлением единых пониженных тарифов страховых взносов для новых групп категорий плательщиков. </w:t>
      </w:r>
    </w:p>
    <w:p w14:paraId="7AAEBA30" w14:textId="77777777" w:rsidR="003A3EE6" w:rsidRPr="00E103B9" w:rsidRDefault="003A3EE6" w:rsidP="003A3EE6">
      <w:pPr>
        <w:spacing w:after="60"/>
        <w:ind w:firstLine="709"/>
        <w:jc w:val="both"/>
        <w:rPr>
          <w:sz w:val="28"/>
        </w:rPr>
      </w:pPr>
      <w:r w:rsidRPr="00E103B9">
        <w:rPr>
          <w:sz w:val="28"/>
        </w:rPr>
        <w:t xml:space="preserve">2) Увеличением размера бюджетных ассигнований на закупку лекарственных препаратов для конкретного ребенка с тяжелым </w:t>
      </w:r>
      <w:proofErr w:type="spellStart"/>
      <w:r w:rsidRPr="00E103B9">
        <w:rPr>
          <w:sz w:val="28"/>
        </w:rPr>
        <w:t>жизнеугрожающим</w:t>
      </w:r>
      <w:proofErr w:type="spellEnd"/>
      <w:r w:rsidRPr="00E103B9">
        <w:rPr>
          <w:sz w:val="28"/>
        </w:rPr>
        <w:t xml:space="preserve"> или хроническим заболеванием, в том числе редким (</w:t>
      </w:r>
      <w:proofErr w:type="spellStart"/>
      <w:r w:rsidRPr="00E103B9">
        <w:rPr>
          <w:sz w:val="28"/>
        </w:rPr>
        <w:t>орфанным</w:t>
      </w:r>
      <w:proofErr w:type="spellEnd"/>
      <w:r w:rsidRPr="00E103B9">
        <w:rPr>
          <w:sz w:val="28"/>
        </w:rPr>
        <w:t xml:space="preserve">) заболеванием, либо для групп таких детей (финансирование деятельности государственного внебюджетного фонда «Круг добра») в связи с уточнением Прогноза (в 2023 г. – на 60,6 </w:t>
      </w:r>
      <w:proofErr w:type="gramStart"/>
      <w:r w:rsidRPr="00E103B9">
        <w:rPr>
          <w:sz w:val="28"/>
        </w:rPr>
        <w:t>млрд</w:t>
      </w:r>
      <w:proofErr w:type="gramEnd"/>
      <w:r w:rsidRPr="00E103B9">
        <w:rPr>
          <w:sz w:val="28"/>
        </w:rPr>
        <w:t xml:space="preserve"> руб., в 2024 г. – на 66,7 млрд руб., в 2025 г. – на 72,4 </w:t>
      </w:r>
      <w:proofErr w:type="gramStart"/>
      <w:r w:rsidRPr="00E103B9">
        <w:rPr>
          <w:sz w:val="28"/>
        </w:rPr>
        <w:t>млрд</w:t>
      </w:r>
      <w:proofErr w:type="gramEnd"/>
      <w:r w:rsidRPr="00E103B9">
        <w:rPr>
          <w:sz w:val="28"/>
        </w:rPr>
        <w:t xml:space="preserve"> руб.).</w:t>
      </w:r>
    </w:p>
    <w:p w14:paraId="1C29C3CB" w14:textId="77777777" w:rsidR="003A3EE6" w:rsidRPr="00E103B9" w:rsidRDefault="003A3EE6" w:rsidP="003A3EE6">
      <w:pPr>
        <w:spacing w:after="60"/>
        <w:ind w:firstLine="709"/>
        <w:jc w:val="both"/>
        <w:rPr>
          <w:sz w:val="28"/>
        </w:rPr>
      </w:pPr>
      <w:r w:rsidRPr="00E103B9">
        <w:rPr>
          <w:sz w:val="28"/>
        </w:rPr>
        <w:lastRenderedPageBreak/>
        <w:t xml:space="preserve">Запланированное увеличение значительно превышает предельную базовую величину дополнительную бюджетных ассигнований, рассчитанную в соответствии с июльскими рекомендациями Минфина России (в 2023 г. – на 33,5 </w:t>
      </w:r>
      <w:proofErr w:type="gramStart"/>
      <w:r w:rsidRPr="00E103B9">
        <w:rPr>
          <w:sz w:val="28"/>
        </w:rPr>
        <w:t>млрд</w:t>
      </w:r>
      <w:proofErr w:type="gramEnd"/>
      <w:r w:rsidRPr="00E103B9">
        <w:rPr>
          <w:sz w:val="28"/>
        </w:rPr>
        <w:t xml:space="preserve"> руб., в 2024 г. – на 37,8 млрд руб.), что может свидетельствовать о намерении расширить деятельность фонда «Круг добра». Наиболее вероятным направлением использования дополнительных сре</w:t>
      </w:r>
      <w:proofErr w:type="gramStart"/>
      <w:r w:rsidRPr="00E103B9">
        <w:rPr>
          <w:sz w:val="28"/>
        </w:rPr>
        <w:t>дств пр</w:t>
      </w:r>
      <w:proofErr w:type="gramEnd"/>
      <w:r w:rsidRPr="00E103B9">
        <w:rPr>
          <w:sz w:val="28"/>
        </w:rPr>
        <w:t xml:space="preserve">едставляется передача фонду полномочий по обеспечению пациентов до 18 лет лекарственными препаратами по программе «14 </w:t>
      </w:r>
      <w:proofErr w:type="spellStart"/>
      <w:r w:rsidRPr="00E103B9">
        <w:rPr>
          <w:sz w:val="28"/>
        </w:rPr>
        <w:t>высокозатратных</w:t>
      </w:r>
      <w:proofErr w:type="spellEnd"/>
      <w:r w:rsidRPr="00E103B9">
        <w:rPr>
          <w:sz w:val="28"/>
        </w:rPr>
        <w:t xml:space="preserve"> нозологий». Соответствующий проект закона был внесен в Государственную Думу РФ одновременно с Законопроектом. Следует отметить, что планируемое увеличение финансирования превышает расчетный размер потребности пациентов данной группы (до 20 </w:t>
      </w:r>
      <w:proofErr w:type="gramStart"/>
      <w:r w:rsidRPr="00E103B9">
        <w:rPr>
          <w:sz w:val="28"/>
        </w:rPr>
        <w:t>млрд</w:t>
      </w:r>
      <w:proofErr w:type="gramEnd"/>
      <w:r w:rsidRPr="00E103B9">
        <w:rPr>
          <w:sz w:val="28"/>
        </w:rPr>
        <w:t xml:space="preserve"> руб.). Средства сверх этой суммы могут быть использованы на расширение лекарственного обеспечения иных нуждающихся групп.</w:t>
      </w:r>
    </w:p>
    <w:p w14:paraId="0948FC12" w14:textId="77777777" w:rsidR="003A3EE6" w:rsidRPr="00E103B9" w:rsidRDefault="003A3EE6" w:rsidP="003A3EE6">
      <w:pPr>
        <w:spacing w:after="60"/>
        <w:ind w:firstLine="709"/>
        <w:jc w:val="both"/>
        <w:rPr>
          <w:sz w:val="28"/>
        </w:rPr>
      </w:pPr>
      <w:r w:rsidRPr="00E103B9">
        <w:rPr>
          <w:sz w:val="28"/>
        </w:rPr>
        <w:t xml:space="preserve">Передача фонду «Круг добра» обязательств по лекарственному обеспечению несовершеннолетних больных практически решает проблему сложившегося дефицита программы «14 </w:t>
      </w:r>
      <w:proofErr w:type="spellStart"/>
      <w:r w:rsidRPr="00E103B9">
        <w:rPr>
          <w:sz w:val="28"/>
        </w:rPr>
        <w:t>высокозатратных</w:t>
      </w:r>
      <w:proofErr w:type="spellEnd"/>
      <w:r w:rsidRPr="00E103B9">
        <w:rPr>
          <w:sz w:val="28"/>
        </w:rPr>
        <w:t xml:space="preserve"> нозологий (ВЗН)», на компенсацию которого в 2022 г. сверх ранее утвержденного бюджета было выделено 23 </w:t>
      </w:r>
      <w:proofErr w:type="gramStart"/>
      <w:r w:rsidRPr="00E103B9">
        <w:rPr>
          <w:sz w:val="28"/>
        </w:rPr>
        <w:t>млрд</w:t>
      </w:r>
      <w:proofErr w:type="gramEnd"/>
      <w:r w:rsidRPr="00E103B9">
        <w:rPr>
          <w:sz w:val="28"/>
        </w:rPr>
        <w:t xml:space="preserve"> руб. Дополнительно финансовое обеспечение программы «14 ВЗН» будет увеличено на 401,0 млн руб. ежегодно в 2024-2025 гг. (ранее данные средства были исключены из бюджета до определения формы межбюджетного трансферта). Законопроект также предусматривает резервирование средств в размере 1,3 </w:t>
      </w:r>
      <w:proofErr w:type="gramStart"/>
      <w:r w:rsidRPr="00E103B9">
        <w:rPr>
          <w:sz w:val="28"/>
        </w:rPr>
        <w:t>млрд</w:t>
      </w:r>
      <w:proofErr w:type="gramEnd"/>
      <w:r w:rsidRPr="00E103B9">
        <w:rPr>
          <w:sz w:val="28"/>
        </w:rPr>
        <w:t xml:space="preserve"> руб. ежегодно на цели финансового обеспечения программы «14 ВЗН» и деятельности венчурного фонда в рамках ФП «Медицинская наука для человека».</w:t>
      </w:r>
    </w:p>
    <w:p w14:paraId="4FFAF04A" w14:textId="77777777" w:rsidR="003A3EE6" w:rsidRPr="00E103B9" w:rsidRDefault="003A3EE6" w:rsidP="003A3EE6">
      <w:pPr>
        <w:spacing w:after="60"/>
        <w:ind w:firstLine="709"/>
        <w:jc w:val="both"/>
        <w:rPr>
          <w:sz w:val="28"/>
        </w:rPr>
      </w:pPr>
      <w:r w:rsidRPr="00E103B9">
        <w:rPr>
          <w:sz w:val="28"/>
        </w:rPr>
        <w:t xml:space="preserve">3) Приведением размера финансирования ФП «Оптимальная для восстановления здоровья медицинская реабилитация» в соответствие паспорту проекта: с 10 </w:t>
      </w:r>
      <w:proofErr w:type="gramStart"/>
      <w:r w:rsidRPr="00E103B9">
        <w:rPr>
          <w:sz w:val="28"/>
        </w:rPr>
        <w:t>млрд</w:t>
      </w:r>
      <w:proofErr w:type="gramEnd"/>
      <w:r w:rsidRPr="00E103B9">
        <w:rPr>
          <w:sz w:val="28"/>
        </w:rPr>
        <w:t xml:space="preserve"> руб. до 19,8 млрд руб. в 2023-2024 гг. (в 2022 г. – 20 млрд руб.). </w:t>
      </w:r>
    </w:p>
    <w:p w14:paraId="68E13819" w14:textId="77777777" w:rsidR="003A3EE6" w:rsidRPr="00E103B9" w:rsidRDefault="003A3EE6" w:rsidP="003A3EE6">
      <w:pPr>
        <w:spacing w:after="60"/>
        <w:ind w:firstLine="709"/>
        <w:jc w:val="both"/>
        <w:rPr>
          <w:sz w:val="28"/>
        </w:rPr>
      </w:pPr>
      <w:r w:rsidRPr="00E103B9">
        <w:rPr>
          <w:sz w:val="28"/>
        </w:rPr>
        <w:t xml:space="preserve">Увеличение будет направлено на оснащение медицинскими изделиями профильных медицинских организаций, оказывающих услуги по медицинской реабилитации граждан, перенесших новую </w:t>
      </w:r>
      <w:proofErr w:type="spellStart"/>
      <w:r w:rsidRPr="00E103B9">
        <w:rPr>
          <w:sz w:val="28"/>
        </w:rPr>
        <w:t>коронавирусную</w:t>
      </w:r>
      <w:proofErr w:type="spellEnd"/>
      <w:r w:rsidRPr="00E103B9">
        <w:rPr>
          <w:sz w:val="28"/>
        </w:rPr>
        <w:t xml:space="preserve"> инфекцию. </w:t>
      </w:r>
    </w:p>
    <w:p w14:paraId="23320288" w14:textId="77777777" w:rsidR="003A3EE6" w:rsidRPr="00E103B9" w:rsidRDefault="003A3EE6" w:rsidP="003A3EE6">
      <w:pPr>
        <w:spacing w:after="60"/>
        <w:ind w:firstLine="709"/>
        <w:jc w:val="both"/>
        <w:rPr>
          <w:sz w:val="28"/>
        </w:rPr>
      </w:pPr>
      <w:r w:rsidRPr="00E103B9">
        <w:rPr>
          <w:sz w:val="28"/>
        </w:rPr>
        <w:t xml:space="preserve">4) Увеличением межбюджетного трансферта на обеспечение отдельных категорий граждан лекарственными препаратами: в 2023 г. – на 6,1 </w:t>
      </w:r>
      <w:proofErr w:type="gramStart"/>
      <w:r w:rsidRPr="00E103B9">
        <w:rPr>
          <w:sz w:val="28"/>
        </w:rPr>
        <w:t>млрд</w:t>
      </w:r>
      <w:proofErr w:type="gramEnd"/>
      <w:r w:rsidRPr="00E103B9">
        <w:rPr>
          <w:sz w:val="28"/>
        </w:rPr>
        <w:t xml:space="preserve"> руб., в 2024 г. – на 7,6 млрд руб.</w:t>
      </w:r>
    </w:p>
    <w:p w14:paraId="5097E104" w14:textId="77777777" w:rsidR="003A3EE6" w:rsidRPr="00E103B9" w:rsidRDefault="003A3EE6" w:rsidP="003A3EE6">
      <w:pPr>
        <w:spacing w:after="60"/>
        <w:ind w:firstLine="709"/>
        <w:jc w:val="both"/>
        <w:rPr>
          <w:sz w:val="28"/>
        </w:rPr>
      </w:pPr>
      <w:r w:rsidRPr="00E103B9">
        <w:rPr>
          <w:sz w:val="28"/>
        </w:rPr>
        <w:t xml:space="preserve">Увеличение размера индексации по сравнению с предыдущими периодами объясняется более высоким индексом потребительских цен. </w:t>
      </w:r>
    </w:p>
    <w:p w14:paraId="6DA02679" w14:textId="6DF30AB5" w:rsidR="003A3EE6" w:rsidRPr="00E103B9" w:rsidRDefault="003A3EE6" w:rsidP="003A3EE6">
      <w:pPr>
        <w:spacing w:after="60"/>
        <w:ind w:firstLine="709"/>
        <w:jc w:val="both"/>
        <w:rPr>
          <w:sz w:val="28"/>
        </w:rPr>
      </w:pPr>
      <w:r w:rsidRPr="00E103B9">
        <w:rPr>
          <w:sz w:val="28"/>
        </w:rPr>
        <w:t xml:space="preserve">Основные сокращения расходов были предприняты в рамках НП «Здравоохранение». Плановые расходы на финансирование национального </w:t>
      </w:r>
      <w:r w:rsidRPr="00E103B9">
        <w:rPr>
          <w:sz w:val="28"/>
        </w:rPr>
        <w:lastRenderedPageBreak/>
        <w:t xml:space="preserve">проекта по сравнению с </w:t>
      </w:r>
      <w:r w:rsidR="00AE2C3D" w:rsidRPr="00E103B9">
        <w:rPr>
          <w:sz w:val="28"/>
        </w:rPr>
        <w:t>Законом №</w:t>
      </w:r>
      <w:r w:rsidRPr="00E103B9">
        <w:rPr>
          <w:sz w:val="28"/>
        </w:rPr>
        <w:t xml:space="preserve">390-ФЗ были сокращены в 2023 г. на 118,2 </w:t>
      </w:r>
      <w:proofErr w:type="gramStart"/>
      <w:r w:rsidRPr="00E103B9">
        <w:rPr>
          <w:sz w:val="28"/>
        </w:rPr>
        <w:t>млн</w:t>
      </w:r>
      <w:proofErr w:type="gramEnd"/>
      <w:r w:rsidRPr="00E103B9">
        <w:rPr>
          <w:sz w:val="28"/>
        </w:rPr>
        <w:t xml:space="preserve"> руб., в 2024 г. – на 329,8 млн руб.</w:t>
      </w:r>
    </w:p>
    <w:p w14:paraId="33F0EFDC" w14:textId="3B8C43A0" w:rsidR="003A3EE6" w:rsidRPr="00E103B9" w:rsidRDefault="003A3EE6" w:rsidP="003A3EE6">
      <w:pPr>
        <w:spacing w:after="60"/>
        <w:ind w:firstLine="709"/>
        <w:jc w:val="both"/>
        <w:rPr>
          <w:sz w:val="28"/>
        </w:rPr>
      </w:pPr>
      <w:r w:rsidRPr="00E103B9">
        <w:rPr>
          <w:sz w:val="28"/>
        </w:rPr>
        <w:t xml:space="preserve">1) Для всех проектов, кроме </w:t>
      </w:r>
      <w:r w:rsidR="00B64FB4" w:rsidRPr="00E103B9">
        <w:rPr>
          <w:sz w:val="28"/>
        </w:rPr>
        <w:t xml:space="preserve">ФП </w:t>
      </w:r>
      <w:r w:rsidRPr="00E103B9">
        <w:rPr>
          <w:sz w:val="28"/>
        </w:rPr>
        <w:t xml:space="preserve">«Модернизация первичного звена здравоохранения», прекращено финансирование после 2024 года (за исключением мероприятий длящегося характера): ФП «Борьба с сердечно-сосудистыми заболеваниями» – сокращение составит 13,2 </w:t>
      </w:r>
      <w:proofErr w:type="gramStart"/>
      <w:r w:rsidRPr="00E103B9">
        <w:rPr>
          <w:sz w:val="28"/>
        </w:rPr>
        <w:t>млрд</w:t>
      </w:r>
      <w:proofErr w:type="gramEnd"/>
      <w:r w:rsidRPr="00E103B9">
        <w:rPr>
          <w:sz w:val="28"/>
        </w:rPr>
        <w:t xml:space="preserve"> руб., ФП «Борьба с онкологическими заболеваниями» – 11,7 млрд руб., ФП «Развитие детского здравоохранения» – 11,4 млрд руб., ФП «Развитие сети национальных медицинских исследовательских центров» – 11,4 млрд руб., ФП «Создание единого цифрового контура в здравоохранении» – 11,1 млрд руб., ФП «Модернизация первичного звена здравоохранения» – 1,7 млрд руб., ФП «Обеспечение медицинских организаций системы здравоохранения квалифицированными кадрами» – 1,3 </w:t>
      </w:r>
      <w:proofErr w:type="gramStart"/>
      <w:r w:rsidRPr="00E103B9">
        <w:rPr>
          <w:sz w:val="28"/>
        </w:rPr>
        <w:t>млрд</w:t>
      </w:r>
      <w:proofErr w:type="gramEnd"/>
      <w:r w:rsidRPr="00E103B9">
        <w:rPr>
          <w:sz w:val="28"/>
        </w:rPr>
        <w:t xml:space="preserve"> руб.</w:t>
      </w:r>
    </w:p>
    <w:p w14:paraId="3D2EA729" w14:textId="77777777" w:rsidR="003A3EE6" w:rsidRPr="00E103B9" w:rsidRDefault="003A3EE6" w:rsidP="003A3EE6">
      <w:pPr>
        <w:spacing w:after="60"/>
        <w:ind w:firstLine="709"/>
        <w:jc w:val="both"/>
        <w:rPr>
          <w:sz w:val="28"/>
        </w:rPr>
      </w:pPr>
      <w:r w:rsidRPr="00E103B9">
        <w:rPr>
          <w:sz w:val="28"/>
        </w:rPr>
        <w:t xml:space="preserve">Можно предположить, что речь идет о перегруппировке мероприятий национального проекта с тем, чтобы завершить его в первоначально установленные сроки, в </w:t>
      </w:r>
      <w:proofErr w:type="spellStart"/>
      <w:r w:rsidRPr="00E103B9">
        <w:rPr>
          <w:sz w:val="28"/>
        </w:rPr>
        <w:t>т.ч</w:t>
      </w:r>
      <w:proofErr w:type="spellEnd"/>
      <w:r w:rsidRPr="00E103B9">
        <w:rPr>
          <w:sz w:val="28"/>
        </w:rPr>
        <w:t>. ценой сокращения части плановых объемов.</w:t>
      </w:r>
    </w:p>
    <w:p w14:paraId="41CF9A60" w14:textId="77777777" w:rsidR="003A3EE6" w:rsidRPr="00E103B9" w:rsidRDefault="003A3EE6" w:rsidP="003A3EE6">
      <w:pPr>
        <w:spacing w:after="60"/>
        <w:ind w:firstLine="709"/>
        <w:jc w:val="both"/>
        <w:rPr>
          <w:sz w:val="28"/>
        </w:rPr>
      </w:pPr>
      <w:r w:rsidRPr="00E103B9">
        <w:rPr>
          <w:sz w:val="28"/>
        </w:rPr>
        <w:t>2) В 2023-2024 гг. сокращения затронули преимущественно расходы на инфраструктурные проекты:</w:t>
      </w:r>
    </w:p>
    <w:p w14:paraId="54621D7B" w14:textId="77777777" w:rsidR="003A3EE6" w:rsidRPr="00E103B9" w:rsidRDefault="003A3EE6" w:rsidP="00B30599">
      <w:pPr>
        <w:pStyle w:val="afc"/>
        <w:numPr>
          <w:ilvl w:val="0"/>
          <w:numId w:val="68"/>
        </w:numPr>
        <w:spacing w:after="60"/>
        <w:ind w:left="0" w:firstLine="709"/>
        <w:rPr>
          <w:sz w:val="28"/>
        </w:rPr>
      </w:pPr>
      <w:r w:rsidRPr="00E103B9">
        <w:rPr>
          <w:sz w:val="28"/>
        </w:rPr>
        <w:t xml:space="preserve">новое строительство или реконструкцию детских больниц (в 2023 г. – на 1 922,7 </w:t>
      </w:r>
      <w:proofErr w:type="gramStart"/>
      <w:r w:rsidRPr="00E103B9">
        <w:rPr>
          <w:sz w:val="28"/>
        </w:rPr>
        <w:t>млн</w:t>
      </w:r>
      <w:proofErr w:type="gramEnd"/>
      <w:r w:rsidRPr="00E103B9">
        <w:rPr>
          <w:sz w:val="28"/>
        </w:rPr>
        <w:t xml:space="preserve"> руб., в 2024 г. – на 1 263,2 млн руб.);</w:t>
      </w:r>
    </w:p>
    <w:p w14:paraId="5311D1E5" w14:textId="77777777" w:rsidR="003A3EE6" w:rsidRPr="00E103B9" w:rsidRDefault="003A3EE6" w:rsidP="00B30599">
      <w:pPr>
        <w:pStyle w:val="afc"/>
        <w:numPr>
          <w:ilvl w:val="0"/>
          <w:numId w:val="68"/>
        </w:numPr>
        <w:spacing w:after="60"/>
        <w:ind w:left="0" w:firstLine="709"/>
        <w:rPr>
          <w:sz w:val="28"/>
        </w:rPr>
      </w:pPr>
      <w:r w:rsidRPr="00E103B9">
        <w:rPr>
          <w:sz w:val="28"/>
        </w:rPr>
        <w:t xml:space="preserve">оснащение оборудованием региональных сосудистых центров и первичных сосудистых отделений (в 2023 г. – на 806,8 </w:t>
      </w:r>
      <w:proofErr w:type="gramStart"/>
      <w:r w:rsidRPr="00E103B9">
        <w:rPr>
          <w:sz w:val="28"/>
        </w:rPr>
        <w:t>млн</w:t>
      </w:r>
      <w:proofErr w:type="gramEnd"/>
      <w:r w:rsidRPr="00E103B9">
        <w:rPr>
          <w:sz w:val="28"/>
        </w:rPr>
        <w:t xml:space="preserve"> руб., в 2024 г. – на 1 454,8 млн руб.);</w:t>
      </w:r>
    </w:p>
    <w:p w14:paraId="6DAE32B4" w14:textId="47291A31" w:rsidR="003A3EE6" w:rsidRPr="00E103B9" w:rsidRDefault="003A3EE6" w:rsidP="00B30599">
      <w:pPr>
        <w:pStyle w:val="afc"/>
        <w:numPr>
          <w:ilvl w:val="0"/>
          <w:numId w:val="68"/>
        </w:numPr>
        <w:spacing w:after="60"/>
        <w:ind w:left="0" w:firstLine="709"/>
        <w:rPr>
          <w:sz w:val="28"/>
        </w:rPr>
      </w:pPr>
      <w:r w:rsidRPr="00E103B9">
        <w:rPr>
          <w:sz w:val="28"/>
        </w:rPr>
        <w:t xml:space="preserve">новое строительство и реконструкцию медицинских организаций, оказывающих медицинскую помощь больным с онкологическими заболеваниями (в 2023 г. – на 544,1 </w:t>
      </w:r>
      <w:proofErr w:type="gramStart"/>
      <w:r w:rsidRPr="00E103B9">
        <w:rPr>
          <w:sz w:val="28"/>
        </w:rPr>
        <w:t>млн</w:t>
      </w:r>
      <w:proofErr w:type="gramEnd"/>
      <w:r w:rsidRPr="00E103B9">
        <w:rPr>
          <w:sz w:val="28"/>
        </w:rPr>
        <w:t xml:space="preserve"> руб., в 2024 г. – на 777,6 млн руб.);</w:t>
      </w:r>
    </w:p>
    <w:p w14:paraId="4EDC0E8A" w14:textId="77777777" w:rsidR="003A3EE6" w:rsidRPr="00E103B9" w:rsidRDefault="003A3EE6" w:rsidP="00B30599">
      <w:pPr>
        <w:pStyle w:val="afc"/>
        <w:numPr>
          <w:ilvl w:val="0"/>
          <w:numId w:val="68"/>
        </w:numPr>
        <w:spacing w:after="60"/>
        <w:ind w:left="0" w:firstLine="709"/>
        <w:rPr>
          <w:sz w:val="28"/>
        </w:rPr>
      </w:pPr>
      <w:r w:rsidRPr="00E103B9">
        <w:rPr>
          <w:sz w:val="28"/>
        </w:rPr>
        <w:t xml:space="preserve">переоснащение медицинских организаций, оказывающих медицинскую помощь больным с онкологическими заболеваниями (в 2023 г. – на 510,6 </w:t>
      </w:r>
      <w:proofErr w:type="gramStart"/>
      <w:r w:rsidRPr="00E103B9">
        <w:rPr>
          <w:sz w:val="28"/>
        </w:rPr>
        <w:t>млн</w:t>
      </w:r>
      <w:proofErr w:type="gramEnd"/>
      <w:r w:rsidRPr="00E103B9">
        <w:rPr>
          <w:sz w:val="28"/>
        </w:rPr>
        <w:t xml:space="preserve"> руб., в 2024 г. – на 500,0 млн руб.);</w:t>
      </w:r>
    </w:p>
    <w:p w14:paraId="6B269461" w14:textId="77777777" w:rsidR="003A3EE6" w:rsidRPr="00E103B9" w:rsidRDefault="003A3EE6" w:rsidP="00B30599">
      <w:pPr>
        <w:pStyle w:val="afc"/>
        <w:numPr>
          <w:ilvl w:val="0"/>
          <w:numId w:val="68"/>
        </w:numPr>
        <w:spacing w:after="60"/>
        <w:ind w:left="0" w:firstLine="709"/>
        <w:rPr>
          <w:sz w:val="28"/>
        </w:rPr>
      </w:pPr>
      <w:r w:rsidRPr="00E103B9">
        <w:rPr>
          <w:sz w:val="28"/>
        </w:rPr>
        <w:t xml:space="preserve">формирование и функционирование сети Национальных медицинских исследовательских центров (в 2023 г. – на 605,9 </w:t>
      </w:r>
      <w:proofErr w:type="gramStart"/>
      <w:r w:rsidRPr="00E103B9">
        <w:rPr>
          <w:sz w:val="28"/>
        </w:rPr>
        <w:t>млн</w:t>
      </w:r>
      <w:proofErr w:type="gramEnd"/>
      <w:r w:rsidRPr="00E103B9">
        <w:rPr>
          <w:sz w:val="28"/>
        </w:rPr>
        <w:t xml:space="preserve"> руб., в 2024 г. – на 828,3 млн руб.).</w:t>
      </w:r>
    </w:p>
    <w:p w14:paraId="42173BAF" w14:textId="77777777" w:rsidR="003A3EE6" w:rsidRPr="00E103B9" w:rsidRDefault="003A3EE6" w:rsidP="003A3EE6">
      <w:pPr>
        <w:spacing w:after="60"/>
        <w:ind w:firstLine="709"/>
        <w:jc w:val="both"/>
        <w:rPr>
          <w:sz w:val="28"/>
        </w:rPr>
      </w:pPr>
      <w:r w:rsidRPr="00E103B9">
        <w:rPr>
          <w:sz w:val="28"/>
        </w:rPr>
        <w:t xml:space="preserve">В </w:t>
      </w:r>
      <w:proofErr w:type="gramStart"/>
      <w:r w:rsidRPr="00E103B9">
        <w:rPr>
          <w:sz w:val="28"/>
        </w:rPr>
        <w:t>сочетании</w:t>
      </w:r>
      <w:proofErr w:type="gramEnd"/>
      <w:r w:rsidRPr="00E103B9">
        <w:rPr>
          <w:sz w:val="28"/>
        </w:rPr>
        <w:t xml:space="preserve"> с ростом стоимости строительства и оснащения медицинских организаций и принятым решением о прекращении финансирования мероприятий нацпроекта после 2024 г. предпринятое сокращение расходов может говорить об уменьшении объемов планируемых мероприятий по развитию инфраструктуры. </w:t>
      </w:r>
    </w:p>
    <w:p w14:paraId="10597887" w14:textId="77777777" w:rsidR="003A3EE6" w:rsidRPr="00E103B9" w:rsidRDefault="003A3EE6" w:rsidP="003A3EE6">
      <w:pPr>
        <w:spacing w:after="60"/>
        <w:ind w:firstLine="709"/>
        <w:jc w:val="both"/>
        <w:rPr>
          <w:sz w:val="28"/>
        </w:rPr>
      </w:pPr>
      <w:proofErr w:type="gramStart"/>
      <w:r w:rsidRPr="00E103B9">
        <w:rPr>
          <w:sz w:val="28"/>
        </w:rPr>
        <w:t xml:space="preserve">Потенциально опасным решением выглядит также отказ от пересмотра финансового обеспечения ФП «Модернизация первичного звена здравоохранения Российской Федерации» – оно сохранено в плановом объеме, несмотря на трудности, связанные с резким удорожанием оборудования и стройматериалов, приведшие к нарушению </w:t>
      </w:r>
      <w:r w:rsidRPr="00E103B9">
        <w:rPr>
          <w:sz w:val="28"/>
        </w:rPr>
        <w:lastRenderedPageBreak/>
        <w:t xml:space="preserve">графика реализации проекта уже в 2021 г. В начале 2022 г. обсуждалась необходимость ускоренного доведения средств для реализации проекта в установленные сроки. </w:t>
      </w:r>
      <w:proofErr w:type="gramEnd"/>
    </w:p>
    <w:p w14:paraId="53717F40" w14:textId="77777777" w:rsidR="003A3EE6" w:rsidRPr="00E103B9" w:rsidRDefault="003A3EE6" w:rsidP="003A3EE6">
      <w:pPr>
        <w:spacing w:after="60"/>
        <w:ind w:firstLine="709"/>
        <w:jc w:val="both"/>
        <w:rPr>
          <w:sz w:val="28"/>
        </w:rPr>
      </w:pPr>
      <w:r w:rsidRPr="00E103B9">
        <w:rPr>
          <w:sz w:val="28"/>
        </w:rPr>
        <w:t xml:space="preserve">Не был пересмотрен также размер бюджетных ассигнований на реализацию ФП «Борьба с онкологическими заболеваниями» в части финансового обеспечения оказания помощи в соответствии с клиническими рекомендациями. </w:t>
      </w:r>
    </w:p>
    <w:p w14:paraId="442B9A88" w14:textId="77777777" w:rsidR="003A3EE6" w:rsidRPr="00E103B9" w:rsidRDefault="003A3EE6" w:rsidP="003A3EE6">
      <w:pPr>
        <w:spacing w:after="60"/>
        <w:ind w:firstLine="709"/>
        <w:jc w:val="both"/>
        <w:rPr>
          <w:sz w:val="28"/>
        </w:rPr>
      </w:pPr>
      <w:r w:rsidRPr="00E103B9">
        <w:rPr>
          <w:sz w:val="28"/>
        </w:rPr>
        <w:t xml:space="preserve">Увеличение финансирования предусмотрено только по ФП «Создание единого цифрового контура в здравоохранении на основе единой государственной информационной системы в сфере здравоохранения (ЕГИСЗ)» (в 2023 г. – на 2,2 </w:t>
      </w:r>
      <w:proofErr w:type="gramStart"/>
      <w:r w:rsidRPr="00E103B9">
        <w:rPr>
          <w:sz w:val="28"/>
        </w:rPr>
        <w:t>млрд</w:t>
      </w:r>
      <w:proofErr w:type="gramEnd"/>
      <w:r w:rsidRPr="00E103B9">
        <w:rPr>
          <w:sz w:val="28"/>
        </w:rPr>
        <w:t xml:space="preserve"> руб., в 2024 г. – на 2,4 млрд руб.) и  «Развитие системы оказания первичной медико-санитарной помощи» (в 2023 г. - на 1,8 млрд руб., в 2024 г. – на 2,1 млрд руб.), оказывающим относительно слабое влияние на здоровье населения. </w:t>
      </w:r>
    </w:p>
    <w:p w14:paraId="57D43CE7" w14:textId="77777777" w:rsidR="003A3EE6" w:rsidRPr="00E103B9" w:rsidRDefault="003A3EE6" w:rsidP="003A3EE6">
      <w:pPr>
        <w:spacing w:after="60"/>
        <w:ind w:firstLine="709"/>
        <w:jc w:val="both"/>
        <w:rPr>
          <w:sz w:val="28"/>
        </w:rPr>
      </w:pPr>
      <w:r w:rsidRPr="00E103B9">
        <w:rPr>
          <w:sz w:val="28"/>
        </w:rPr>
        <w:t xml:space="preserve">Наряду с предпринятыми сокращениями расходов на НП «Здравоохранение» следует отметить отказ от ряда ранее предполагавшихся проектов расширения государственных гарантий бесплатного оказания гражданам медицинской помощи в части лекарственного обеспечения. Вопреки поручению Президента РФ от 1 сентября 2022 г. Законопроект не предусматривает выделенного финансового обеспечения комплексных программ, направленных на борьбу с гепатитом </w:t>
      </w:r>
      <w:r w:rsidRPr="00E103B9">
        <w:rPr>
          <w:sz w:val="28"/>
          <w:lang w:val="en-US"/>
        </w:rPr>
        <w:t>C</w:t>
      </w:r>
      <w:r w:rsidRPr="00E103B9">
        <w:rPr>
          <w:sz w:val="28"/>
        </w:rPr>
        <w:t xml:space="preserve"> и сахарным диабетом. </w:t>
      </w:r>
    </w:p>
    <w:p w14:paraId="04316089" w14:textId="77777777" w:rsidR="003A3EE6" w:rsidRPr="00E103B9" w:rsidRDefault="003A3EE6" w:rsidP="003A3EE6">
      <w:pPr>
        <w:spacing w:after="60"/>
        <w:ind w:firstLine="709"/>
        <w:jc w:val="both"/>
        <w:rPr>
          <w:sz w:val="28"/>
        </w:rPr>
      </w:pPr>
      <w:r w:rsidRPr="00E103B9">
        <w:rPr>
          <w:sz w:val="28"/>
        </w:rPr>
        <w:t>Также не предусмотрена дополнительная финансовая поддержка из федерального бюджета закупки лека</w:t>
      </w:r>
      <w:proofErr w:type="gramStart"/>
      <w:r w:rsidRPr="00E103B9">
        <w:rPr>
          <w:sz w:val="28"/>
        </w:rPr>
        <w:t>рств дл</w:t>
      </w:r>
      <w:proofErr w:type="gramEnd"/>
      <w:r w:rsidRPr="00E103B9">
        <w:rPr>
          <w:sz w:val="28"/>
        </w:rPr>
        <w:t>я обеспечения больных ВИЧ. Практика свидетельствует о недостатке бюджетных сре</w:t>
      </w:r>
      <w:proofErr w:type="gramStart"/>
      <w:r w:rsidRPr="00E103B9">
        <w:rPr>
          <w:sz w:val="28"/>
        </w:rPr>
        <w:t>дств дл</w:t>
      </w:r>
      <w:proofErr w:type="gramEnd"/>
      <w:r w:rsidRPr="00E103B9">
        <w:rPr>
          <w:sz w:val="28"/>
        </w:rPr>
        <w:t>я эффективного противодействия заболеванию. В последние годы количество вновь выявленных людей с ВИЧ-инфекцией устойчиво превышает количество людей, начавших антиретровирусную терапию, что создает благоприятные условия для дальнейшего распространения эпидемии.</w:t>
      </w:r>
    </w:p>
    <w:p w14:paraId="40E5D036" w14:textId="62C381E4" w:rsidR="003A3EE6" w:rsidRPr="00E103B9" w:rsidRDefault="003A3EE6" w:rsidP="00B64FB4">
      <w:pPr>
        <w:spacing w:after="60"/>
        <w:ind w:firstLine="709"/>
        <w:jc w:val="both"/>
        <w:rPr>
          <w:sz w:val="28"/>
        </w:rPr>
      </w:pPr>
      <w:r w:rsidRPr="00E103B9">
        <w:rPr>
          <w:sz w:val="28"/>
        </w:rPr>
        <w:t xml:space="preserve">Не получила необходимого расширения программа лекарственного обеспечения больных </w:t>
      </w:r>
      <w:proofErr w:type="gramStart"/>
      <w:r w:rsidRPr="00E103B9">
        <w:rPr>
          <w:sz w:val="28"/>
        </w:rPr>
        <w:t>сердечно-сосудистыми</w:t>
      </w:r>
      <w:proofErr w:type="gramEnd"/>
      <w:r w:rsidRPr="00E103B9">
        <w:rPr>
          <w:sz w:val="28"/>
        </w:rPr>
        <w:t xml:space="preserve"> заболеваниями (сохранена для больных высокого риска, перенесших острое нарушение мозгового кровообращения, инфаркт миокарда или отдельные вмешательства на сердце).</w:t>
      </w:r>
    </w:p>
    <w:p w14:paraId="3F7FB7AF" w14:textId="77777777" w:rsidR="00D44DC5" w:rsidRDefault="00D44DC5" w:rsidP="00B64FB4">
      <w:pPr>
        <w:spacing w:after="60"/>
        <w:ind w:firstLine="709"/>
        <w:jc w:val="both"/>
        <w:rPr>
          <w:sz w:val="28"/>
        </w:rPr>
      </w:pPr>
    </w:p>
    <w:p w14:paraId="56442810" w14:textId="77777777" w:rsidR="00E103B9" w:rsidRPr="00E103B9" w:rsidRDefault="00E103B9" w:rsidP="00B64FB4">
      <w:pPr>
        <w:spacing w:after="60"/>
        <w:ind w:firstLine="709"/>
        <w:jc w:val="both"/>
        <w:rPr>
          <w:sz w:val="28"/>
        </w:rPr>
      </w:pPr>
    </w:p>
    <w:p w14:paraId="4B716C53" w14:textId="77777777" w:rsidR="003A3EE6" w:rsidRPr="00E103B9" w:rsidRDefault="003A3EE6" w:rsidP="003A3EE6">
      <w:pPr>
        <w:spacing w:after="60"/>
        <w:ind w:firstLine="709"/>
        <w:jc w:val="both"/>
        <w:rPr>
          <w:b/>
          <w:bCs/>
          <w:i/>
          <w:iCs/>
          <w:sz w:val="28"/>
        </w:rPr>
      </w:pPr>
      <w:r w:rsidRPr="00E103B9">
        <w:rPr>
          <w:b/>
          <w:bCs/>
          <w:i/>
          <w:iCs/>
          <w:sz w:val="28"/>
        </w:rPr>
        <w:t>Бюджет Федерального фонда ОМС</w:t>
      </w:r>
    </w:p>
    <w:p w14:paraId="59559BA5" w14:textId="44B9D35E" w:rsidR="003A3EE6" w:rsidRPr="00E103B9" w:rsidRDefault="0094064F" w:rsidP="003A3EE6">
      <w:pPr>
        <w:spacing w:after="60"/>
        <w:ind w:firstLine="709"/>
        <w:jc w:val="both"/>
        <w:rPr>
          <w:sz w:val="28"/>
        </w:rPr>
      </w:pPr>
      <w:r w:rsidRPr="00E103B9">
        <w:rPr>
          <w:sz w:val="28"/>
        </w:rPr>
        <w:t xml:space="preserve">Согласно проекту закона «О </w:t>
      </w:r>
      <w:proofErr w:type="gramStart"/>
      <w:r w:rsidRPr="00E103B9">
        <w:rPr>
          <w:sz w:val="28"/>
        </w:rPr>
        <w:t>бюджете</w:t>
      </w:r>
      <w:proofErr w:type="gramEnd"/>
      <w:r w:rsidRPr="00E103B9">
        <w:rPr>
          <w:sz w:val="28"/>
        </w:rPr>
        <w:t xml:space="preserve"> Федерального фонда обязательного медицинского страхования на 2023 год и на плановый период 2024-2025 годов» (далее – Законопроект о ФФОМС) </w:t>
      </w:r>
      <w:r w:rsidR="003A3EE6" w:rsidRPr="00E103B9">
        <w:rPr>
          <w:sz w:val="28"/>
        </w:rPr>
        <w:t xml:space="preserve">Бюджет </w:t>
      </w:r>
      <w:r w:rsidR="00B64FB4" w:rsidRPr="00E103B9">
        <w:rPr>
          <w:sz w:val="28"/>
        </w:rPr>
        <w:t>Ф</w:t>
      </w:r>
      <w:r w:rsidR="003A3EE6" w:rsidRPr="00E103B9">
        <w:rPr>
          <w:sz w:val="28"/>
        </w:rPr>
        <w:t>ФОМС на 2023 г</w:t>
      </w:r>
      <w:r w:rsidR="00B64FB4" w:rsidRPr="00E103B9">
        <w:rPr>
          <w:sz w:val="28"/>
        </w:rPr>
        <w:t>.</w:t>
      </w:r>
      <w:r w:rsidR="003A3EE6" w:rsidRPr="00E103B9">
        <w:rPr>
          <w:sz w:val="28"/>
        </w:rPr>
        <w:t xml:space="preserve"> вновь планируется с дефицитом, покрываемым за счет переходящих остатков средств. </w:t>
      </w:r>
      <w:proofErr w:type="gramStart"/>
      <w:r w:rsidR="003A3EE6" w:rsidRPr="00E103B9">
        <w:rPr>
          <w:sz w:val="28"/>
        </w:rPr>
        <w:t xml:space="preserve">По сравнению с </w:t>
      </w:r>
      <w:r w:rsidR="00B64FB4" w:rsidRPr="00E103B9">
        <w:rPr>
          <w:sz w:val="28"/>
        </w:rPr>
        <w:t xml:space="preserve">федеральным законом от 06.12.2021 № 392-ФЗ «О бюджете Федерального фонда обязательного </w:t>
      </w:r>
      <w:r w:rsidR="00B64FB4" w:rsidRPr="00E103B9">
        <w:rPr>
          <w:sz w:val="28"/>
        </w:rPr>
        <w:lastRenderedPageBreak/>
        <w:t>медицинского страхования на 2022 год и на плановый период 2023 и 2024 годов» (далее – Закон № 392-ФЗ)</w:t>
      </w:r>
      <w:r w:rsidR="00B64FB4" w:rsidRPr="00E103B9" w:rsidDel="00B64FB4">
        <w:rPr>
          <w:sz w:val="28"/>
        </w:rPr>
        <w:t xml:space="preserve"> </w:t>
      </w:r>
      <w:r w:rsidR="003A3EE6" w:rsidRPr="00E103B9">
        <w:rPr>
          <w:sz w:val="28"/>
        </w:rPr>
        <w:t xml:space="preserve">доходная часть бюджета </w:t>
      </w:r>
      <w:r w:rsidR="00B64FB4" w:rsidRPr="00E103B9">
        <w:rPr>
          <w:sz w:val="28"/>
        </w:rPr>
        <w:t>Ф</w:t>
      </w:r>
      <w:r w:rsidR="003A3EE6" w:rsidRPr="00E103B9">
        <w:rPr>
          <w:sz w:val="28"/>
        </w:rPr>
        <w:t>ФОМС выросла на 7,2%, расходная – на 9,1%. Основной вклад в увеличение бюджета внесли рост фонда заработной платы работников организаций и новые правила расчета страховых взносов на ОМС работающего</w:t>
      </w:r>
      <w:proofErr w:type="gramEnd"/>
      <w:r w:rsidR="003A3EE6" w:rsidRPr="00E103B9">
        <w:rPr>
          <w:sz w:val="28"/>
        </w:rPr>
        <w:t xml:space="preserve"> и неработающего населения.</w:t>
      </w:r>
    </w:p>
    <w:p w14:paraId="4440ED92" w14:textId="77777777" w:rsidR="003A3EE6" w:rsidRPr="00E103B9" w:rsidRDefault="003A3EE6" w:rsidP="003A3EE6">
      <w:pPr>
        <w:spacing w:after="60"/>
        <w:ind w:firstLine="709"/>
        <w:jc w:val="both"/>
        <w:rPr>
          <w:sz w:val="28"/>
        </w:rPr>
      </w:pPr>
      <w:r w:rsidRPr="00E103B9">
        <w:rPr>
          <w:sz w:val="28"/>
        </w:rPr>
        <w:t xml:space="preserve">Для ряда льготных категорий работающего населения с 2023 г. устанавливаются пониженные ставки страховых взносов и размеры предельной страховой базы. Размер взносов на ОМС неработающего населения будет увеличен за счет включения в методику </w:t>
      </w:r>
      <w:proofErr w:type="gramStart"/>
      <w:r w:rsidRPr="00E103B9">
        <w:rPr>
          <w:sz w:val="28"/>
        </w:rPr>
        <w:t>расчета коэффициента удорожания стоимости медицинских услуг</w:t>
      </w:r>
      <w:proofErr w:type="gramEnd"/>
      <w:r w:rsidRPr="00E103B9">
        <w:rPr>
          <w:sz w:val="28"/>
        </w:rPr>
        <w:t xml:space="preserve"> наряду с индексом потребительских цен (с коэффициентом 0,3) темпа роста среднемесячной начисленной заработной платы работников организаций в предшествующем календарном году (с коэффициентом 0,7). «Чистым эффектом» предлагаемых изменений без учета инфляции и изменения численности неработающего населения станет увеличение тарифа на ОМС неработающего населения в 2023 г. на 3,9%, в 2024 г. – на 8%, </w:t>
      </w:r>
      <w:proofErr w:type="gramStart"/>
      <w:r w:rsidRPr="00E103B9">
        <w:rPr>
          <w:sz w:val="28"/>
        </w:rPr>
        <w:t>в</w:t>
      </w:r>
      <w:proofErr w:type="gramEnd"/>
      <w:r w:rsidRPr="00E103B9">
        <w:rPr>
          <w:sz w:val="28"/>
        </w:rPr>
        <w:t xml:space="preserve"> 2025 г. – на 10,7% по сравнению с действующими правилами. Увеличение тарифа и его привязка к росту среднемесячной заработной платы работников организаций смягчат проблему поддержки нормативного уровня заработной платы медицинских работников, установленного «майскими» указами Президента РФ 2012 г., но одновременно повысится нагрузка на бюджеты субъектов РФ. </w:t>
      </w:r>
    </w:p>
    <w:p w14:paraId="09E6D1B5" w14:textId="6533BE7D" w:rsidR="003A3EE6" w:rsidRPr="00E103B9" w:rsidRDefault="003A3EE6" w:rsidP="003A3EE6">
      <w:pPr>
        <w:spacing w:after="60"/>
        <w:ind w:firstLine="709"/>
        <w:jc w:val="both"/>
        <w:rPr>
          <w:sz w:val="28"/>
        </w:rPr>
      </w:pPr>
      <w:r w:rsidRPr="00E103B9">
        <w:rPr>
          <w:sz w:val="28"/>
        </w:rPr>
        <w:t xml:space="preserve">Несмотря на пересмотр порядков сбора страховых взносов, структура доходов </w:t>
      </w:r>
      <w:r w:rsidR="00B64FB4" w:rsidRPr="00E103B9">
        <w:rPr>
          <w:sz w:val="28"/>
        </w:rPr>
        <w:t>Ф</w:t>
      </w:r>
      <w:r w:rsidRPr="00E103B9">
        <w:rPr>
          <w:sz w:val="28"/>
        </w:rPr>
        <w:t>ФОМС не претерпела существенных изменений (</w:t>
      </w:r>
      <w:r w:rsidRPr="00E103B9">
        <w:rPr>
          <w:i/>
          <w:iCs/>
          <w:sz w:val="28"/>
        </w:rPr>
        <w:t xml:space="preserve">таблица </w:t>
      </w:r>
      <w:r w:rsidR="00B64FB4" w:rsidRPr="00E103B9">
        <w:rPr>
          <w:i/>
          <w:iCs/>
          <w:sz w:val="28"/>
        </w:rPr>
        <w:t>24</w:t>
      </w:r>
      <w:r w:rsidRPr="00E103B9">
        <w:rPr>
          <w:sz w:val="28"/>
        </w:rPr>
        <w:t xml:space="preserve">). Основным источником поступлений остаются взносы на ОМС работающего населения (в 2022 г. – 58,8%, в 2023-2025 гг. – 57,0-57,8%), далее следуют взносы на ОМС неработающего населения (в 2022 г. – 29,3%, в 2023-2025 гг. – 28,6%) и межбюджетные трансферты из федерального бюджета (в 2022 г. – 11,7%, </w:t>
      </w:r>
      <w:proofErr w:type="gramStart"/>
      <w:r w:rsidRPr="00E103B9">
        <w:rPr>
          <w:sz w:val="28"/>
        </w:rPr>
        <w:t>в</w:t>
      </w:r>
      <w:proofErr w:type="gramEnd"/>
      <w:r w:rsidRPr="00E103B9">
        <w:rPr>
          <w:sz w:val="28"/>
        </w:rPr>
        <w:t xml:space="preserve"> 2023-2025 гг. – 12,9-13,7%).</w:t>
      </w:r>
    </w:p>
    <w:p w14:paraId="50133FA2" w14:textId="77777777" w:rsidR="00E103B9" w:rsidRDefault="00E103B9" w:rsidP="003A3EE6">
      <w:pPr>
        <w:spacing w:after="60"/>
        <w:ind w:firstLine="709"/>
        <w:jc w:val="right"/>
        <w:rPr>
          <w:i/>
          <w:iCs/>
        </w:rPr>
      </w:pPr>
    </w:p>
    <w:p w14:paraId="0D7D00C6" w14:textId="77777777" w:rsidR="00E103B9" w:rsidRDefault="00E103B9" w:rsidP="003A3EE6">
      <w:pPr>
        <w:spacing w:after="60"/>
        <w:ind w:firstLine="709"/>
        <w:jc w:val="right"/>
        <w:rPr>
          <w:i/>
          <w:iCs/>
        </w:rPr>
      </w:pPr>
    </w:p>
    <w:p w14:paraId="0F935405" w14:textId="77777777" w:rsidR="00E103B9" w:rsidRDefault="00E103B9" w:rsidP="003A3EE6">
      <w:pPr>
        <w:spacing w:after="60"/>
        <w:ind w:firstLine="709"/>
        <w:jc w:val="right"/>
        <w:rPr>
          <w:i/>
          <w:iCs/>
        </w:rPr>
      </w:pPr>
    </w:p>
    <w:p w14:paraId="220AFE1D" w14:textId="77777777" w:rsidR="00E103B9" w:rsidRDefault="00E103B9" w:rsidP="003A3EE6">
      <w:pPr>
        <w:spacing w:after="60"/>
        <w:ind w:firstLine="709"/>
        <w:jc w:val="right"/>
        <w:rPr>
          <w:i/>
          <w:iCs/>
        </w:rPr>
      </w:pPr>
    </w:p>
    <w:p w14:paraId="1AC35E27" w14:textId="77777777" w:rsidR="00E103B9" w:rsidRDefault="00E103B9" w:rsidP="003A3EE6">
      <w:pPr>
        <w:spacing w:after="60"/>
        <w:ind w:firstLine="709"/>
        <w:jc w:val="right"/>
        <w:rPr>
          <w:i/>
          <w:iCs/>
        </w:rPr>
      </w:pPr>
    </w:p>
    <w:p w14:paraId="53FFB9CF" w14:textId="77777777" w:rsidR="00E103B9" w:rsidRDefault="00E103B9" w:rsidP="003A3EE6">
      <w:pPr>
        <w:spacing w:after="60"/>
        <w:ind w:firstLine="709"/>
        <w:jc w:val="right"/>
        <w:rPr>
          <w:i/>
          <w:iCs/>
        </w:rPr>
      </w:pPr>
    </w:p>
    <w:p w14:paraId="14882A85" w14:textId="77777777" w:rsidR="00E103B9" w:rsidRDefault="00E103B9" w:rsidP="003A3EE6">
      <w:pPr>
        <w:spacing w:after="60"/>
        <w:ind w:firstLine="709"/>
        <w:jc w:val="right"/>
        <w:rPr>
          <w:i/>
          <w:iCs/>
        </w:rPr>
      </w:pPr>
    </w:p>
    <w:p w14:paraId="46D3EE82" w14:textId="77777777" w:rsidR="00E103B9" w:rsidRDefault="00E103B9" w:rsidP="003A3EE6">
      <w:pPr>
        <w:spacing w:after="60"/>
        <w:ind w:firstLine="709"/>
        <w:jc w:val="right"/>
        <w:rPr>
          <w:i/>
          <w:iCs/>
        </w:rPr>
      </w:pPr>
    </w:p>
    <w:p w14:paraId="4B71C1ED" w14:textId="77777777" w:rsidR="00E103B9" w:rsidRDefault="00E103B9" w:rsidP="003A3EE6">
      <w:pPr>
        <w:spacing w:after="60"/>
        <w:ind w:firstLine="709"/>
        <w:jc w:val="right"/>
        <w:rPr>
          <w:i/>
          <w:iCs/>
        </w:rPr>
      </w:pPr>
    </w:p>
    <w:p w14:paraId="66296CA0" w14:textId="77777777" w:rsidR="00E103B9" w:rsidRDefault="00E103B9" w:rsidP="003A3EE6">
      <w:pPr>
        <w:spacing w:after="60"/>
        <w:ind w:firstLine="709"/>
        <w:jc w:val="right"/>
        <w:rPr>
          <w:i/>
          <w:iCs/>
        </w:rPr>
      </w:pPr>
    </w:p>
    <w:p w14:paraId="7707D428" w14:textId="5EB05E05" w:rsidR="003A3EE6" w:rsidRPr="003A3EE6" w:rsidRDefault="003A3EE6" w:rsidP="003A3EE6">
      <w:pPr>
        <w:spacing w:after="60"/>
        <w:ind w:firstLine="709"/>
        <w:jc w:val="right"/>
        <w:rPr>
          <w:i/>
          <w:iCs/>
        </w:rPr>
      </w:pPr>
      <w:r w:rsidRPr="003A3EE6">
        <w:rPr>
          <w:i/>
          <w:iCs/>
        </w:rPr>
        <w:t xml:space="preserve">Таблица </w:t>
      </w:r>
      <w:r w:rsidR="00B64FB4" w:rsidRPr="009D5B83">
        <w:rPr>
          <w:i/>
          <w:iCs/>
        </w:rPr>
        <w:t>24</w:t>
      </w:r>
    </w:p>
    <w:p w14:paraId="026306B5" w14:textId="160E9204" w:rsidR="003A3EE6" w:rsidRPr="003A3EE6" w:rsidRDefault="003A3EE6" w:rsidP="003A3EE6">
      <w:pPr>
        <w:spacing w:after="60"/>
        <w:jc w:val="center"/>
        <w:rPr>
          <w:b/>
          <w:bCs/>
        </w:rPr>
      </w:pPr>
      <w:r w:rsidRPr="003A3EE6">
        <w:rPr>
          <w:b/>
          <w:bCs/>
        </w:rPr>
        <w:t xml:space="preserve">Изменения плановых доходов </w:t>
      </w:r>
      <w:r w:rsidR="00B64FB4" w:rsidRPr="009D5B83">
        <w:rPr>
          <w:b/>
          <w:bCs/>
        </w:rPr>
        <w:t>Ф</w:t>
      </w:r>
      <w:r w:rsidRPr="003A3EE6">
        <w:rPr>
          <w:b/>
          <w:bCs/>
        </w:rPr>
        <w:t xml:space="preserve">ФОМС в 2022-2025 гг., </w:t>
      </w:r>
      <w:proofErr w:type="gramStart"/>
      <w:r w:rsidRPr="003A3EE6">
        <w:rPr>
          <w:b/>
          <w:bCs/>
        </w:rPr>
        <w:t>млрд</w:t>
      </w:r>
      <w:proofErr w:type="gramEnd"/>
      <w:r w:rsidRPr="003A3EE6">
        <w:rPr>
          <w:b/>
          <w:bCs/>
        </w:rPr>
        <w:t xml:space="preserve"> руб.</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992"/>
        <w:gridCol w:w="1559"/>
        <w:gridCol w:w="851"/>
        <w:gridCol w:w="1559"/>
        <w:gridCol w:w="1553"/>
      </w:tblGrid>
      <w:tr w:rsidR="0094064F" w:rsidRPr="009D5B83" w14:paraId="0535E2EA" w14:textId="77777777" w:rsidTr="0055726F">
        <w:trPr>
          <w:trHeight w:val="360"/>
          <w:tblHeader/>
          <w:jc w:val="center"/>
        </w:trPr>
        <w:tc>
          <w:tcPr>
            <w:tcW w:w="1413" w:type="dxa"/>
            <w:vMerge w:val="restart"/>
            <w:shd w:val="clear" w:color="auto" w:fill="auto"/>
            <w:hideMark/>
          </w:tcPr>
          <w:p w14:paraId="2C05111E" w14:textId="47623ED2" w:rsidR="003A3EE6" w:rsidRPr="003A3EE6" w:rsidRDefault="00B64FB4" w:rsidP="003A3EE6">
            <w:pPr>
              <w:spacing w:after="60"/>
              <w:jc w:val="center"/>
              <w:rPr>
                <w:b/>
                <w:bCs/>
                <w:color w:val="000000"/>
                <w:sz w:val="20"/>
                <w:szCs w:val="20"/>
              </w:rPr>
            </w:pPr>
            <w:r w:rsidRPr="009D5B83">
              <w:rPr>
                <w:b/>
                <w:bCs/>
                <w:color w:val="000000"/>
                <w:sz w:val="20"/>
                <w:szCs w:val="20"/>
              </w:rPr>
              <w:t>Показатель</w:t>
            </w:r>
          </w:p>
        </w:tc>
        <w:tc>
          <w:tcPr>
            <w:tcW w:w="1134" w:type="dxa"/>
            <w:shd w:val="clear" w:color="auto" w:fill="auto"/>
            <w:hideMark/>
          </w:tcPr>
          <w:p w14:paraId="596E6AB1" w14:textId="1A9EF6A5" w:rsidR="003A3EE6" w:rsidRPr="003A3EE6" w:rsidRDefault="003A3EE6" w:rsidP="003A3EE6">
            <w:pPr>
              <w:spacing w:after="60"/>
              <w:jc w:val="center"/>
              <w:rPr>
                <w:b/>
                <w:bCs/>
                <w:color w:val="000000"/>
                <w:sz w:val="20"/>
                <w:szCs w:val="20"/>
              </w:rPr>
            </w:pPr>
            <w:r w:rsidRPr="003A3EE6">
              <w:rPr>
                <w:b/>
                <w:bCs/>
                <w:color w:val="000000"/>
                <w:sz w:val="20"/>
                <w:szCs w:val="20"/>
              </w:rPr>
              <w:t>2022</w:t>
            </w:r>
            <w:r w:rsidR="00B64FB4" w:rsidRPr="009D5B83">
              <w:rPr>
                <w:b/>
                <w:bCs/>
                <w:color w:val="000000"/>
                <w:sz w:val="20"/>
                <w:szCs w:val="20"/>
              </w:rPr>
              <w:t xml:space="preserve"> г.</w:t>
            </w:r>
          </w:p>
        </w:tc>
        <w:tc>
          <w:tcPr>
            <w:tcW w:w="2551" w:type="dxa"/>
            <w:gridSpan w:val="2"/>
          </w:tcPr>
          <w:p w14:paraId="7BFFDB05" w14:textId="1C207252" w:rsidR="003A3EE6" w:rsidRPr="003A3EE6" w:rsidRDefault="003A3EE6" w:rsidP="003A3EE6">
            <w:pPr>
              <w:spacing w:after="60"/>
              <w:jc w:val="center"/>
              <w:rPr>
                <w:b/>
                <w:bCs/>
                <w:color w:val="000000"/>
                <w:sz w:val="20"/>
                <w:szCs w:val="20"/>
              </w:rPr>
            </w:pPr>
            <w:r w:rsidRPr="003A3EE6">
              <w:rPr>
                <w:b/>
                <w:bCs/>
                <w:color w:val="000000"/>
                <w:sz w:val="20"/>
                <w:szCs w:val="20"/>
              </w:rPr>
              <w:t>2023</w:t>
            </w:r>
            <w:r w:rsidR="00B64FB4" w:rsidRPr="009D5B83">
              <w:rPr>
                <w:b/>
                <w:bCs/>
                <w:color w:val="000000"/>
                <w:sz w:val="20"/>
                <w:szCs w:val="20"/>
              </w:rPr>
              <w:t xml:space="preserve"> г.</w:t>
            </w:r>
          </w:p>
        </w:tc>
        <w:tc>
          <w:tcPr>
            <w:tcW w:w="2410" w:type="dxa"/>
            <w:gridSpan w:val="2"/>
          </w:tcPr>
          <w:p w14:paraId="21823D0A" w14:textId="34511A0D" w:rsidR="003A3EE6" w:rsidRPr="003A3EE6" w:rsidRDefault="003A3EE6" w:rsidP="003A3EE6">
            <w:pPr>
              <w:spacing w:after="60"/>
              <w:jc w:val="center"/>
              <w:rPr>
                <w:b/>
                <w:bCs/>
                <w:color w:val="000000"/>
                <w:sz w:val="20"/>
                <w:szCs w:val="20"/>
              </w:rPr>
            </w:pPr>
            <w:r w:rsidRPr="003A3EE6">
              <w:rPr>
                <w:b/>
                <w:bCs/>
                <w:color w:val="000000"/>
                <w:sz w:val="20"/>
                <w:szCs w:val="20"/>
              </w:rPr>
              <w:t>2024</w:t>
            </w:r>
            <w:r w:rsidR="00B64FB4" w:rsidRPr="009D5B83">
              <w:rPr>
                <w:b/>
                <w:bCs/>
                <w:color w:val="000000"/>
                <w:sz w:val="20"/>
                <w:szCs w:val="20"/>
              </w:rPr>
              <w:t xml:space="preserve"> г.</w:t>
            </w:r>
          </w:p>
        </w:tc>
        <w:tc>
          <w:tcPr>
            <w:tcW w:w="1553" w:type="dxa"/>
            <w:shd w:val="clear" w:color="auto" w:fill="auto"/>
            <w:hideMark/>
          </w:tcPr>
          <w:p w14:paraId="1C6C639B" w14:textId="5D73E0BB" w:rsidR="003A3EE6" w:rsidRPr="003A3EE6" w:rsidRDefault="003A3EE6" w:rsidP="003A3EE6">
            <w:pPr>
              <w:spacing w:after="60"/>
              <w:jc w:val="center"/>
              <w:rPr>
                <w:b/>
                <w:bCs/>
                <w:color w:val="000000"/>
                <w:sz w:val="20"/>
                <w:szCs w:val="20"/>
              </w:rPr>
            </w:pPr>
            <w:r w:rsidRPr="003A3EE6">
              <w:rPr>
                <w:b/>
                <w:bCs/>
                <w:color w:val="000000"/>
                <w:sz w:val="20"/>
                <w:szCs w:val="20"/>
              </w:rPr>
              <w:t>2025</w:t>
            </w:r>
            <w:r w:rsidR="00B64FB4" w:rsidRPr="009D5B83">
              <w:rPr>
                <w:b/>
                <w:bCs/>
                <w:color w:val="000000"/>
                <w:sz w:val="20"/>
                <w:szCs w:val="20"/>
              </w:rPr>
              <w:t xml:space="preserve"> г.</w:t>
            </w:r>
          </w:p>
        </w:tc>
      </w:tr>
      <w:tr w:rsidR="0094064F" w:rsidRPr="009D5B83" w14:paraId="2DC7CDF7" w14:textId="77777777" w:rsidTr="0055726F">
        <w:trPr>
          <w:trHeight w:val="360"/>
          <w:tblHeader/>
          <w:jc w:val="center"/>
        </w:trPr>
        <w:tc>
          <w:tcPr>
            <w:tcW w:w="1413" w:type="dxa"/>
            <w:vMerge/>
            <w:shd w:val="clear" w:color="auto" w:fill="auto"/>
          </w:tcPr>
          <w:p w14:paraId="7F4EE7EC" w14:textId="77777777" w:rsidR="003A3EE6" w:rsidRPr="003A3EE6" w:rsidRDefault="003A3EE6" w:rsidP="003A3EE6">
            <w:pPr>
              <w:spacing w:after="60"/>
              <w:jc w:val="center"/>
              <w:rPr>
                <w:b/>
                <w:bCs/>
                <w:color w:val="000000"/>
                <w:sz w:val="20"/>
                <w:szCs w:val="20"/>
              </w:rPr>
            </w:pPr>
          </w:p>
        </w:tc>
        <w:tc>
          <w:tcPr>
            <w:tcW w:w="1134" w:type="dxa"/>
            <w:shd w:val="clear" w:color="auto" w:fill="auto"/>
          </w:tcPr>
          <w:p w14:paraId="11243C6D" w14:textId="27EE9EC8" w:rsidR="003A3EE6" w:rsidRPr="003A3EE6" w:rsidRDefault="00B64FB4" w:rsidP="003A3EE6">
            <w:pPr>
              <w:spacing w:after="60"/>
              <w:jc w:val="center"/>
              <w:rPr>
                <w:b/>
                <w:bCs/>
                <w:color w:val="000000"/>
                <w:sz w:val="20"/>
                <w:szCs w:val="20"/>
              </w:rPr>
            </w:pPr>
            <w:r w:rsidRPr="009D5B83">
              <w:rPr>
                <w:b/>
                <w:bCs/>
                <w:color w:val="000000"/>
                <w:sz w:val="20"/>
                <w:szCs w:val="20"/>
              </w:rPr>
              <w:t xml:space="preserve">Закон № </w:t>
            </w:r>
            <w:r w:rsidR="003A3EE6" w:rsidRPr="003A3EE6">
              <w:rPr>
                <w:b/>
                <w:bCs/>
                <w:color w:val="000000"/>
                <w:sz w:val="20"/>
                <w:szCs w:val="20"/>
              </w:rPr>
              <w:t>392</w:t>
            </w:r>
            <w:r w:rsidRPr="009D5B83">
              <w:rPr>
                <w:b/>
                <w:bCs/>
                <w:color w:val="000000"/>
                <w:sz w:val="20"/>
                <w:szCs w:val="20"/>
              </w:rPr>
              <w:t>-ФЗ</w:t>
            </w:r>
          </w:p>
        </w:tc>
        <w:tc>
          <w:tcPr>
            <w:tcW w:w="992" w:type="dxa"/>
          </w:tcPr>
          <w:p w14:paraId="362EE675" w14:textId="084E2C23" w:rsidR="003A3EE6" w:rsidRPr="003A3EE6" w:rsidRDefault="00B64FB4" w:rsidP="003A3EE6">
            <w:pPr>
              <w:spacing w:after="60"/>
              <w:jc w:val="center"/>
              <w:rPr>
                <w:b/>
                <w:bCs/>
                <w:color w:val="000000"/>
                <w:sz w:val="20"/>
                <w:szCs w:val="20"/>
              </w:rPr>
            </w:pPr>
            <w:r w:rsidRPr="009D5B83">
              <w:rPr>
                <w:b/>
                <w:bCs/>
                <w:color w:val="000000"/>
                <w:sz w:val="20"/>
                <w:szCs w:val="20"/>
              </w:rPr>
              <w:t xml:space="preserve">Закон № </w:t>
            </w:r>
            <w:r w:rsidRPr="003A3EE6">
              <w:rPr>
                <w:b/>
                <w:bCs/>
                <w:color w:val="000000"/>
                <w:sz w:val="20"/>
                <w:szCs w:val="20"/>
              </w:rPr>
              <w:t>392</w:t>
            </w:r>
            <w:r w:rsidRPr="009D5B83">
              <w:rPr>
                <w:b/>
                <w:bCs/>
                <w:color w:val="000000"/>
                <w:sz w:val="20"/>
                <w:szCs w:val="20"/>
              </w:rPr>
              <w:t>-ФЗ</w:t>
            </w:r>
          </w:p>
        </w:tc>
        <w:tc>
          <w:tcPr>
            <w:tcW w:w="1559" w:type="dxa"/>
            <w:shd w:val="clear" w:color="auto" w:fill="auto"/>
          </w:tcPr>
          <w:p w14:paraId="404BED92" w14:textId="39FFE726" w:rsidR="003A3EE6" w:rsidRPr="003A3EE6" w:rsidRDefault="0094064F" w:rsidP="003A3EE6">
            <w:pPr>
              <w:spacing w:after="60"/>
              <w:jc w:val="center"/>
              <w:rPr>
                <w:b/>
                <w:bCs/>
                <w:color w:val="000000"/>
                <w:sz w:val="20"/>
                <w:szCs w:val="20"/>
              </w:rPr>
            </w:pPr>
            <w:r w:rsidRPr="009D5B83">
              <w:rPr>
                <w:b/>
                <w:bCs/>
                <w:color w:val="000000"/>
                <w:sz w:val="20"/>
                <w:szCs w:val="20"/>
              </w:rPr>
              <w:t>Законоп</w:t>
            </w:r>
            <w:r w:rsidR="003A3EE6" w:rsidRPr="003A3EE6">
              <w:rPr>
                <w:b/>
                <w:bCs/>
                <w:color w:val="000000"/>
                <w:sz w:val="20"/>
                <w:szCs w:val="20"/>
              </w:rPr>
              <w:t>роект</w:t>
            </w:r>
            <w:r w:rsidRPr="009D5B83">
              <w:rPr>
                <w:b/>
                <w:bCs/>
                <w:color w:val="000000"/>
                <w:sz w:val="20"/>
                <w:szCs w:val="20"/>
              </w:rPr>
              <w:t xml:space="preserve"> о ФФОМС</w:t>
            </w:r>
          </w:p>
        </w:tc>
        <w:tc>
          <w:tcPr>
            <w:tcW w:w="851" w:type="dxa"/>
          </w:tcPr>
          <w:p w14:paraId="3BE5D66D" w14:textId="29536BA2" w:rsidR="003A3EE6" w:rsidRPr="003A3EE6" w:rsidRDefault="00B64FB4" w:rsidP="003A3EE6">
            <w:pPr>
              <w:spacing w:after="60"/>
              <w:jc w:val="center"/>
              <w:rPr>
                <w:b/>
                <w:bCs/>
                <w:color w:val="000000"/>
                <w:sz w:val="20"/>
                <w:szCs w:val="20"/>
              </w:rPr>
            </w:pPr>
            <w:r w:rsidRPr="009D5B83">
              <w:rPr>
                <w:b/>
                <w:bCs/>
                <w:color w:val="000000"/>
                <w:sz w:val="20"/>
                <w:szCs w:val="20"/>
              </w:rPr>
              <w:t xml:space="preserve">Закон № </w:t>
            </w:r>
            <w:r w:rsidRPr="003A3EE6">
              <w:rPr>
                <w:b/>
                <w:bCs/>
                <w:color w:val="000000"/>
                <w:sz w:val="20"/>
                <w:szCs w:val="20"/>
              </w:rPr>
              <w:t>392</w:t>
            </w:r>
            <w:r w:rsidRPr="009D5B83">
              <w:rPr>
                <w:b/>
                <w:bCs/>
                <w:color w:val="000000"/>
                <w:sz w:val="20"/>
                <w:szCs w:val="20"/>
              </w:rPr>
              <w:t>-ФЗ</w:t>
            </w:r>
          </w:p>
        </w:tc>
        <w:tc>
          <w:tcPr>
            <w:tcW w:w="1559" w:type="dxa"/>
            <w:shd w:val="clear" w:color="auto" w:fill="auto"/>
          </w:tcPr>
          <w:p w14:paraId="7B5FEC02" w14:textId="0054DCA1" w:rsidR="003A3EE6" w:rsidRPr="003A3EE6" w:rsidRDefault="0094064F"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c>
          <w:tcPr>
            <w:tcW w:w="1553" w:type="dxa"/>
            <w:shd w:val="clear" w:color="auto" w:fill="auto"/>
          </w:tcPr>
          <w:p w14:paraId="29EE15D1" w14:textId="52A0B77F" w:rsidR="003A3EE6" w:rsidRPr="003A3EE6" w:rsidRDefault="0094064F"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r>
      <w:tr w:rsidR="0094064F" w:rsidRPr="009D5B83" w14:paraId="42BC5866" w14:textId="77777777" w:rsidTr="0055726F">
        <w:trPr>
          <w:trHeight w:val="360"/>
          <w:jc w:val="center"/>
        </w:trPr>
        <w:tc>
          <w:tcPr>
            <w:tcW w:w="1413" w:type="dxa"/>
            <w:shd w:val="clear" w:color="auto" w:fill="auto"/>
            <w:vAlign w:val="center"/>
            <w:hideMark/>
          </w:tcPr>
          <w:p w14:paraId="65354ACE" w14:textId="7AAC6704" w:rsidR="003A3EE6" w:rsidRPr="0055726F" w:rsidRDefault="0094064F" w:rsidP="003A3EE6">
            <w:pPr>
              <w:spacing w:after="60"/>
              <w:jc w:val="both"/>
              <w:rPr>
                <w:b/>
                <w:bCs/>
                <w:color w:val="000000"/>
                <w:sz w:val="20"/>
                <w:szCs w:val="20"/>
              </w:rPr>
            </w:pPr>
            <w:r w:rsidRPr="009D5B83">
              <w:rPr>
                <w:b/>
                <w:bCs/>
                <w:color w:val="000000"/>
                <w:sz w:val="20"/>
                <w:szCs w:val="20"/>
              </w:rPr>
              <w:t>ВСЕГО</w:t>
            </w:r>
          </w:p>
        </w:tc>
        <w:tc>
          <w:tcPr>
            <w:tcW w:w="1134" w:type="dxa"/>
            <w:shd w:val="clear" w:color="auto" w:fill="auto"/>
            <w:vAlign w:val="center"/>
            <w:hideMark/>
          </w:tcPr>
          <w:p w14:paraId="4883A504" w14:textId="77777777" w:rsidR="003A3EE6" w:rsidRPr="0055726F" w:rsidRDefault="003A3EE6" w:rsidP="003A3EE6">
            <w:pPr>
              <w:spacing w:after="60"/>
              <w:jc w:val="center"/>
              <w:rPr>
                <w:b/>
                <w:bCs/>
                <w:color w:val="000000"/>
                <w:sz w:val="20"/>
                <w:szCs w:val="20"/>
              </w:rPr>
            </w:pPr>
            <w:r w:rsidRPr="0055726F">
              <w:rPr>
                <w:b/>
                <w:bCs/>
                <w:color w:val="000000"/>
                <w:sz w:val="20"/>
                <w:szCs w:val="20"/>
              </w:rPr>
              <w:t>2 779,2</w:t>
            </w:r>
          </w:p>
        </w:tc>
        <w:tc>
          <w:tcPr>
            <w:tcW w:w="992" w:type="dxa"/>
            <w:vAlign w:val="center"/>
          </w:tcPr>
          <w:p w14:paraId="7D5E5EAB" w14:textId="77777777" w:rsidR="003A3EE6" w:rsidRPr="0055726F" w:rsidRDefault="003A3EE6" w:rsidP="003A3EE6">
            <w:pPr>
              <w:spacing w:after="60"/>
              <w:jc w:val="center"/>
              <w:rPr>
                <w:b/>
                <w:bCs/>
                <w:color w:val="000000"/>
                <w:sz w:val="20"/>
                <w:szCs w:val="20"/>
              </w:rPr>
            </w:pPr>
            <w:r w:rsidRPr="0055726F">
              <w:rPr>
                <w:b/>
                <w:bCs/>
                <w:color w:val="000000"/>
                <w:sz w:val="20"/>
                <w:szCs w:val="20"/>
              </w:rPr>
              <w:t>2 925,7</w:t>
            </w:r>
          </w:p>
        </w:tc>
        <w:tc>
          <w:tcPr>
            <w:tcW w:w="1559" w:type="dxa"/>
            <w:shd w:val="clear" w:color="auto" w:fill="auto"/>
            <w:vAlign w:val="center"/>
          </w:tcPr>
          <w:p w14:paraId="2862CC9F" w14:textId="77777777" w:rsidR="003A3EE6" w:rsidRPr="0055726F" w:rsidRDefault="003A3EE6" w:rsidP="003A3EE6">
            <w:pPr>
              <w:spacing w:after="60"/>
              <w:jc w:val="center"/>
              <w:rPr>
                <w:b/>
                <w:bCs/>
                <w:color w:val="000000"/>
                <w:sz w:val="20"/>
                <w:szCs w:val="20"/>
              </w:rPr>
            </w:pPr>
            <w:r w:rsidRPr="0055726F">
              <w:rPr>
                <w:b/>
                <w:bCs/>
                <w:color w:val="000000"/>
                <w:sz w:val="20"/>
                <w:szCs w:val="20"/>
              </w:rPr>
              <w:t>3 135,4</w:t>
            </w:r>
          </w:p>
        </w:tc>
        <w:tc>
          <w:tcPr>
            <w:tcW w:w="851" w:type="dxa"/>
            <w:vAlign w:val="center"/>
          </w:tcPr>
          <w:p w14:paraId="7150A508" w14:textId="77777777" w:rsidR="003A3EE6" w:rsidRPr="0055726F" w:rsidRDefault="003A3EE6" w:rsidP="003A3EE6">
            <w:pPr>
              <w:spacing w:after="60"/>
              <w:jc w:val="center"/>
              <w:rPr>
                <w:b/>
                <w:bCs/>
                <w:color w:val="000000"/>
                <w:sz w:val="20"/>
                <w:szCs w:val="20"/>
              </w:rPr>
            </w:pPr>
            <w:r w:rsidRPr="0055726F">
              <w:rPr>
                <w:b/>
                <w:bCs/>
                <w:color w:val="000000"/>
                <w:sz w:val="20"/>
                <w:szCs w:val="20"/>
              </w:rPr>
              <w:t>3 086,3</w:t>
            </w:r>
          </w:p>
        </w:tc>
        <w:tc>
          <w:tcPr>
            <w:tcW w:w="1559" w:type="dxa"/>
            <w:shd w:val="clear" w:color="auto" w:fill="auto"/>
            <w:vAlign w:val="center"/>
          </w:tcPr>
          <w:p w14:paraId="3DD829BB" w14:textId="77777777" w:rsidR="003A3EE6" w:rsidRPr="0055726F" w:rsidRDefault="003A3EE6" w:rsidP="003A3EE6">
            <w:pPr>
              <w:spacing w:after="60"/>
              <w:jc w:val="center"/>
              <w:rPr>
                <w:b/>
                <w:bCs/>
                <w:color w:val="000000"/>
                <w:sz w:val="20"/>
                <w:szCs w:val="20"/>
              </w:rPr>
            </w:pPr>
            <w:r w:rsidRPr="0055726F">
              <w:rPr>
                <w:b/>
                <w:bCs/>
                <w:color w:val="000000"/>
                <w:sz w:val="20"/>
                <w:szCs w:val="20"/>
              </w:rPr>
              <w:t>3 366,0</w:t>
            </w:r>
          </w:p>
        </w:tc>
        <w:tc>
          <w:tcPr>
            <w:tcW w:w="1553" w:type="dxa"/>
            <w:shd w:val="clear" w:color="auto" w:fill="auto"/>
            <w:vAlign w:val="center"/>
          </w:tcPr>
          <w:p w14:paraId="28C5AE4C" w14:textId="77777777" w:rsidR="003A3EE6" w:rsidRPr="0055726F" w:rsidRDefault="003A3EE6" w:rsidP="003A3EE6">
            <w:pPr>
              <w:spacing w:after="60"/>
              <w:jc w:val="center"/>
              <w:rPr>
                <w:b/>
                <w:bCs/>
                <w:color w:val="000000"/>
                <w:sz w:val="20"/>
                <w:szCs w:val="20"/>
              </w:rPr>
            </w:pPr>
            <w:r w:rsidRPr="0055726F">
              <w:rPr>
                <w:b/>
                <w:bCs/>
                <w:color w:val="000000"/>
                <w:sz w:val="20"/>
                <w:szCs w:val="20"/>
              </w:rPr>
              <w:t>3 591,9</w:t>
            </w:r>
          </w:p>
        </w:tc>
      </w:tr>
      <w:tr w:rsidR="0094064F" w:rsidRPr="009D5B83" w14:paraId="1CF35ABC" w14:textId="77777777" w:rsidTr="0055726F">
        <w:trPr>
          <w:trHeight w:val="417"/>
          <w:jc w:val="center"/>
        </w:trPr>
        <w:tc>
          <w:tcPr>
            <w:tcW w:w="1413" w:type="dxa"/>
            <w:shd w:val="clear" w:color="auto" w:fill="auto"/>
            <w:vAlign w:val="center"/>
          </w:tcPr>
          <w:p w14:paraId="4E982323" w14:textId="77777777" w:rsidR="003A3EE6" w:rsidRPr="003A3EE6" w:rsidRDefault="003A3EE6" w:rsidP="003A3EE6">
            <w:pPr>
              <w:spacing w:after="60"/>
              <w:jc w:val="both"/>
              <w:rPr>
                <w:color w:val="000000"/>
                <w:sz w:val="20"/>
                <w:szCs w:val="20"/>
              </w:rPr>
            </w:pPr>
            <w:r w:rsidRPr="003A3EE6">
              <w:rPr>
                <w:color w:val="000000"/>
                <w:sz w:val="20"/>
                <w:szCs w:val="20"/>
              </w:rPr>
              <w:t>Страховые взносы на ОМС, из них:</w:t>
            </w:r>
          </w:p>
        </w:tc>
        <w:tc>
          <w:tcPr>
            <w:tcW w:w="1134" w:type="dxa"/>
            <w:shd w:val="clear" w:color="auto" w:fill="auto"/>
            <w:vAlign w:val="center"/>
          </w:tcPr>
          <w:p w14:paraId="3D88C6A3" w14:textId="77777777" w:rsidR="003A3EE6" w:rsidRPr="003A3EE6" w:rsidRDefault="003A3EE6" w:rsidP="003A3EE6">
            <w:pPr>
              <w:spacing w:after="60"/>
              <w:jc w:val="center"/>
              <w:rPr>
                <w:color w:val="000000"/>
                <w:sz w:val="20"/>
                <w:szCs w:val="20"/>
              </w:rPr>
            </w:pPr>
            <w:r w:rsidRPr="003A3EE6">
              <w:rPr>
                <w:color w:val="000000"/>
                <w:sz w:val="20"/>
                <w:szCs w:val="20"/>
              </w:rPr>
              <w:t>2 447,8</w:t>
            </w:r>
          </w:p>
        </w:tc>
        <w:tc>
          <w:tcPr>
            <w:tcW w:w="992" w:type="dxa"/>
            <w:vAlign w:val="center"/>
          </w:tcPr>
          <w:p w14:paraId="43393BA6" w14:textId="77777777" w:rsidR="003A3EE6" w:rsidRPr="003A3EE6" w:rsidRDefault="003A3EE6" w:rsidP="003A3EE6">
            <w:pPr>
              <w:spacing w:after="60"/>
              <w:jc w:val="center"/>
              <w:rPr>
                <w:color w:val="000000"/>
                <w:sz w:val="20"/>
                <w:szCs w:val="20"/>
              </w:rPr>
            </w:pPr>
            <w:r w:rsidRPr="003A3EE6">
              <w:rPr>
                <w:color w:val="000000"/>
                <w:sz w:val="20"/>
                <w:szCs w:val="20"/>
              </w:rPr>
              <w:t>2 593,3</w:t>
            </w:r>
          </w:p>
        </w:tc>
        <w:tc>
          <w:tcPr>
            <w:tcW w:w="1559" w:type="dxa"/>
            <w:shd w:val="clear" w:color="auto" w:fill="auto"/>
            <w:vAlign w:val="center"/>
          </w:tcPr>
          <w:p w14:paraId="05B22062" w14:textId="77777777" w:rsidR="003A3EE6" w:rsidRPr="003A3EE6" w:rsidRDefault="003A3EE6" w:rsidP="003A3EE6">
            <w:pPr>
              <w:spacing w:after="60"/>
              <w:jc w:val="center"/>
              <w:rPr>
                <w:color w:val="000000"/>
                <w:sz w:val="20"/>
                <w:szCs w:val="20"/>
              </w:rPr>
            </w:pPr>
            <w:r w:rsidRPr="003A3EE6">
              <w:rPr>
                <w:color w:val="000000"/>
                <w:sz w:val="20"/>
                <w:szCs w:val="20"/>
              </w:rPr>
              <w:t>2 686,4</w:t>
            </w:r>
          </w:p>
        </w:tc>
        <w:tc>
          <w:tcPr>
            <w:tcW w:w="851" w:type="dxa"/>
            <w:vAlign w:val="center"/>
          </w:tcPr>
          <w:p w14:paraId="1D90F13F" w14:textId="77777777" w:rsidR="003A3EE6" w:rsidRPr="003A3EE6" w:rsidRDefault="003A3EE6" w:rsidP="003A3EE6">
            <w:pPr>
              <w:spacing w:after="60"/>
              <w:jc w:val="center"/>
              <w:rPr>
                <w:color w:val="000000"/>
                <w:sz w:val="20"/>
                <w:szCs w:val="20"/>
              </w:rPr>
            </w:pPr>
            <w:r w:rsidRPr="003A3EE6">
              <w:rPr>
                <w:color w:val="000000"/>
                <w:sz w:val="20"/>
                <w:szCs w:val="20"/>
              </w:rPr>
              <w:t>2 745,3</w:t>
            </w:r>
          </w:p>
        </w:tc>
        <w:tc>
          <w:tcPr>
            <w:tcW w:w="1559" w:type="dxa"/>
            <w:shd w:val="clear" w:color="auto" w:fill="auto"/>
            <w:vAlign w:val="center"/>
          </w:tcPr>
          <w:p w14:paraId="5C83C6B7" w14:textId="77777777" w:rsidR="003A3EE6" w:rsidRPr="003A3EE6" w:rsidRDefault="003A3EE6" w:rsidP="003A3EE6">
            <w:pPr>
              <w:spacing w:after="60"/>
              <w:jc w:val="center"/>
              <w:rPr>
                <w:color w:val="000000"/>
                <w:sz w:val="20"/>
                <w:szCs w:val="20"/>
              </w:rPr>
            </w:pPr>
            <w:r w:rsidRPr="003A3EE6">
              <w:rPr>
                <w:color w:val="000000"/>
                <w:sz w:val="20"/>
                <w:szCs w:val="20"/>
              </w:rPr>
              <w:t>2 896,6</w:t>
            </w:r>
          </w:p>
        </w:tc>
        <w:tc>
          <w:tcPr>
            <w:tcW w:w="1553" w:type="dxa"/>
            <w:shd w:val="clear" w:color="auto" w:fill="auto"/>
            <w:vAlign w:val="center"/>
          </w:tcPr>
          <w:p w14:paraId="466B4999" w14:textId="77777777" w:rsidR="003A3EE6" w:rsidRPr="003A3EE6" w:rsidRDefault="003A3EE6" w:rsidP="003A3EE6">
            <w:pPr>
              <w:spacing w:after="60"/>
              <w:jc w:val="center"/>
              <w:rPr>
                <w:color w:val="000000"/>
                <w:sz w:val="20"/>
                <w:szCs w:val="20"/>
              </w:rPr>
            </w:pPr>
            <w:r w:rsidRPr="003A3EE6">
              <w:rPr>
                <w:color w:val="000000"/>
                <w:sz w:val="20"/>
                <w:szCs w:val="20"/>
              </w:rPr>
              <w:t>3 104,9</w:t>
            </w:r>
          </w:p>
        </w:tc>
      </w:tr>
      <w:tr w:rsidR="0094064F" w:rsidRPr="009D5B83" w14:paraId="33437207" w14:textId="77777777" w:rsidTr="0055726F">
        <w:trPr>
          <w:trHeight w:val="417"/>
          <w:jc w:val="center"/>
        </w:trPr>
        <w:tc>
          <w:tcPr>
            <w:tcW w:w="1413" w:type="dxa"/>
            <w:shd w:val="clear" w:color="auto" w:fill="auto"/>
            <w:vAlign w:val="center"/>
          </w:tcPr>
          <w:p w14:paraId="3EECA435" w14:textId="77777777" w:rsidR="003A3EE6" w:rsidRPr="003A3EE6" w:rsidRDefault="003A3EE6" w:rsidP="003A3EE6">
            <w:pPr>
              <w:spacing w:after="60"/>
              <w:ind w:left="317"/>
              <w:jc w:val="both"/>
              <w:rPr>
                <w:color w:val="000000"/>
                <w:sz w:val="20"/>
                <w:szCs w:val="20"/>
              </w:rPr>
            </w:pPr>
            <w:r w:rsidRPr="003A3EE6">
              <w:rPr>
                <w:color w:val="000000"/>
                <w:sz w:val="20"/>
                <w:szCs w:val="20"/>
              </w:rPr>
              <w:t>ОМС работающего населения</w:t>
            </w:r>
          </w:p>
        </w:tc>
        <w:tc>
          <w:tcPr>
            <w:tcW w:w="1134" w:type="dxa"/>
            <w:shd w:val="clear" w:color="auto" w:fill="auto"/>
            <w:vAlign w:val="center"/>
          </w:tcPr>
          <w:p w14:paraId="17644ACA" w14:textId="77777777" w:rsidR="003A3EE6" w:rsidRPr="003A3EE6" w:rsidRDefault="003A3EE6" w:rsidP="003A3EE6">
            <w:pPr>
              <w:spacing w:after="60"/>
              <w:jc w:val="center"/>
              <w:rPr>
                <w:color w:val="000000"/>
                <w:sz w:val="20"/>
                <w:szCs w:val="20"/>
              </w:rPr>
            </w:pPr>
            <w:r w:rsidRPr="003A3EE6">
              <w:rPr>
                <w:color w:val="000000"/>
                <w:sz w:val="20"/>
                <w:szCs w:val="20"/>
              </w:rPr>
              <w:t>1 634,0</w:t>
            </w:r>
          </w:p>
        </w:tc>
        <w:tc>
          <w:tcPr>
            <w:tcW w:w="992" w:type="dxa"/>
            <w:vAlign w:val="center"/>
          </w:tcPr>
          <w:p w14:paraId="7D95F06F" w14:textId="77777777" w:rsidR="003A3EE6" w:rsidRPr="003A3EE6" w:rsidRDefault="003A3EE6" w:rsidP="003A3EE6">
            <w:pPr>
              <w:spacing w:after="60"/>
              <w:jc w:val="center"/>
              <w:rPr>
                <w:color w:val="000000"/>
                <w:sz w:val="20"/>
                <w:szCs w:val="20"/>
              </w:rPr>
            </w:pPr>
            <w:r w:rsidRPr="003A3EE6">
              <w:rPr>
                <w:color w:val="000000"/>
                <w:sz w:val="20"/>
                <w:szCs w:val="20"/>
              </w:rPr>
              <w:t>1 746,9</w:t>
            </w:r>
          </w:p>
        </w:tc>
        <w:tc>
          <w:tcPr>
            <w:tcW w:w="1559" w:type="dxa"/>
            <w:shd w:val="clear" w:color="auto" w:fill="auto"/>
            <w:vAlign w:val="center"/>
          </w:tcPr>
          <w:p w14:paraId="7C35D658" w14:textId="77777777" w:rsidR="003A3EE6" w:rsidRPr="003A3EE6" w:rsidRDefault="003A3EE6" w:rsidP="003A3EE6">
            <w:pPr>
              <w:spacing w:after="60"/>
              <w:jc w:val="center"/>
              <w:rPr>
                <w:color w:val="000000"/>
                <w:sz w:val="20"/>
                <w:szCs w:val="20"/>
              </w:rPr>
            </w:pPr>
            <w:r w:rsidRPr="003A3EE6">
              <w:rPr>
                <w:color w:val="000000"/>
                <w:sz w:val="20"/>
                <w:szCs w:val="20"/>
              </w:rPr>
              <w:t>1 788,2</w:t>
            </w:r>
          </w:p>
        </w:tc>
        <w:tc>
          <w:tcPr>
            <w:tcW w:w="851" w:type="dxa"/>
            <w:vAlign w:val="center"/>
          </w:tcPr>
          <w:p w14:paraId="386CF045" w14:textId="77777777" w:rsidR="003A3EE6" w:rsidRPr="003A3EE6" w:rsidRDefault="003A3EE6" w:rsidP="003A3EE6">
            <w:pPr>
              <w:spacing w:after="60"/>
              <w:jc w:val="center"/>
              <w:rPr>
                <w:color w:val="000000"/>
                <w:sz w:val="20"/>
                <w:szCs w:val="20"/>
              </w:rPr>
            </w:pPr>
            <w:r w:rsidRPr="003A3EE6">
              <w:rPr>
                <w:color w:val="000000"/>
                <w:sz w:val="20"/>
                <w:szCs w:val="20"/>
              </w:rPr>
              <w:t>1 864,9</w:t>
            </w:r>
          </w:p>
        </w:tc>
        <w:tc>
          <w:tcPr>
            <w:tcW w:w="1559" w:type="dxa"/>
            <w:shd w:val="clear" w:color="auto" w:fill="auto"/>
            <w:vAlign w:val="center"/>
          </w:tcPr>
          <w:p w14:paraId="464A5C1C" w14:textId="77777777" w:rsidR="003A3EE6" w:rsidRPr="003A3EE6" w:rsidRDefault="003A3EE6" w:rsidP="003A3EE6">
            <w:pPr>
              <w:spacing w:after="60"/>
              <w:jc w:val="center"/>
              <w:rPr>
                <w:color w:val="000000"/>
                <w:sz w:val="20"/>
                <w:szCs w:val="20"/>
              </w:rPr>
            </w:pPr>
            <w:r w:rsidRPr="003A3EE6">
              <w:rPr>
                <w:color w:val="000000"/>
                <w:sz w:val="20"/>
                <w:szCs w:val="20"/>
              </w:rPr>
              <w:t>1 932,7</w:t>
            </w:r>
          </w:p>
        </w:tc>
        <w:tc>
          <w:tcPr>
            <w:tcW w:w="1553" w:type="dxa"/>
            <w:shd w:val="clear" w:color="auto" w:fill="auto"/>
            <w:vAlign w:val="center"/>
          </w:tcPr>
          <w:p w14:paraId="2DBC7E3B" w14:textId="77777777" w:rsidR="003A3EE6" w:rsidRPr="003A3EE6" w:rsidRDefault="003A3EE6" w:rsidP="003A3EE6">
            <w:pPr>
              <w:spacing w:after="60"/>
              <w:jc w:val="center"/>
              <w:rPr>
                <w:color w:val="000000"/>
                <w:sz w:val="20"/>
                <w:szCs w:val="20"/>
              </w:rPr>
            </w:pPr>
            <w:r w:rsidRPr="003A3EE6">
              <w:rPr>
                <w:color w:val="000000"/>
                <w:sz w:val="20"/>
                <w:szCs w:val="20"/>
              </w:rPr>
              <w:t>2 077,2</w:t>
            </w:r>
          </w:p>
        </w:tc>
      </w:tr>
      <w:tr w:rsidR="0094064F" w:rsidRPr="009D5B83" w14:paraId="600B0199" w14:textId="77777777" w:rsidTr="0055726F">
        <w:trPr>
          <w:trHeight w:val="417"/>
          <w:jc w:val="center"/>
        </w:trPr>
        <w:tc>
          <w:tcPr>
            <w:tcW w:w="1413" w:type="dxa"/>
            <w:shd w:val="clear" w:color="auto" w:fill="auto"/>
            <w:vAlign w:val="center"/>
          </w:tcPr>
          <w:p w14:paraId="3D7A5328" w14:textId="77777777" w:rsidR="003A3EE6" w:rsidRPr="003A3EE6" w:rsidRDefault="003A3EE6" w:rsidP="003A3EE6">
            <w:pPr>
              <w:spacing w:after="60"/>
              <w:ind w:left="317"/>
              <w:jc w:val="both"/>
              <w:rPr>
                <w:color w:val="000000"/>
                <w:sz w:val="20"/>
                <w:szCs w:val="20"/>
              </w:rPr>
            </w:pPr>
            <w:r w:rsidRPr="003A3EE6">
              <w:rPr>
                <w:color w:val="000000"/>
                <w:sz w:val="20"/>
                <w:szCs w:val="20"/>
              </w:rPr>
              <w:t>ОМС неработающего населения</w:t>
            </w:r>
          </w:p>
        </w:tc>
        <w:tc>
          <w:tcPr>
            <w:tcW w:w="1134" w:type="dxa"/>
            <w:shd w:val="clear" w:color="auto" w:fill="auto"/>
            <w:vAlign w:val="center"/>
          </w:tcPr>
          <w:p w14:paraId="18D4EC7E" w14:textId="77777777" w:rsidR="003A3EE6" w:rsidRPr="003A3EE6" w:rsidRDefault="003A3EE6" w:rsidP="003A3EE6">
            <w:pPr>
              <w:spacing w:after="60"/>
              <w:jc w:val="center"/>
              <w:rPr>
                <w:color w:val="000000"/>
                <w:sz w:val="20"/>
                <w:szCs w:val="20"/>
              </w:rPr>
            </w:pPr>
            <w:r w:rsidRPr="003A3EE6">
              <w:rPr>
                <w:color w:val="000000"/>
                <w:sz w:val="20"/>
                <w:szCs w:val="20"/>
              </w:rPr>
              <w:t>813,8</w:t>
            </w:r>
          </w:p>
        </w:tc>
        <w:tc>
          <w:tcPr>
            <w:tcW w:w="992" w:type="dxa"/>
            <w:vAlign w:val="center"/>
          </w:tcPr>
          <w:p w14:paraId="3B8151C6" w14:textId="77777777" w:rsidR="003A3EE6" w:rsidRPr="003A3EE6" w:rsidRDefault="003A3EE6" w:rsidP="003A3EE6">
            <w:pPr>
              <w:spacing w:after="60"/>
              <w:jc w:val="center"/>
              <w:rPr>
                <w:color w:val="000000"/>
                <w:sz w:val="20"/>
                <w:szCs w:val="20"/>
              </w:rPr>
            </w:pPr>
            <w:r w:rsidRPr="003A3EE6">
              <w:rPr>
                <w:color w:val="000000"/>
                <w:sz w:val="20"/>
                <w:szCs w:val="20"/>
              </w:rPr>
              <w:t>846,5</w:t>
            </w:r>
          </w:p>
        </w:tc>
        <w:tc>
          <w:tcPr>
            <w:tcW w:w="1559" w:type="dxa"/>
            <w:shd w:val="clear" w:color="auto" w:fill="auto"/>
            <w:vAlign w:val="center"/>
          </w:tcPr>
          <w:p w14:paraId="6B2AF504" w14:textId="77777777" w:rsidR="003A3EE6" w:rsidRPr="003A3EE6" w:rsidRDefault="003A3EE6" w:rsidP="003A3EE6">
            <w:pPr>
              <w:spacing w:after="60"/>
              <w:jc w:val="center"/>
              <w:rPr>
                <w:color w:val="000000"/>
                <w:sz w:val="20"/>
                <w:szCs w:val="20"/>
              </w:rPr>
            </w:pPr>
            <w:r w:rsidRPr="003A3EE6">
              <w:rPr>
                <w:color w:val="000000"/>
                <w:sz w:val="20"/>
                <w:szCs w:val="20"/>
              </w:rPr>
              <w:t>898,1</w:t>
            </w:r>
          </w:p>
        </w:tc>
        <w:tc>
          <w:tcPr>
            <w:tcW w:w="851" w:type="dxa"/>
            <w:vAlign w:val="center"/>
          </w:tcPr>
          <w:p w14:paraId="6A067D5B" w14:textId="77777777" w:rsidR="003A3EE6" w:rsidRPr="003A3EE6" w:rsidRDefault="003A3EE6" w:rsidP="003A3EE6">
            <w:pPr>
              <w:spacing w:after="60"/>
              <w:jc w:val="center"/>
              <w:rPr>
                <w:color w:val="000000"/>
                <w:sz w:val="20"/>
                <w:szCs w:val="20"/>
              </w:rPr>
            </w:pPr>
            <w:r w:rsidRPr="003A3EE6">
              <w:rPr>
                <w:color w:val="000000"/>
                <w:sz w:val="20"/>
                <w:szCs w:val="20"/>
              </w:rPr>
              <w:t>880,5</w:t>
            </w:r>
          </w:p>
        </w:tc>
        <w:tc>
          <w:tcPr>
            <w:tcW w:w="1559" w:type="dxa"/>
            <w:shd w:val="clear" w:color="auto" w:fill="auto"/>
            <w:vAlign w:val="center"/>
          </w:tcPr>
          <w:p w14:paraId="16040346" w14:textId="77777777" w:rsidR="003A3EE6" w:rsidRPr="003A3EE6" w:rsidRDefault="003A3EE6" w:rsidP="003A3EE6">
            <w:pPr>
              <w:spacing w:after="60"/>
              <w:jc w:val="center"/>
              <w:rPr>
                <w:color w:val="000000"/>
                <w:sz w:val="20"/>
                <w:szCs w:val="20"/>
              </w:rPr>
            </w:pPr>
            <w:r w:rsidRPr="003A3EE6">
              <w:rPr>
                <w:color w:val="000000"/>
                <w:sz w:val="20"/>
                <w:szCs w:val="20"/>
              </w:rPr>
              <w:t>963,9</w:t>
            </w:r>
          </w:p>
        </w:tc>
        <w:tc>
          <w:tcPr>
            <w:tcW w:w="1553" w:type="dxa"/>
            <w:shd w:val="clear" w:color="auto" w:fill="auto"/>
            <w:vAlign w:val="center"/>
          </w:tcPr>
          <w:p w14:paraId="32FE4788" w14:textId="77777777" w:rsidR="003A3EE6" w:rsidRPr="003A3EE6" w:rsidRDefault="003A3EE6" w:rsidP="003A3EE6">
            <w:pPr>
              <w:spacing w:after="60"/>
              <w:jc w:val="center"/>
              <w:rPr>
                <w:color w:val="000000"/>
                <w:sz w:val="20"/>
                <w:szCs w:val="20"/>
              </w:rPr>
            </w:pPr>
            <w:r w:rsidRPr="003A3EE6">
              <w:rPr>
                <w:color w:val="000000"/>
                <w:sz w:val="20"/>
                <w:szCs w:val="20"/>
              </w:rPr>
              <w:t>1 027,7</w:t>
            </w:r>
          </w:p>
        </w:tc>
      </w:tr>
      <w:tr w:rsidR="0094064F" w:rsidRPr="009D5B83" w14:paraId="08A63295" w14:textId="77777777" w:rsidTr="0055726F">
        <w:trPr>
          <w:trHeight w:val="417"/>
          <w:jc w:val="center"/>
        </w:trPr>
        <w:tc>
          <w:tcPr>
            <w:tcW w:w="1413" w:type="dxa"/>
            <w:shd w:val="clear" w:color="auto" w:fill="auto"/>
            <w:vAlign w:val="center"/>
          </w:tcPr>
          <w:p w14:paraId="21493894" w14:textId="77777777" w:rsidR="003A3EE6" w:rsidRPr="003A3EE6" w:rsidRDefault="003A3EE6" w:rsidP="003A3EE6">
            <w:pPr>
              <w:spacing w:after="60"/>
              <w:jc w:val="both"/>
              <w:rPr>
                <w:color w:val="000000"/>
                <w:sz w:val="20"/>
                <w:szCs w:val="20"/>
              </w:rPr>
            </w:pPr>
            <w:r w:rsidRPr="003A3EE6">
              <w:rPr>
                <w:color w:val="000000"/>
                <w:sz w:val="20"/>
                <w:szCs w:val="20"/>
              </w:rPr>
              <w:t>Налоговые доходы</w:t>
            </w:r>
          </w:p>
        </w:tc>
        <w:tc>
          <w:tcPr>
            <w:tcW w:w="1134" w:type="dxa"/>
            <w:shd w:val="clear" w:color="auto" w:fill="auto"/>
            <w:vAlign w:val="center"/>
          </w:tcPr>
          <w:p w14:paraId="110C521F" w14:textId="77777777" w:rsidR="003A3EE6" w:rsidRPr="003A3EE6" w:rsidRDefault="003A3EE6" w:rsidP="003A3EE6">
            <w:pPr>
              <w:spacing w:after="60"/>
              <w:jc w:val="center"/>
              <w:rPr>
                <w:color w:val="000000"/>
                <w:sz w:val="20"/>
                <w:szCs w:val="20"/>
              </w:rPr>
            </w:pPr>
            <w:r w:rsidRPr="003A3EE6">
              <w:rPr>
                <w:color w:val="000000"/>
                <w:sz w:val="20"/>
                <w:szCs w:val="20"/>
              </w:rPr>
              <w:t>5,4</w:t>
            </w:r>
          </w:p>
        </w:tc>
        <w:tc>
          <w:tcPr>
            <w:tcW w:w="992" w:type="dxa"/>
            <w:vAlign w:val="center"/>
          </w:tcPr>
          <w:p w14:paraId="20B72643" w14:textId="77777777" w:rsidR="003A3EE6" w:rsidRPr="003A3EE6" w:rsidRDefault="003A3EE6" w:rsidP="003A3EE6">
            <w:pPr>
              <w:spacing w:after="60"/>
              <w:jc w:val="center"/>
              <w:rPr>
                <w:color w:val="000000"/>
                <w:sz w:val="20"/>
                <w:szCs w:val="20"/>
              </w:rPr>
            </w:pPr>
            <w:r w:rsidRPr="003A3EE6">
              <w:rPr>
                <w:color w:val="000000"/>
                <w:sz w:val="20"/>
                <w:szCs w:val="20"/>
              </w:rPr>
              <w:t>5,6</w:t>
            </w:r>
          </w:p>
        </w:tc>
        <w:tc>
          <w:tcPr>
            <w:tcW w:w="1559" w:type="dxa"/>
            <w:shd w:val="clear" w:color="auto" w:fill="auto"/>
            <w:vAlign w:val="center"/>
          </w:tcPr>
          <w:p w14:paraId="2D439841" w14:textId="77777777" w:rsidR="003A3EE6" w:rsidRPr="003A3EE6" w:rsidRDefault="003A3EE6" w:rsidP="003A3EE6">
            <w:pPr>
              <w:spacing w:after="60"/>
              <w:jc w:val="center"/>
              <w:rPr>
                <w:color w:val="000000"/>
                <w:sz w:val="20"/>
                <w:szCs w:val="20"/>
              </w:rPr>
            </w:pPr>
            <w:r w:rsidRPr="003A3EE6">
              <w:rPr>
                <w:color w:val="000000"/>
                <w:sz w:val="20"/>
                <w:szCs w:val="20"/>
              </w:rPr>
              <w:t>14,9</w:t>
            </w:r>
          </w:p>
        </w:tc>
        <w:tc>
          <w:tcPr>
            <w:tcW w:w="851" w:type="dxa"/>
            <w:vAlign w:val="center"/>
          </w:tcPr>
          <w:p w14:paraId="1534CD22" w14:textId="77777777" w:rsidR="003A3EE6" w:rsidRPr="003A3EE6" w:rsidRDefault="003A3EE6" w:rsidP="003A3EE6">
            <w:pPr>
              <w:spacing w:after="60"/>
              <w:jc w:val="center"/>
              <w:rPr>
                <w:color w:val="000000"/>
                <w:sz w:val="20"/>
                <w:szCs w:val="20"/>
              </w:rPr>
            </w:pPr>
            <w:r w:rsidRPr="003A3EE6">
              <w:rPr>
                <w:color w:val="000000"/>
                <w:sz w:val="20"/>
                <w:szCs w:val="20"/>
              </w:rPr>
              <w:t>5,9</w:t>
            </w:r>
          </w:p>
        </w:tc>
        <w:tc>
          <w:tcPr>
            <w:tcW w:w="1559" w:type="dxa"/>
            <w:shd w:val="clear" w:color="auto" w:fill="auto"/>
            <w:vAlign w:val="center"/>
          </w:tcPr>
          <w:p w14:paraId="25AE4AD3" w14:textId="77777777" w:rsidR="003A3EE6" w:rsidRPr="003A3EE6" w:rsidRDefault="003A3EE6" w:rsidP="003A3EE6">
            <w:pPr>
              <w:spacing w:after="60"/>
              <w:jc w:val="center"/>
              <w:rPr>
                <w:color w:val="000000"/>
                <w:sz w:val="20"/>
                <w:szCs w:val="20"/>
              </w:rPr>
            </w:pPr>
            <w:r w:rsidRPr="003A3EE6">
              <w:rPr>
                <w:color w:val="000000"/>
                <w:sz w:val="20"/>
                <w:szCs w:val="20"/>
              </w:rPr>
              <w:t>15,5</w:t>
            </w:r>
          </w:p>
        </w:tc>
        <w:tc>
          <w:tcPr>
            <w:tcW w:w="1553" w:type="dxa"/>
            <w:shd w:val="clear" w:color="auto" w:fill="auto"/>
            <w:vAlign w:val="center"/>
          </w:tcPr>
          <w:p w14:paraId="2A794058" w14:textId="77777777" w:rsidR="003A3EE6" w:rsidRPr="003A3EE6" w:rsidRDefault="003A3EE6" w:rsidP="003A3EE6">
            <w:pPr>
              <w:spacing w:after="60"/>
              <w:jc w:val="center"/>
              <w:rPr>
                <w:color w:val="000000"/>
                <w:sz w:val="20"/>
                <w:szCs w:val="20"/>
              </w:rPr>
            </w:pPr>
            <w:r w:rsidRPr="003A3EE6">
              <w:rPr>
                <w:color w:val="000000"/>
                <w:sz w:val="20"/>
                <w:szCs w:val="20"/>
              </w:rPr>
              <w:t>16,1</w:t>
            </w:r>
          </w:p>
        </w:tc>
      </w:tr>
      <w:tr w:rsidR="0094064F" w:rsidRPr="009D5B83" w14:paraId="38B7BC80" w14:textId="77777777" w:rsidTr="0055726F">
        <w:trPr>
          <w:trHeight w:val="417"/>
          <w:jc w:val="center"/>
        </w:trPr>
        <w:tc>
          <w:tcPr>
            <w:tcW w:w="1413" w:type="dxa"/>
            <w:shd w:val="clear" w:color="auto" w:fill="auto"/>
            <w:vAlign w:val="center"/>
          </w:tcPr>
          <w:p w14:paraId="6AEF43F6" w14:textId="42F8F18D" w:rsidR="003A3EE6" w:rsidRPr="003A3EE6" w:rsidRDefault="003A3EE6" w:rsidP="003A3EE6">
            <w:pPr>
              <w:spacing w:after="60"/>
              <w:jc w:val="both"/>
              <w:rPr>
                <w:color w:val="000000"/>
                <w:sz w:val="20"/>
                <w:szCs w:val="20"/>
              </w:rPr>
            </w:pPr>
            <w:r w:rsidRPr="003A3EE6">
              <w:rPr>
                <w:color w:val="000000"/>
                <w:sz w:val="20"/>
                <w:szCs w:val="20"/>
              </w:rPr>
              <w:t xml:space="preserve">Межбюджетные трансферты из </w:t>
            </w:r>
            <w:r w:rsidR="00B64FB4" w:rsidRPr="009D5B83">
              <w:rPr>
                <w:color w:val="000000"/>
                <w:sz w:val="20"/>
                <w:szCs w:val="20"/>
              </w:rPr>
              <w:t>ФБ</w:t>
            </w:r>
          </w:p>
        </w:tc>
        <w:tc>
          <w:tcPr>
            <w:tcW w:w="1134" w:type="dxa"/>
            <w:shd w:val="clear" w:color="auto" w:fill="auto"/>
            <w:vAlign w:val="center"/>
          </w:tcPr>
          <w:p w14:paraId="780F194B" w14:textId="77777777" w:rsidR="003A3EE6" w:rsidRPr="003A3EE6" w:rsidRDefault="003A3EE6" w:rsidP="003A3EE6">
            <w:pPr>
              <w:spacing w:after="60"/>
              <w:jc w:val="center"/>
              <w:rPr>
                <w:color w:val="000000"/>
                <w:sz w:val="20"/>
                <w:szCs w:val="20"/>
              </w:rPr>
            </w:pPr>
            <w:r w:rsidRPr="003A3EE6">
              <w:rPr>
                <w:color w:val="000000"/>
                <w:sz w:val="20"/>
                <w:szCs w:val="20"/>
              </w:rPr>
              <w:t>326,0</w:t>
            </w:r>
          </w:p>
        </w:tc>
        <w:tc>
          <w:tcPr>
            <w:tcW w:w="992" w:type="dxa"/>
            <w:vAlign w:val="center"/>
          </w:tcPr>
          <w:p w14:paraId="764A45DC" w14:textId="77777777" w:rsidR="003A3EE6" w:rsidRPr="003A3EE6" w:rsidRDefault="003A3EE6" w:rsidP="003A3EE6">
            <w:pPr>
              <w:spacing w:after="60"/>
              <w:jc w:val="center"/>
              <w:rPr>
                <w:color w:val="000000"/>
                <w:sz w:val="20"/>
                <w:szCs w:val="20"/>
              </w:rPr>
            </w:pPr>
            <w:r w:rsidRPr="003A3EE6">
              <w:rPr>
                <w:color w:val="000000"/>
                <w:sz w:val="20"/>
                <w:szCs w:val="20"/>
              </w:rPr>
              <w:t>326,8</w:t>
            </w:r>
          </w:p>
        </w:tc>
        <w:tc>
          <w:tcPr>
            <w:tcW w:w="1559" w:type="dxa"/>
            <w:shd w:val="clear" w:color="auto" w:fill="auto"/>
            <w:vAlign w:val="center"/>
          </w:tcPr>
          <w:p w14:paraId="1A66ED41" w14:textId="77777777" w:rsidR="003A3EE6" w:rsidRPr="003A3EE6" w:rsidRDefault="003A3EE6" w:rsidP="003A3EE6">
            <w:pPr>
              <w:spacing w:after="60"/>
              <w:jc w:val="center"/>
              <w:rPr>
                <w:color w:val="000000"/>
                <w:sz w:val="20"/>
                <w:szCs w:val="20"/>
              </w:rPr>
            </w:pPr>
            <w:r w:rsidRPr="003A3EE6">
              <w:rPr>
                <w:color w:val="000000"/>
                <w:sz w:val="20"/>
                <w:szCs w:val="20"/>
              </w:rPr>
              <w:t>429,4</w:t>
            </w:r>
          </w:p>
        </w:tc>
        <w:tc>
          <w:tcPr>
            <w:tcW w:w="851" w:type="dxa"/>
            <w:vAlign w:val="center"/>
          </w:tcPr>
          <w:p w14:paraId="79A8927A" w14:textId="77777777" w:rsidR="003A3EE6" w:rsidRPr="003A3EE6" w:rsidRDefault="003A3EE6" w:rsidP="003A3EE6">
            <w:pPr>
              <w:spacing w:after="60"/>
              <w:jc w:val="center"/>
              <w:rPr>
                <w:color w:val="000000"/>
                <w:sz w:val="20"/>
                <w:szCs w:val="20"/>
              </w:rPr>
            </w:pPr>
            <w:r w:rsidRPr="003A3EE6">
              <w:rPr>
                <w:color w:val="000000"/>
                <w:sz w:val="20"/>
                <w:szCs w:val="20"/>
              </w:rPr>
              <w:t>335,1</w:t>
            </w:r>
          </w:p>
        </w:tc>
        <w:tc>
          <w:tcPr>
            <w:tcW w:w="1559" w:type="dxa"/>
            <w:shd w:val="clear" w:color="auto" w:fill="auto"/>
            <w:vAlign w:val="center"/>
          </w:tcPr>
          <w:p w14:paraId="5308578B" w14:textId="77777777" w:rsidR="003A3EE6" w:rsidRPr="003A3EE6" w:rsidRDefault="003A3EE6" w:rsidP="003A3EE6">
            <w:pPr>
              <w:spacing w:after="60"/>
              <w:jc w:val="center"/>
              <w:rPr>
                <w:color w:val="000000"/>
                <w:sz w:val="20"/>
                <w:szCs w:val="20"/>
              </w:rPr>
            </w:pPr>
            <w:r w:rsidRPr="003A3EE6">
              <w:rPr>
                <w:color w:val="000000"/>
                <w:sz w:val="20"/>
                <w:szCs w:val="20"/>
              </w:rPr>
              <w:t>448,0</w:t>
            </w:r>
          </w:p>
        </w:tc>
        <w:tc>
          <w:tcPr>
            <w:tcW w:w="1553" w:type="dxa"/>
            <w:shd w:val="clear" w:color="auto" w:fill="auto"/>
            <w:vAlign w:val="center"/>
          </w:tcPr>
          <w:p w14:paraId="021347D7" w14:textId="77777777" w:rsidR="003A3EE6" w:rsidRPr="003A3EE6" w:rsidRDefault="003A3EE6" w:rsidP="003A3EE6">
            <w:pPr>
              <w:spacing w:after="60"/>
              <w:jc w:val="center"/>
              <w:rPr>
                <w:color w:val="000000"/>
                <w:sz w:val="20"/>
                <w:szCs w:val="20"/>
              </w:rPr>
            </w:pPr>
            <w:r w:rsidRPr="003A3EE6">
              <w:rPr>
                <w:color w:val="000000"/>
                <w:sz w:val="20"/>
                <w:szCs w:val="20"/>
              </w:rPr>
              <w:t>463,5</w:t>
            </w:r>
          </w:p>
        </w:tc>
      </w:tr>
      <w:tr w:rsidR="0094064F" w:rsidRPr="009D5B83" w14:paraId="0E014CA3" w14:textId="77777777" w:rsidTr="0055726F">
        <w:trPr>
          <w:trHeight w:val="417"/>
          <w:jc w:val="center"/>
        </w:trPr>
        <w:tc>
          <w:tcPr>
            <w:tcW w:w="1413" w:type="dxa"/>
            <w:shd w:val="clear" w:color="auto" w:fill="auto"/>
            <w:vAlign w:val="center"/>
          </w:tcPr>
          <w:p w14:paraId="7BC75995" w14:textId="77777777" w:rsidR="003A3EE6" w:rsidRPr="003A3EE6" w:rsidRDefault="003A3EE6" w:rsidP="003A3EE6">
            <w:pPr>
              <w:spacing w:after="60"/>
              <w:jc w:val="both"/>
              <w:rPr>
                <w:color w:val="000000"/>
                <w:sz w:val="20"/>
                <w:szCs w:val="20"/>
              </w:rPr>
            </w:pPr>
            <w:r w:rsidRPr="003A3EE6">
              <w:rPr>
                <w:color w:val="000000"/>
                <w:sz w:val="20"/>
                <w:szCs w:val="20"/>
              </w:rPr>
              <w:t>Прочие неналоговые доходы</w:t>
            </w:r>
          </w:p>
        </w:tc>
        <w:tc>
          <w:tcPr>
            <w:tcW w:w="1134" w:type="dxa"/>
            <w:shd w:val="clear" w:color="auto" w:fill="auto"/>
            <w:vAlign w:val="center"/>
          </w:tcPr>
          <w:p w14:paraId="29C4AD3B" w14:textId="77777777" w:rsidR="003A3EE6" w:rsidRPr="003A3EE6" w:rsidRDefault="003A3EE6" w:rsidP="003A3EE6">
            <w:pPr>
              <w:spacing w:after="60"/>
              <w:jc w:val="center"/>
              <w:rPr>
                <w:color w:val="000000"/>
                <w:sz w:val="20"/>
                <w:szCs w:val="20"/>
              </w:rPr>
            </w:pPr>
            <w:r w:rsidRPr="003A3EE6">
              <w:rPr>
                <w:color w:val="000000"/>
                <w:sz w:val="20"/>
                <w:szCs w:val="20"/>
              </w:rPr>
              <w:t>-</w:t>
            </w:r>
          </w:p>
        </w:tc>
        <w:tc>
          <w:tcPr>
            <w:tcW w:w="992" w:type="dxa"/>
            <w:vAlign w:val="center"/>
          </w:tcPr>
          <w:p w14:paraId="79366CE6" w14:textId="77777777" w:rsidR="003A3EE6" w:rsidRPr="003A3EE6" w:rsidRDefault="003A3EE6" w:rsidP="003A3EE6">
            <w:pPr>
              <w:spacing w:after="60"/>
              <w:jc w:val="center"/>
              <w:rPr>
                <w:color w:val="000000"/>
                <w:sz w:val="20"/>
                <w:szCs w:val="20"/>
              </w:rPr>
            </w:pPr>
            <w:r w:rsidRPr="003A3EE6">
              <w:rPr>
                <w:color w:val="000000"/>
                <w:sz w:val="20"/>
                <w:szCs w:val="20"/>
              </w:rPr>
              <w:t>-</w:t>
            </w:r>
          </w:p>
        </w:tc>
        <w:tc>
          <w:tcPr>
            <w:tcW w:w="1559" w:type="dxa"/>
            <w:shd w:val="clear" w:color="auto" w:fill="auto"/>
            <w:vAlign w:val="center"/>
          </w:tcPr>
          <w:p w14:paraId="37FCA3CC" w14:textId="77777777" w:rsidR="003A3EE6" w:rsidRPr="003A3EE6" w:rsidRDefault="003A3EE6" w:rsidP="003A3EE6">
            <w:pPr>
              <w:spacing w:after="60"/>
              <w:jc w:val="center"/>
              <w:rPr>
                <w:color w:val="000000"/>
                <w:sz w:val="20"/>
                <w:szCs w:val="20"/>
              </w:rPr>
            </w:pPr>
            <w:r w:rsidRPr="003A3EE6">
              <w:rPr>
                <w:color w:val="000000"/>
                <w:sz w:val="20"/>
                <w:szCs w:val="20"/>
              </w:rPr>
              <w:t>4,7</w:t>
            </w:r>
          </w:p>
        </w:tc>
        <w:tc>
          <w:tcPr>
            <w:tcW w:w="851" w:type="dxa"/>
            <w:vAlign w:val="center"/>
          </w:tcPr>
          <w:p w14:paraId="7224A6D8" w14:textId="77777777" w:rsidR="003A3EE6" w:rsidRPr="003A3EE6" w:rsidRDefault="003A3EE6" w:rsidP="003A3EE6">
            <w:pPr>
              <w:spacing w:after="60"/>
              <w:jc w:val="center"/>
              <w:rPr>
                <w:color w:val="000000"/>
                <w:sz w:val="20"/>
                <w:szCs w:val="20"/>
              </w:rPr>
            </w:pPr>
            <w:r w:rsidRPr="003A3EE6">
              <w:rPr>
                <w:color w:val="000000"/>
                <w:sz w:val="20"/>
                <w:szCs w:val="20"/>
              </w:rPr>
              <w:t>-</w:t>
            </w:r>
          </w:p>
        </w:tc>
        <w:tc>
          <w:tcPr>
            <w:tcW w:w="1559" w:type="dxa"/>
            <w:shd w:val="clear" w:color="auto" w:fill="auto"/>
            <w:vAlign w:val="center"/>
          </w:tcPr>
          <w:p w14:paraId="03218F3A" w14:textId="77777777" w:rsidR="003A3EE6" w:rsidRPr="003A3EE6" w:rsidRDefault="003A3EE6" w:rsidP="003A3EE6">
            <w:pPr>
              <w:spacing w:after="60"/>
              <w:jc w:val="center"/>
              <w:rPr>
                <w:color w:val="000000"/>
                <w:sz w:val="20"/>
                <w:szCs w:val="20"/>
              </w:rPr>
            </w:pPr>
            <w:r w:rsidRPr="003A3EE6">
              <w:rPr>
                <w:color w:val="000000"/>
                <w:sz w:val="20"/>
                <w:szCs w:val="20"/>
              </w:rPr>
              <w:t>5,9</w:t>
            </w:r>
          </w:p>
        </w:tc>
        <w:tc>
          <w:tcPr>
            <w:tcW w:w="1553" w:type="dxa"/>
            <w:shd w:val="clear" w:color="auto" w:fill="auto"/>
            <w:vAlign w:val="center"/>
          </w:tcPr>
          <w:p w14:paraId="39806722" w14:textId="77777777" w:rsidR="003A3EE6" w:rsidRPr="003A3EE6" w:rsidRDefault="003A3EE6" w:rsidP="003A3EE6">
            <w:pPr>
              <w:spacing w:after="60"/>
              <w:jc w:val="center"/>
              <w:rPr>
                <w:color w:val="000000"/>
                <w:sz w:val="20"/>
                <w:szCs w:val="20"/>
              </w:rPr>
            </w:pPr>
            <w:r w:rsidRPr="003A3EE6">
              <w:rPr>
                <w:color w:val="000000"/>
                <w:sz w:val="20"/>
                <w:szCs w:val="20"/>
              </w:rPr>
              <w:t>7,3</w:t>
            </w:r>
          </w:p>
        </w:tc>
      </w:tr>
    </w:tbl>
    <w:p w14:paraId="62E5C60E" w14:textId="2CFDC2AA" w:rsidR="003A3EE6" w:rsidRPr="003A3EE6" w:rsidRDefault="003A3EE6" w:rsidP="003A3EE6">
      <w:pPr>
        <w:ind w:firstLine="709"/>
        <w:jc w:val="both"/>
        <w:rPr>
          <w:sz w:val="20"/>
          <w:szCs w:val="20"/>
        </w:rPr>
      </w:pPr>
      <w:r w:rsidRPr="003A3EE6">
        <w:rPr>
          <w:i/>
          <w:iCs/>
          <w:sz w:val="20"/>
          <w:szCs w:val="20"/>
        </w:rPr>
        <w:t>Источник:</w:t>
      </w:r>
      <w:r w:rsidRPr="003A3EE6">
        <w:rPr>
          <w:sz w:val="20"/>
          <w:szCs w:val="20"/>
        </w:rPr>
        <w:t xml:space="preserve"> Пояснительная записка</w:t>
      </w:r>
      <w:r w:rsidR="0094064F" w:rsidRPr="009D5B83">
        <w:rPr>
          <w:sz w:val="20"/>
          <w:szCs w:val="20"/>
        </w:rPr>
        <w:t xml:space="preserve"> к Законопроекту о ФФОМС</w:t>
      </w:r>
      <w:r w:rsidR="001B4AA2">
        <w:rPr>
          <w:sz w:val="20"/>
          <w:szCs w:val="20"/>
        </w:rPr>
        <w:t xml:space="preserve">, </w:t>
      </w:r>
      <w:r w:rsidR="00B64FB4" w:rsidRPr="009D5B83">
        <w:rPr>
          <w:sz w:val="20"/>
          <w:szCs w:val="20"/>
        </w:rPr>
        <w:t>Закон № 392-ФЗ.</w:t>
      </w:r>
    </w:p>
    <w:p w14:paraId="23EBF3CF" w14:textId="77777777" w:rsidR="003A3EE6" w:rsidRPr="003A3EE6" w:rsidRDefault="003A3EE6" w:rsidP="003A3EE6">
      <w:pPr>
        <w:spacing w:after="60"/>
        <w:ind w:firstLine="709"/>
        <w:jc w:val="both"/>
      </w:pPr>
    </w:p>
    <w:p w14:paraId="2DF5152E" w14:textId="512E94C0" w:rsidR="003A3EE6" w:rsidRPr="00E103B9" w:rsidRDefault="003A3EE6" w:rsidP="003A3EE6">
      <w:pPr>
        <w:spacing w:after="60"/>
        <w:ind w:firstLine="709"/>
        <w:jc w:val="both"/>
        <w:rPr>
          <w:sz w:val="28"/>
        </w:rPr>
      </w:pPr>
      <w:r w:rsidRPr="00E103B9">
        <w:rPr>
          <w:sz w:val="28"/>
        </w:rPr>
        <w:t>Размер межбюджетных трансфертов из федерального бюджета будет увеличен, преимущественно за счет трансферта на компенсацию выпадающих доходов в связи с пониженными ставками страховых взносов (</w:t>
      </w:r>
      <w:r w:rsidRPr="00E103B9">
        <w:rPr>
          <w:i/>
          <w:iCs/>
          <w:sz w:val="28"/>
        </w:rPr>
        <w:t xml:space="preserve">таблица </w:t>
      </w:r>
      <w:r w:rsidR="0094064F" w:rsidRPr="00E103B9">
        <w:rPr>
          <w:i/>
          <w:iCs/>
          <w:sz w:val="28"/>
        </w:rPr>
        <w:t>25</w:t>
      </w:r>
      <w:r w:rsidRPr="00E103B9">
        <w:rPr>
          <w:sz w:val="28"/>
        </w:rPr>
        <w:t xml:space="preserve">). Увеличение обосновано вводом новых льготных категорий плательщиков и дальнейшим смягчением ранее действовавших специальных ставок страховых взносов и размеров предельной страховой базы. Незначительно вырос также размер трансферта на обеспечение </w:t>
      </w:r>
      <w:proofErr w:type="spellStart"/>
      <w:r w:rsidRPr="00E103B9">
        <w:rPr>
          <w:sz w:val="28"/>
        </w:rPr>
        <w:t>нестраховых</w:t>
      </w:r>
      <w:proofErr w:type="spellEnd"/>
      <w:r w:rsidRPr="00E103B9">
        <w:rPr>
          <w:sz w:val="28"/>
        </w:rPr>
        <w:t xml:space="preserve"> расходов, основную часть которого составляют средства на оказание ВМП. </w:t>
      </w:r>
    </w:p>
    <w:p w14:paraId="0FC1D2AB" w14:textId="77777777" w:rsidR="00E103B9" w:rsidRDefault="00E103B9" w:rsidP="003A3EE6">
      <w:pPr>
        <w:spacing w:after="60"/>
        <w:ind w:firstLine="709"/>
        <w:jc w:val="right"/>
        <w:rPr>
          <w:i/>
          <w:iCs/>
        </w:rPr>
      </w:pPr>
    </w:p>
    <w:p w14:paraId="19BBB055" w14:textId="77777777" w:rsidR="00E103B9" w:rsidRDefault="00E103B9" w:rsidP="003A3EE6">
      <w:pPr>
        <w:spacing w:after="60"/>
        <w:ind w:firstLine="709"/>
        <w:jc w:val="right"/>
        <w:rPr>
          <w:i/>
          <w:iCs/>
        </w:rPr>
      </w:pPr>
    </w:p>
    <w:p w14:paraId="506867EC" w14:textId="77777777" w:rsidR="00E103B9" w:rsidRDefault="00E103B9" w:rsidP="003A3EE6">
      <w:pPr>
        <w:spacing w:after="60"/>
        <w:ind w:firstLine="709"/>
        <w:jc w:val="right"/>
        <w:rPr>
          <w:i/>
          <w:iCs/>
        </w:rPr>
      </w:pPr>
    </w:p>
    <w:p w14:paraId="5067A7AB" w14:textId="77777777" w:rsidR="00E103B9" w:rsidRDefault="00E103B9" w:rsidP="003A3EE6">
      <w:pPr>
        <w:spacing w:after="60"/>
        <w:ind w:firstLine="709"/>
        <w:jc w:val="right"/>
        <w:rPr>
          <w:i/>
          <w:iCs/>
        </w:rPr>
      </w:pPr>
    </w:p>
    <w:p w14:paraId="33982A48" w14:textId="77777777" w:rsidR="00E103B9" w:rsidRDefault="00E103B9" w:rsidP="003A3EE6">
      <w:pPr>
        <w:spacing w:after="60"/>
        <w:ind w:firstLine="709"/>
        <w:jc w:val="right"/>
        <w:rPr>
          <w:i/>
          <w:iCs/>
        </w:rPr>
      </w:pPr>
    </w:p>
    <w:p w14:paraId="6F9AD9DB" w14:textId="77777777" w:rsidR="00E103B9" w:rsidRDefault="00E103B9" w:rsidP="003A3EE6">
      <w:pPr>
        <w:spacing w:after="60"/>
        <w:ind w:firstLine="709"/>
        <w:jc w:val="right"/>
        <w:rPr>
          <w:i/>
          <w:iCs/>
        </w:rPr>
      </w:pPr>
    </w:p>
    <w:p w14:paraId="22A48E43" w14:textId="77777777" w:rsidR="00E103B9" w:rsidRDefault="00E103B9" w:rsidP="003A3EE6">
      <w:pPr>
        <w:spacing w:after="60"/>
        <w:ind w:firstLine="709"/>
        <w:jc w:val="right"/>
        <w:rPr>
          <w:i/>
          <w:iCs/>
        </w:rPr>
      </w:pPr>
    </w:p>
    <w:p w14:paraId="1DF262CE" w14:textId="77777777" w:rsidR="00E103B9" w:rsidRDefault="00E103B9" w:rsidP="003A3EE6">
      <w:pPr>
        <w:spacing w:after="60"/>
        <w:ind w:firstLine="709"/>
        <w:jc w:val="right"/>
        <w:rPr>
          <w:i/>
          <w:iCs/>
        </w:rPr>
      </w:pPr>
    </w:p>
    <w:p w14:paraId="76C530BB" w14:textId="77777777" w:rsidR="00E103B9" w:rsidRDefault="00E103B9" w:rsidP="003A3EE6">
      <w:pPr>
        <w:spacing w:after="60"/>
        <w:ind w:firstLine="709"/>
        <w:jc w:val="right"/>
        <w:rPr>
          <w:i/>
          <w:iCs/>
        </w:rPr>
      </w:pPr>
    </w:p>
    <w:p w14:paraId="05EB631C" w14:textId="77777777" w:rsidR="00E103B9" w:rsidRDefault="00E103B9" w:rsidP="003A3EE6">
      <w:pPr>
        <w:spacing w:after="60"/>
        <w:ind w:firstLine="709"/>
        <w:jc w:val="right"/>
        <w:rPr>
          <w:i/>
          <w:iCs/>
        </w:rPr>
      </w:pPr>
    </w:p>
    <w:p w14:paraId="3245CF50" w14:textId="77777777" w:rsidR="00E103B9" w:rsidRDefault="00E103B9" w:rsidP="003A3EE6">
      <w:pPr>
        <w:spacing w:after="60"/>
        <w:ind w:firstLine="709"/>
        <w:jc w:val="right"/>
        <w:rPr>
          <w:i/>
          <w:iCs/>
        </w:rPr>
      </w:pPr>
    </w:p>
    <w:p w14:paraId="3B2EF4FF" w14:textId="77777777" w:rsidR="00E103B9" w:rsidRDefault="00E103B9" w:rsidP="003A3EE6">
      <w:pPr>
        <w:spacing w:after="60"/>
        <w:ind w:firstLine="709"/>
        <w:jc w:val="right"/>
        <w:rPr>
          <w:i/>
          <w:iCs/>
        </w:rPr>
      </w:pPr>
    </w:p>
    <w:p w14:paraId="0FF7BB54" w14:textId="09674A61" w:rsidR="003A3EE6" w:rsidRPr="003A3EE6" w:rsidRDefault="003A3EE6" w:rsidP="003A3EE6">
      <w:pPr>
        <w:spacing w:after="60"/>
        <w:ind w:firstLine="709"/>
        <w:jc w:val="right"/>
        <w:rPr>
          <w:i/>
          <w:iCs/>
        </w:rPr>
      </w:pPr>
      <w:r w:rsidRPr="003A3EE6">
        <w:rPr>
          <w:i/>
          <w:iCs/>
        </w:rPr>
        <w:t xml:space="preserve">Таблица </w:t>
      </w:r>
      <w:r w:rsidR="0094064F" w:rsidRPr="009D5B83">
        <w:rPr>
          <w:i/>
          <w:iCs/>
        </w:rPr>
        <w:t>25</w:t>
      </w:r>
    </w:p>
    <w:p w14:paraId="2DDA4C2D" w14:textId="451BEFE8" w:rsidR="003A3EE6" w:rsidRPr="003A3EE6" w:rsidRDefault="003A3EE6" w:rsidP="003A3EE6">
      <w:pPr>
        <w:spacing w:after="60"/>
        <w:jc w:val="center"/>
        <w:rPr>
          <w:b/>
          <w:bCs/>
        </w:rPr>
      </w:pPr>
      <w:r w:rsidRPr="003A3EE6">
        <w:rPr>
          <w:b/>
          <w:bCs/>
        </w:rPr>
        <w:t xml:space="preserve">Изменения межбюджетных трансфертов из федерального бюджета в бюджет </w:t>
      </w:r>
      <w:r w:rsidR="0094064F" w:rsidRPr="009D5B83">
        <w:rPr>
          <w:b/>
          <w:bCs/>
        </w:rPr>
        <w:t>Ф</w:t>
      </w:r>
      <w:r w:rsidRPr="003A3EE6">
        <w:rPr>
          <w:b/>
          <w:bCs/>
        </w:rPr>
        <w:t xml:space="preserve">ФОМС в 2022-2025 гг., </w:t>
      </w:r>
      <w:proofErr w:type="gramStart"/>
      <w:r w:rsidRPr="003A3EE6">
        <w:rPr>
          <w:b/>
          <w:bCs/>
        </w:rPr>
        <w:t>млрд</w:t>
      </w:r>
      <w:proofErr w:type="gramEnd"/>
      <w:r w:rsidRPr="003A3EE6">
        <w:rPr>
          <w:b/>
          <w:bCs/>
        </w:rPr>
        <w:t xml:space="preserve"> руб.</w:t>
      </w:r>
    </w:p>
    <w:p w14:paraId="2AA918D7" w14:textId="77777777" w:rsidR="003A3EE6" w:rsidRPr="003A3EE6" w:rsidRDefault="003A3EE6" w:rsidP="003A3EE6"/>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036"/>
        <w:gridCol w:w="753"/>
        <w:gridCol w:w="1571"/>
        <w:gridCol w:w="666"/>
        <w:gridCol w:w="1571"/>
        <w:gridCol w:w="1571"/>
      </w:tblGrid>
      <w:tr w:rsidR="0094064F" w:rsidRPr="009D5B83" w14:paraId="311FE84C" w14:textId="77777777" w:rsidTr="00AA0954">
        <w:trPr>
          <w:trHeight w:val="360"/>
          <w:tblHeader/>
          <w:jc w:val="center"/>
        </w:trPr>
        <w:tc>
          <w:tcPr>
            <w:tcW w:w="1725" w:type="dxa"/>
            <w:vMerge w:val="restart"/>
            <w:shd w:val="clear" w:color="auto" w:fill="auto"/>
            <w:vAlign w:val="center"/>
            <w:hideMark/>
          </w:tcPr>
          <w:p w14:paraId="342AB650" w14:textId="4A001B58" w:rsidR="003A3EE6" w:rsidRPr="003A3EE6" w:rsidRDefault="0094064F" w:rsidP="003A3EE6">
            <w:pPr>
              <w:spacing w:after="60"/>
              <w:jc w:val="center"/>
              <w:rPr>
                <w:b/>
                <w:bCs/>
                <w:color w:val="000000"/>
                <w:sz w:val="20"/>
                <w:szCs w:val="20"/>
              </w:rPr>
            </w:pPr>
            <w:r w:rsidRPr="009D5B83">
              <w:rPr>
                <w:b/>
                <w:bCs/>
                <w:color w:val="000000"/>
                <w:sz w:val="20"/>
                <w:szCs w:val="20"/>
              </w:rPr>
              <w:t>Показатель</w:t>
            </w:r>
          </w:p>
        </w:tc>
        <w:tc>
          <w:tcPr>
            <w:tcW w:w="1247" w:type="dxa"/>
            <w:shd w:val="clear" w:color="auto" w:fill="auto"/>
            <w:vAlign w:val="center"/>
            <w:hideMark/>
          </w:tcPr>
          <w:p w14:paraId="65A0FC78" w14:textId="634CC3D4" w:rsidR="003A3EE6" w:rsidRPr="003A3EE6" w:rsidRDefault="003A3EE6" w:rsidP="003A3EE6">
            <w:pPr>
              <w:spacing w:after="60"/>
              <w:jc w:val="center"/>
              <w:rPr>
                <w:b/>
                <w:bCs/>
                <w:color w:val="000000"/>
                <w:sz w:val="20"/>
                <w:szCs w:val="20"/>
              </w:rPr>
            </w:pPr>
            <w:r w:rsidRPr="003A3EE6">
              <w:rPr>
                <w:b/>
                <w:bCs/>
                <w:color w:val="000000"/>
                <w:sz w:val="20"/>
                <w:szCs w:val="20"/>
              </w:rPr>
              <w:t>2022</w:t>
            </w:r>
            <w:r w:rsidR="0094064F" w:rsidRPr="009D5B83">
              <w:rPr>
                <w:b/>
                <w:bCs/>
                <w:color w:val="000000"/>
                <w:sz w:val="20"/>
                <w:szCs w:val="20"/>
              </w:rPr>
              <w:t xml:space="preserve"> г.</w:t>
            </w:r>
          </w:p>
        </w:tc>
        <w:tc>
          <w:tcPr>
            <w:tcW w:w="1981" w:type="dxa"/>
            <w:gridSpan w:val="2"/>
            <w:shd w:val="clear" w:color="auto" w:fill="auto"/>
            <w:vAlign w:val="center"/>
            <w:hideMark/>
          </w:tcPr>
          <w:p w14:paraId="6C026687" w14:textId="1415D0FB" w:rsidR="003A3EE6" w:rsidRPr="003A3EE6" w:rsidRDefault="003A3EE6" w:rsidP="003A3EE6">
            <w:pPr>
              <w:spacing w:after="60"/>
              <w:jc w:val="center"/>
              <w:rPr>
                <w:b/>
                <w:bCs/>
                <w:color w:val="000000"/>
                <w:sz w:val="20"/>
                <w:szCs w:val="20"/>
              </w:rPr>
            </w:pPr>
            <w:r w:rsidRPr="003A3EE6">
              <w:rPr>
                <w:b/>
                <w:bCs/>
                <w:color w:val="000000"/>
                <w:sz w:val="20"/>
                <w:szCs w:val="20"/>
              </w:rPr>
              <w:t>2023</w:t>
            </w:r>
            <w:r w:rsidR="0094064F" w:rsidRPr="009D5B83">
              <w:rPr>
                <w:b/>
                <w:bCs/>
                <w:color w:val="000000"/>
                <w:sz w:val="20"/>
                <w:szCs w:val="20"/>
              </w:rPr>
              <w:t xml:space="preserve"> г.</w:t>
            </w:r>
          </w:p>
        </w:tc>
        <w:tc>
          <w:tcPr>
            <w:tcW w:w="2303" w:type="dxa"/>
            <w:gridSpan w:val="2"/>
            <w:shd w:val="clear" w:color="auto" w:fill="auto"/>
            <w:vAlign w:val="center"/>
            <w:hideMark/>
          </w:tcPr>
          <w:p w14:paraId="33242834" w14:textId="40272930" w:rsidR="003A3EE6" w:rsidRPr="003A3EE6" w:rsidRDefault="003A3EE6" w:rsidP="003A3EE6">
            <w:pPr>
              <w:spacing w:after="60"/>
              <w:jc w:val="center"/>
              <w:rPr>
                <w:b/>
                <w:bCs/>
                <w:color w:val="000000"/>
                <w:sz w:val="20"/>
                <w:szCs w:val="20"/>
              </w:rPr>
            </w:pPr>
            <w:r w:rsidRPr="003A3EE6">
              <w:rPr>
                <w:b/>
                <w:bCs/>
                <w:color w:val="000000"/>
                <w:sz w:val="20"/>
                <w:szCs w:val="20"/>
              </w:rPr>
              <w:t>2024</w:t>
            </w:r>
            <w:r w:rsidR="0094064F" w:rsidRPr="009D5B83">
              <w:rPr>
                <w:b/>
                <w:bCs/>
                <w:color w:val="000000"/>
                <w:sz w:val="20"/>
                <w:szCs w:val="20"/>
              </w:rPr>
              <w:t xml:space="preserve"> г.</w:t>
            </w:r>
          </w:p>
        </w:tc>
        <w:tc>
          <w:tcPr>
            <w:tcW w:w="1637" w:type="dxa"/>
            <w:shd w:val="clear" w:color="auto" w:fill="auto"/>
            <w:vAlign w:val="center"/>
            <w:hideMark/>
          </w:tcPr>
          <w:p w14:paraId="0D2720BF" w14:textId="781FD313" w:rsidR="003A3EE6" w:rsidRPr="003A3EE6" w:rsidRDefault="003A3EE6" w:rsidP="003A3EE6">
            <w:pPr>
              <w:spacing w:after="60"/>
              <w:jc w:val="center"/>
              <w:rPr>
                <w:b/>
                <w:bCs/>
                <w:color w:val="000000"/>
                <w:sz w:val="20"/>
                <w:szCs w:val="20"/>
              </w:rPr>
            </w:pPr>
            <w:r w:rsidRPr="003A3EE6">
              <w:rPr>
                <w:b/>
                <w:bCs/>
                <w:color w:val="000000"/>
                <w:sz w:val="20"/>
                <w:szCs w:val="20"/>
              </w:rPr>
              <w:t>2025</w:t>
            </w:r>
            <w:r w:rsidR="0094064F" w:rsidRPr="009D5B83">
              <w:rPr>
                <w:b/>
                <w:bCs/>
                <w:color w:val="000000"/>
                <w:sz w:val="20"/>
                <w:szCs w:val="20"/>
              </w:rPr>
              <w:t xml:space="preserve"> г.</w:t>
            </w:r>
          </w:p>
        </w:tc>
      </w:tr>
      <w:tr w:rsidR="0094064F" w:rsidRPr="009D5B83" w14:paraId="0396725E" w14:textId="77777777" w:rsidTr="00AA0954">
        <w:trPr>
          <w:trHeight w:val="360"/>
          <w:tblHeader/>
          <w:jc w:val="center"/>
        </w:trPr>
        <w:tc>
          <w:tcPr>
            <w:tcW w:w="1725" w:type="dxa"/>
            <w:vMerge/>
            <w:shd w:val="clear" w:color="auto" w:fill="auto"/>
            <w:vAlign w:val="center"/>
          </w:tcPr>
          <w:p w14:paraId="301F8C31" w14:textId="77777777" w:rsidR="003A3EE6" w:rsidRPr="003A3EE6" w:rsidRDefault="003A3EE6" w:rsidP="003A3EE6">
            <w:pPr>
              <w:spacing w:after="60"/>
              <w:jc w:val="center"/>
              <w:rPr>
                <w:b/>
                <w:bCs/>
                <w:color w:val="000000"/>
                <w:sz w:val="20"/>
                <w:szCs w:val="20"/>
              </w:rPr>
            </w:pPr>
          </w:p>
        </w:tc>
        <w:tc>
          <w:tcPr>
            <w:tcW w:w="1247" w:type="dxa"/>
            <w:shd w:val="clear" w:color="auto" w:fill="auto"/>
            <w:vAlign w:val="center"/>
          </w:tcPr>
          <w:p w14:paraId="455212CF" w14:textId="0D4A2CC3" w:rsidR="003A3EE6" w:rsidRPr="003A3EE6" w:rsidRDefault="0094064F" w:rsidP="003A3EE6">
            <w:pPr>
              <w:spacing w:after="60"/>
              <w:jc w:val="center"/>
              <w:rPr>
                <w:b/>
                <w:bCs/>
                <w:color w:val="000000"/>
                <w:sz w:val="20"/>
                <w:szCs w:val="20"/>
              </w:rPr>
            </w:pPr>
            <w:r w:rsidRPr="009D5B83">
              <w:rPr>
                <w:b/>
                <w:bCs/>
                <w:color w:val="000000"/>
                <w:sz w:val="20"/>
                <w:szCs w:val="20"/>
              </w:rPr>
              <w:t xml:space="preserve">Закон № </w:t>
            </w:r>
            <w:r w:rsidR="003A3EE6" w:rsidRPr="003A3EE6">
              <w:rPr>
                <w:b/>
                <w:bCs/>
                <w:color w:val="000000"/>
                <w:sz w:val="20"/>
                <w:szCs w:val="20"/>
              </w:rPr>
              <w:t>392</w:t>
            </w:r>
            <w:r w:rsidRPr="009D5B83">
              <w:rPr>
                <w:b/>
                <w:bCs/>
                <w:color w:val="000000"/>
                <w:sz w:val="20"/>
                <w:szCs w:val="20"/>
              </w:rPr>
              <w:t>-ФЗ</w:t>
            </w:r>
          </w:p>
        </w:tc>
        <w:tc>
          <w:tcPr>
            <w:tcW w:w="344" w:type="dxa"/>
            <w:shd w:val="clear" w:color="auto" w:fill="auto"/>
            <w:vAlign w:val="center"/>
          </w:tcPr>
          <w:p w14:paraId="78A87553" w14:textId="71A3FF64" w:rsidR="003A3EE6" w:rsidRPr="003A3EE6" w:rsidRDefault="0094064F" w:rsidP="003A3EE6">
            <w:pPr>
              <w:spacing w:after="60"/>
              <w:jc w:val="center"/>
              <w:rPr>
                <w:b/>
                <w:bCs/>
                <w:color w:val="000000"/>
                <w:sz w:val="20"/>
                <w:szCs w:val="20"/>
              </w:rPr>
            </w:pPr>
            <w:r w:rsidRPr="009D5B83">
              <w:rPr>
                <w:b/>
                <w:bCs/>
                <w:color w:val="000000"/>
                <w:sz w:val="20"/>
                <w:szCs w:val="20"/>
              </w:rPr>
              <w:t xml:space="preserve">Закон № </w:t>
            </w:r>
            <w:r w:rsidRPr="003A3EE6">
              <w:rPr>
                <w:b/>
                <w:bCs/>
                <w:color w:val="000000"/>
                <w:sz w:val="20"/>
                <w:szCs w:val="20"/>
              </w:rPr>
              <w:t>392</w:t>
            </w:r>
            <w:r w:rsidRPr="009D5B83">
              <w:rPr>
                <w:b/>
                <w:bCs/>
                <w:color w:val="000000"/>
                <w:sz w:val="20"/>
                <w:szCs w:val="20"/>
              </w:rPr>
              <w:t>-ФЗ</w:t>
            </w:r>
          </w:p>
        </w:tc>
        <w:tc>
          <w:tcPr>
            <w:tcW w:w="1637" w:type="dxa"/>
            <w:vAlign w:val="center"/>
          </w:tcPr>
          <w:p w14:paraId="71A9E118" w14:textId="3B899544" w:rsidR="003A3EE6" w:rsidRPr="003A3EE6" w:rsidRDefault="0094064F"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c>
          <w:tcPr>
            <w:tcW w:w="666" w:type="dxa"/>
            <w:shd w:val="clear" w:color="auto" w:fill="auto"/>
            <w:vAlign w:val="center"/>
          </w:tcPr>
          <w:p w14:paraId="1D2D3DF2" w14:textId="77777777" w:rsidR="003A3EE6" w:rsidRPr="003A3EE6" w:rsidRDefault="003A3EE6" w:rsidP="003A3EE6">
            <w:pPr>
              <w:spacing w:after="60"/>
              <w:jc w:val="center"/>
              <w:rPr>
                <w:b/>
                <w:bCs/>
                <w:color w:val="000000"/>
                <w:sz w:val="20"/>
                <w:szCs w:val="20"/>
              </w:rPr>
            </w:pPr>
            <w:r w:rsidRPr="003A3EE6">
              <w:rPr>
                <w:b/>
                <w:bCs/>
                <w:color w:val="000000"/>
                <w:sz w:val="20"/>
                <w:szCs w:val="20"/>
              </w:rPr>
              <w:t>ФЗ-392</w:t>
            </w:r>
          </w:p>
        </w:tc>
        <w:tc>
          <w:tcPr>
            <w:tcW w:w="1637" w:type="dxa"/>
            <w:vAlign w:val="center"/>
          </w:tcPr>
          <w:p w14:paraId="6BAE39DD" w14:textId="283027F3" w:rsidR="003A3EE6" w:rsidRPr="003A3EE6" w:rsidRDefault="0094064F"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c>
          <w:tcPr>
            <w:tcW w:w="1637" w:type="dxa"/>
            <w:shd w:val="clear" w:color="auto" w:fill="auto"/>
            <w:vAlign w:val="center"/>
          </w:tcPr>
          <w:p w14:paraId="15EEC208" w14:textId="5A794B60" w:rsidR="003A3EE6" w:rsidRPr="003A3EE6" w:rsidRDefault="0094064F"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r>
      <w:tr w:rsidR="0094064F" w:rsidRPr="009D5B83" w14:paraId="48198189" w14:textId="77777777" w:rsidTr="0094064F">
        <w:trPr>
          <w:trHeight w:val="360"/>
          <w:jc w:val="center"/>
        </w:trPr>
        <w:tc>
          <w:tcPr>
            <w:tcW w:w="1725" w:type="dxa"/>
            <w:shd w:val="clear" w:color="auto" w:fill="auto"/>
            <w:vAlign w:val="center"/>
            <w:hideMark/>
          </w:tcPr>
          <w:p w14:paraId="3DAE423C" w14:textId="7A4D8141" w:rsidR="003A3EE6" w:rsidRPr="0055726F" w:rsidRDefault="003A3EE6" w:rsidP="003A3EE6">
            <w:pPr>
              <w:spacing w:after="60"/>
              <w:jc w:val="both"/>
              <w:rPr>
                <w:b/>
                <w:bCs/>
                <w:color w:val="000000"/>
                <w:sz w:val="20"/>
                <w:szCs w:val="20"/>
              </w:rPr>
            </w:pPr>
            <w:r w:rsidRPr="0055726F">
              <w:rPr>
                <w:b/>
                <w:bCs/>
                <w:color w:val="000000"/>
                <w:sz w:val="20"/>
                <w:szCs w:val="20"/>
              </w:rPr>
              <w:t>В</w:t>
            </w:r>
            <w:r w:rsidR="0094064F" w:rsidRPr="009D5B83">
              <w:rPr>
                <w:b/>
                <w:bCs/>
                <w:color w:val="000000"/>
                <w:sz w:val="20"/>
                <w:szCs w:val="20"/>
              </w:rPr>
              <w:t>СЕГО</w:t>
            </w:r>
            <w:r w:rsidRPr="0055726F">
              <w:rPr>
                <w:b/>
                <w:bCs/>
                <w:color w:val="000000"/>
                <w:sz w:val="20"/>
                <w:szCs w:val="20"/>
              </w:rPr>
              <w:t xml:space="preserve">, в </w:t>
            </w:r>
            <w:proofErr w:type="spellStart"/>
            <w:r w:rsidRPr="0055726F">
              <w:rPr>
                <w:b/>
                <w:bCs/>
                <w:color w:val="000000"/>
                <w:sz w:val="20"/>
                <w:szCs w:val="20"/>
              </w:rPr>
              <w:t>т.ч</w:t>
            </w:r>
            <w:proofErr w:type="spellEnd"/>
            <w:r w:rsidRPr="0055726F">
              <w:rPr>
                <w:b/>
                <w:bCs/>
                <w:color w:val="000000"/>
                <w:sz w:val="20"/>
                <w:szCs w:val="20"/>
              </w:rPr>
              <w:t>.</w:t>
            </w:r>
          </w:p>
        </w:tc>
        <w:tc>
          <w:tcPr>
            <w:tcW w:w="1247" w:type="dxa"/>
            <w:shd w:val="clear" w:color="auto" w:fill="auto"/>
            <w:vAlign w:val="center"/>
          </w:tcPr>
          <w:p w14:paraId="612FD994" w14:textId="77777777" w:rsidR="003A3EE6" w:rsidRPr="0055726F" w:rsidRDefault="003A3EE6" w:rsidP="003A3EE6">
            <w:pPr>
              <w:spacing w:after="60"/>
              <w:jc w:val="center"/>
              <w:rPr>
                <w:b/>
                <w:bCs/>
                <w:color w:val="000000"/>
                <w:sz w:val="20"/>
                <w:szCs w:val="20"/>
              </w:rPr>
            </w:pPr>
            <w:r w:rsidRPr="0055726F">
              <w:rPr>
                <w:b/>
                <w:bCs/>
                <w:color w:val="000000"/>
                <w:sz w:val="20"/>
                <w:szCs w:val="20"/>
              </w:rPr>
              <w:t>326,0</w:t>
            </w:r>
          </w:p>
        </w:tc>
        <w:tc>
          <w:tcPr>
            <w:tcW w:w="344" w:type="dxa"/>
            <w:shd w:val="clear" w:color="auto" w:fill="auto"/>
            <w:vAlign w:val="center"/>
          </w:tcPr>
          <w:p w14:paraId="03BADE2F" w14:textId="77777777" w:rsidR="003A3EE6" w:rsidRPr="0055726F" w:rsidRDefault="003A3EE6" w:rsidP="003A3EE6">
            <w:pPr>
              <w:spacing w:after="60"/>
              <w:jc w:val="center"/>
              <w:rPr>
                <w:b/>
                <w:bCs/>
                <w:color w:val="000000"/>
                <w:sz w:val="20"/>
                <w:szCs w:val="20"/>
              </w:rPr>
            </w:pPr>
            <w:r w:rsidRPr="0055726F">
              <w:rPr>
                <w:b/>
                <w:bCs/>
                <w:color w:val="000000"/>
                <w:sz w:val="20"/>
                <w:szCs w:val="20"/>
              </w:rPr>
              <w:t>326,8</w:t>
            </w:r>
          </w:p>
        </w:tc>
        <w:tc>
          <w:tcPr>
            <w:tcW w:w="1637" w:type="dxa"/>
            <w:vAlign w:val="center"/>
          </w:tcPr>
          <w:p w14:paraId="32EA5544" w14:textId="77777777" w:rsidR="003A3EE6" w:rsidRPr="0055726F" w:rsidRDefault="003A3EE6" w:rsidP="003A3EE6">
            <w:pPr>
              <w:spacing w:after="60"/>
              <w:jc w:val="center"/>
              <w:rPr>
                <w:b/>
                <w:bCs/>
                <w:color w:val="000000"/>
                <w:sz w:val="20"/>
                <w:szCs w:val="20"/>
              </w:rPr>
            </w:pPr>
            <w:r w:rsidRPr="0055726F">
              <w:rPr>
                <w:b/>
                <w:bCs/>
                <w:color w:val="000000"/>
                <w:sz w:val="20"/>
                <w:szCs w:val="20"/>
              </w:rPr>
              <w:t>429,4</w:t>
            </w:r>
          </w:p>
        </w:tc>
        <w:tc>
          <w:tcPr>
            <w:tcW w:w="666" w:type="dxa"/>
            <w:shd w:val="clear" w:color="auto" w:fill="auto"/>
            <w:vAlign w:val="center"/>
          </w:tcPr>
          <w:p w14:paraId="62D5E146" w14:textId="77777777" w:rsidR="003A3EE6" w:rsidRPr="0055726F" w:rsidRDefault="003A3EE6" w:rsidP="003A3EE6">
            <w:pPr>
              <w:spacing w:after="60"/>
              <w:jc w:val="center"/>
              <w:rPr>
                <w:b/>
                <w:bCs/>
                <w:color w:val="000000"/>
                <w:sz w:val="20"/>
                <w:szCs w:val="20"/>
              </w:rPr>
            </w:pPr>
            <w:r w:rsidRPr="0055726F">
              <w:rPr>
                <w:b/>
                <w:bCs/>
                <w:color w:val="000000"/>
                <w:sz w:val="20"/>
                <w:szCs w:val="20"/>
              </w:rPr>
              <w:t>335,1</w:t>
            </w:r>
          </w:p>
        </w:tc>
        <w:tc>
          <w:tcPr>
            <w:tcW w:w="1637" w:type="dxa"/>
            <w:vAlign w:val="center"/>
          </w:tcPr>
          <w:p w14:paraId="423036E3" w14:textId="77777777" w:rsidR="003A3EE6" w:rsidRPr="0055726F" w:rsidRDefault="003A3EE6" w:rsidP="003A3EE6">
            <w:pPr>
              <w:spacing w:after="60"/>
              <w:jc w:val="center"/>
              <w:rPr>
                <w:b/>
                <w:bCs/>
                <w:color w:val="000000"/>
                <w:sz w:val="20"/>
                <w:szCs w:val="20"/>
              </w:rPr>
            </w:pPr>
            <w:r w:rsidRPr="0055726F">
              <w:rPr>
                <w:b/>
                <w:bCs/>
                <w:color w:val="000000"/>
                <w:sz w:val="20"/>
                <w:szCs w:val="20"/>
              </w:rPr>
              <w:t>448,0</w:t>
            </w:r>
          </w:p>
        </w:tc>
        <w:tc>
          <w:tcPr>
            <w:tcW w:w="1637" w:type="dxa"/>
            <w:shd w:val="clear" w:color="auto" w:fill="auto"/>
            <w:vAlign w:val="center"/>
          </w:tcPr>
          <w:p w14:paraId="4EB670FD" w14:textId="77777777" w:rsidR="003A3EE6" w:rsidRPr="0055726F" w:rsidRDefault="003A3EE6" w:rsidP="003A3EE6">
            <w:pPr>
              <w:spacing w:after="60"/>
              <w:jc w:val="center"/>
              <w:rPr>
                <w:b/>
                <w:bCs/>
                <w:color w:val="000000"/>
                <w:sz w:val="20"/>
                <w:szCs w:val="20"/>
              </w:rPr>
            </w:pPr>
            <w:r w:rsidRPr="0055726F">
              <w:rPr>
                <w:b/>
                <w:bCs/>
                <w:color w:val="000000"/>
                <w:sz w:val="20"/>
                <w:szCs w:val="20"/>
              </w:rPr>
              <w:t>463,5</w:t>
            </w:r>
          </w:p>
        </w:tc>
      </w:tr>
      <w:tr w:rsidR="0094064F" w:rsidRPr="009D5B83" w14:paraId="403BBAFA" w14:textId="77777777" w:rsidTr="0094064F">
        <w:trPr>
          <w:trHeight w:val="417"/>
          <w:jc w:val="center"/>
        </w:trPr>
        <w:tc>
          <w:tcPr>
            <w:tcW w:w="1725" w:type="dxa"/>
            <w:shd w:val="clear" w:color="auto" w:fill="auto"/>
            <w:vAlign w:val="center"/>
          </w:tcPr>
          <w:p w14:paraId="158B46A1" w14:textId="77777777" w:rsidR="003A3EE6" w:rsidRPr="003A3EE6" w:rsidRDefault="003A3EE6" w:rsidP="003A3EE6">
            <w:pPr>
              <w:spacing w:after="60"/>
              <w:jc w:val="both"/>
              <w:rPr>
                <w:color w:val="000000"/>
                <w:sz w:val="20"/>
                <w:szCs w:val="20"/>
              </w:rPr>
            </w:pPr>
            <w:r w:rsidRPr="003A3EE6">
              <w:rPr>
                <w:color w:val="000000"/>
                <w:sz w:val="20"/>
                <w:szCs w:val="20"/>
              </w:rPr>
              <w:t xml:space="preserve">на компенсацию выпадающих доходов в связи с </w:t>
            </w:r>
            <w:r w:rsidRPr="003A3EE6">
              <w:rPr>
                <w:color w:val="000000"/>
                <w:sz w:val="20"/>
                <w:szCs w:val="20"/>
              </w:rPr>
              <w:lastRenderedPageBreak/>
              <w:t>пониженными тарифами страховых взносов</w:t>
            </w:r>
          </w:p>
        </w:tc>
        <w:tc>
          <w:tcPr>
            <w:tcW w:w="1247" w:type="dxa"/>
            <w:shd w:val="clear" w:color="auto" w:fill="auto"/>
            <w:vAlign w:val="center"/>
          </w:tcPr>
          <w:p w14:paraId="1B214A82" w14:textId="77777777" w:rsidR="003A3EE6" w:rsidRPr="003A3EE6" w:rsidRDefault="003A3EE6" w:rsidP="003A3EE6">
            <w:pPr>
              <w:spacing w:after="60"/>
              <w:jc w:val="center"/>
              <w:rPr>
                <w:color w:val="000000"/>
                <w:sz w:val="20"/>
                <w:szCs w:val="20"/>
              </w:rPr>
            </w:pPr>
            <w:r w:rsidRPr="003A3EE6">
              <w:rPr>
                <w:color w:val="000000"/>
                <w:sz w:val="20"/>
                <w:szCs w:val="20"/>
              </w:rPr>
              <w:lastRenderedPageBreak/>
              <w:t>47,5</w:t>
            </w:r>
          </w:p>
        </w:tc>
        <w:tc>
          <w:tcPr>
            <w:tcW w:w="344" w:type="dxa"/>
            <w:shd w:val="clear" w:color="auto" w:fill="auto"/>
            <w:vAlign w:val="center"/>
          </w:tcPr>
          <w:p w14:paraId="673423A8" w14:textId="77777777" w:rsidR="003A3EE6" w:rsidRPr="003A3EE6" w:rsidRDefault="003A3EE6" w:rsidP="003A3EE6">
            <w:pPr>
              <w:spacing w:after="60"/>
              <w:jc w:val="center"/>
              <w:rPr>
                <w:color w:val="000000"/>
                <w:sz w:val="20"/>
                <w:szCs w:val="20"/>
              </w:rPr>
            </w:pPr>
            <w:r w:rsidRPr="003A3EE6">
              <w:rPr>
                <w:color w:val="000000"/>
                <w:sz w:val="20"/>
                <w:szCs w:val="20"/>
              </w:rPr>
              <w:t>50,8</w:t>
            </w:r>
          </w:p>
        </w:tc>
        <w:tc>
          <w:tcPr>
            <w:tcW w:w="1637" w:type="dxa"/>
            <w:vAlign w:val="center"/>
          </w:tcPr>
          <w:p w14:paraId="5648DA58" w14:textId="77777777" w:rsidR="003A3EE6" w:rsidRPr="003A3EE6" w:rsidRDefault="003A3EE6" w:rsidP="003A3EE6">
            <w:pPr>
              <w:spacing w:after="60"/>
              <w:jc w:val="center"/>
              <w:rPr>
                <w:color w:val="000000"/>
                <w:sz w:val="20"/>
                <w:szCs w:val="20"/>
              </w:rPr>
            </w:pPr>
            <w:r w:rsidRPr="003A3EE6">
              <w:rPr>
                <w:color w:val="000000"/>
                <w:sz w:val="20"/>
                <w:szCs w:val="20"/>
              </w:rPr>
              <w:t>149,4</w:t>
            </w:r>
          </w:p>
        </w:tc>
        <w:tc>
          <w:tcPr>
            <w:tcW w:w="666" w:type="dxa"/>
            <w:shd w:val="clear" w:color="auto" w:fill="auto"/>
            <w:vAlign w:val="center"/>
          </w:tcPr>
          <w:p w14:paraId="43ED348A" w14:textId="77777777" w:rsidR="003A3EE6" w:rsidRPr="003A3EE6" w:rsidRDefault="003A3EE6" w:rsidP="003A3EE6">
            <w:pPr>
              <w:spacing w:after="60"/>
              <w:jc w:val="center"/>
              <w:rPr>
                <w:color w:val="000000"/>
                <w:sz w:val="20"/>
                <w:szCs w:val="20"/>
              </w:rPr>
            </w:pPr>
            <w:r w:rsidRPr="003A3EE6">
              <w:rPr>
                <w:color w:val="000000"/>
                <w:sz w:val="20"/>
                <w:szCs w:val="20"/>
              </w:rPr>
              <w:t>54,3</w:t>
            </w:r>
          </w:p>
        </w:tc>
        <w:tc>
          <w:tcPr>
            <w:tcW w:w="1637" w:type="dxa"/>
            <w:vAlign w:val="center"/>
          </w:tcPr>
          <w:p w14:paraId="7E05726A" w14:textId="77777777" w:rsidR="003A3EE6" w:rsidRPr="003A3EE6" w:rsidRDefault="003A3EE6" w:rsidP="003A3EE6">
            <w:pPr>
              <w:spacing w:after="60"/>
              <w:jc w:val="center"/>
              <w:rPr>
                <w:color w:val="000000"/>
                <w:sz w:val="20"/>
                <w:szCs w:val="20"/>
              </w:rPr>
            </w:pPr>
            <w:r w:rsidRPr="003A3EE6">
              <w:rPr>
                <w:color w:val="000000"/>
                <w:sz w:val="20"/>
                <w:szCs w:val="20"/>
              </w:rPr>
              <w:t>161,7</w:t>
            </w:r>
          </w:p>
        </w:tc>
        <w:tc>
          <w:tcPr>
            <w:tcW w:w="1637" w:type="dxa"/>
            <w:shd w:val="clear" w:color="auto" w:fill="auto"/>
            <w:vAlign w:val="center"/>
          </w:tcPr>
          <w:p w14:paraId="32033602" w14:textId="77777777" w:rsidR="003A3EE6" w:rsidRPr="003A3EE6" w:rsidRDefault="003A3EE6" w:rsidP="003A3EE6">
            <w:pPr>
              <w:spacing w:after="60"/>
              <w:jc w:val="center"/>
              <w:rPr>
                <w:color w:val="000000"/>
                <w:sz w:val="20"/>
                <w:szCs w:val="20"/>
              </w:rPr>
            </w:pPr>
            <w:r w:rsidRPr="003A3EE6">
              <w:rPr>
                <w:color w:val="000000"/>
                <w:sz w:val="20"/>
                <w:szCs w:val="20"/>
              </w:rPr>
              <w:t>170,7</w:t>
            </w:r>
          </w:p>
        </w:tc>
      </w:tr>
      <w:tr w:rsidR="0094064F" w:rsidRPr="009D5B83" w14:paraId="7BC3E56F" w14:textId="77777777" w:rsidTr="0094064F">
        <w:trPr>
          <w:trHeight w:val="417"/>
          <w:jc w:val="center"/>
        </w:trPr>
        <w:tc>
          <w:tcPr>
            <w:tcW w:w="1725" w:type="dxa"/>
            <w:shd w:val="clear" w:color="auto" w:fill="auto"/>
            <w:vAlign w:val="center"/>
          </w:tcPr>
          <w:p w14:paraId="4E80D0E7" w14:textId="77777777" w:rsidR="003A3EE6" w:rsidRPr="003A3EE6" w:rsidRDefault="003A3EE6" w:rsidP="003A3EE6">
            <w:pPr>
              <w:spacing w:after="60"/>
              <w:jc w:val="both"/>
              <w:rPr>
                <w:color w:val="000000"/>
                <w:sz w:val="20"/>
                <w:szCs w:val="20"/>
              </w:rPr>
            </w:pPr>
            <w:r w:rsidRPr="003A3EE6">
              <w:rPr>
                <w:color w:val="000000"/>
                <w:sz w:val="20"/>
                <w:szCs w:val="20"/>
              </w:rPr>
              <w:lastRenderedPageBreak/>
              <w:t>на финансовое обеспечение оказания медицинской помощи больным онкологическими заболеваниями</w:t>
            </w:r>
          </w:p>
        </w:tc>
        <w:tc>
          <w:tcPr>
            <w:tcW w:w="1247" w:type="dxa"/>
            <w:shd w:val="clear" w:color="auto" w:fill="auto"/>
            <w:vAlign w:val="center"/>
          </w:tcPr>
          <w:p w14:paraId="3EDAFDB8" w14:textId="77777777" w:rsidR="003A3EE6" w:rsidRPr="003A3EE6" w:rsidRDefault="003A3EE6" w:rsidP="003A3EE6">
            <w:pPr>
              <w:spacing w:after="60"/>
              <w:jc w:val="center"/>
              <w:rPr>
                <w:color w:val="000000"/>
                <w:sz w:val="20"/>
                <w:szCs w:val="20"/>
              </w:rPr>
            </w:pPr>
            <w:r w:rsidRPr="003A3EE6">
              <w:rPr>
                <w:color w:val="000000"/>
                <w:sz w:val="20"/>
                <w:szCs w:val="20"/>
              </w:rPr>
              <w:t>140,0</w:t>
            </w:r>
          </w:p>
        </w:tc>
        <w:tc>
          <w:tcPr>
            <w:tcW w:w="344" w:type="dxa"/>
            <w:shd w:val="clear" w:color="auto" w:fill="auto"/>
            <w:vAlign w:val="center"/>
          </w:tcPr>
          <w:p w14:paraId="7244407A" w14:textId="77777777" w:rsidR="003A3EE6" w:rsidRPr="003A3EE6" w:rsidRDefault="003A3EE6" w:rsidP="003A3EE6">
            <w:pPr>
              <w:spacing w:after="60"/>
              <w:jc w:val="center"/>
              <w:rPr>
                <w:color w:val="000000"/>
                <w:sz w:val="20"/>
                <w:szCs w:val="20"/>
              </w:rPr>
            </w:pPr>
            <w:r w:rsidRPr="003A3EE6">
              <w:rPr>
                <w:color w:val="000000"/>
                <w:sz w:val="20"/>
                <w:szCs w:val="20"/>
              </w:rPr>
              <w:t>140,0</w:t>
            </w:r>
          </w:p>
        </w:tc>
        <w:tc>
          <w:tcPr>
            <w:tcW w:w="1637" w:type="dxa"/>
            <w:vAlign w:val="center"/>
          </w:tcPr>
          <w:p w14:paraId="3F6A70D8" w14:textId="77777777" w:rsidR="003A3EE6" w:rsidRPr="003A3EE6" w:rsidRDefault="003A3EE6" w:rsidP="003A3EE6">
            <w:pPr>
              <w:spacing w:after="60"/>
              <w:jc w:val="center"/>
              <w:rPr>
                <w:color w:val="000000"/>
                <w:sz w:val="20"/>
                <w:szCs w:val="20"/>
              </w:rPr>
            </w:pPr>
            <w:r w:rsidRPr="003A3EE6">
              <w:rPr>
                <w:color w:val="000000"/>
                <w:sz w:val="20"/>
                <w:szCs w:val="20"/>
              </w:rPr>
              <w:t>140,0</w:t>
            </w:r>
          </w:p>
        </w:tc>
        <w:tc>
          <w:tcPr>
            <w:tcW w:w="666" w:type="dxa"/>
            <w:shd w:val="clear" w:color="auto" w:fill="auto"/>
            <w:vAlign w:val="center"/>
          </w:tcPr>
          <w:p w14:paraId="7177F74A" w14:textId="77777777" w:rsidR="003A3EE6" w:rsidRPr="003A3EE6" w:rsidRDefault="003A3EE6" w:rsidP="003A3EE6">
            <w:pPr>
              <w:spacing w:after="60"/>
              <w:jc w:val="center"/>
              <w:rPr>
                <w:color w:val="000000"/>
                <w:sz w:val="20"/>
                <w:szCs w:val="20"/>
              </w:rPr>
            </w:pPr>
            <w:r w:rsidRPr="003A3EE6">
              <w:rPr>
                <w:color w:val="000000"/>
                <w:sz w:val="20"/>
                <w:szCs w:val="20"/>
              </w:rPr>
              <w:t>140,0</w:t>
            </w:r>
          </w:p>
        </w:tc>
        <w:tc>
          <w:tcPr>
            <w:tcW w:w="1637" w:type="dxa"/>
            <w:vAlign w:val="center"/>
          </w:tcPr>
          <w:p w14:paraId="2256D682" w14:textId="77777777" w:rsidR="003A3EE6" w:rsidRPr="003A3EE6" w:rsidRDefault="003A3EE6" w:rsidP="003A3EE6">
            <w:pPr>
              <w:spacing w:after="60"/>
              <w:jc w:val="center"/>
              <w:rPr>
                <w:color w:val="000000"/>
                <w:sz w:val="20"/>
                <w:szCs w:val="20"/>
              </w:rPr>
            </w:pPr>
            <w:r w:rsidRPr="003A3EE6">
              <w:rPr>
                <w:color w:val="000000"/>
                <w:sz w:val="20"/>
                <w:szCs w:val="20"/>
              </w:rPr>
              <w:t>140,0</w:t>
            </w:r>
          </w:p>
        </w:tc>
        <w:tc>
          <w:tcPr>
            <w:tcW w:w="1637" w:type="dxa"/>
            <w:shd w:val="clear" w:color="auto" w:fill="auto"/>
            <w:vAlign w:val="center"/>
          </w:tcPr>
          <w:p w14:paraId="7870002E" w14:textId="77777777" w:rsidR="003A3EE6" w:rsidRPr="003A3EE6" w:rsidRDefault="003A3EE6" w:rsidP="003A3EE6">
            <w:pPr>
              <w:spacing w:after="60"/>
              <w:jc w:val="center"/>
              <w:rPr>
                <w:color w:val="000000"/>
                <w:sz w:val="20"/>
                <w:szCs w:val="20"/>
              </w:rPr>
            </w:pPr>
            <w:r w:rsidRPr="003A3EE6">
              <w:rPr>
                <w:color w:val="000000"/>
                <w:sz w:val="20"/>
                <w:szCs w:val="20"/>
              </w:rPr>
              <w:t>140,0</w:t>
            </w:r>
          </w:p>
        </w:tc>
      </w:tr>
      <w:tr w:rsidR="0094064F" w:rsidRPr="009D5B83" w14:paraId="28FFBC6D" w14:textId="77777777" w:rsidTr="0094064F">
        <w:trPr>
          <w:trHeight w:val="417"/>
          <w:jc w:val="center"/>
        </w:trPr>
        <w:tc>
          <w:tcPr>
            <w:tcW w:w="1725" w:type="dxa"/>
            <w:shd w:val="clear" w:color="auto" w:fill="auto"/>
            <w:vAlign w:val="center"/>
          </w:tcPr>
          <w:p w14:paraId="2545D5ED" w14:textId="77777777" w:rsidR="003A3EE6" w:rsidRPr="003A3EE6" w:rsidRDefault="003A3EE6" w:rsidP="003A3EE6">
            <w:pPr>
              <w:spacing w:after="60"/>
              <w:jc w:val="both"/>
              <w:rPr>
                <w:color w:val="000000"/>
                <w:sz w:val="20"/>
                <w:szCs w:val="20"/>
              </w:rPr>
            </w:pPr>
            <w:r w:rsidRPr="003A3EE6">
              <w:rPr>
                <w:color w:val="000000"/>
                <w:sz w:val="20"/>
                <w:szCs w:val="20"/>
              </w:rPr>
              <w:t xml:space="preserve">на обеспечение </w:t>
            </w:r>
            <w:proofErr w:type="spellStart"/>
            <w:r w:rsidRPr="003A3EE6">
              <w:rPr>
                <w:color w:val="000000"/>
                <w:sz w:val="20"/>
                <w:szCs w:val="20"/>
              </w:rPr>
              <w:t>нестраховых</w:t>
            </w:r>
            <w:proofErr w:type="spellEnd"/>
            <w:r w:rsidRPr="003A3EE6">
              <w:rPr>
                <w:color w:val="000000"/>
                <w:sz w:val="20"/>
                <w:szCs w:val="20"/>
              </w:rPr>
              <w:t xml:space="preserve"> расходов (ВМП </w:t>
            </w:r>
            <w:proofErr w:type="gramStart"/>
            <w:r w:rsidRPr="003A3EE6">
              <w:rPr>
                <w:color w:val="000000"/>
                <w:sz w:val="20"/>
                <w:szCs w:val="20"/>
              </w:rPr>
              <w:t>вне базовой</w:t>
            </w:r>
            <w:proofErr w:type="gramEnd"/>
            <w:r w:rsidRPr="003A3EE6">
              <w:rPr>
                <w:color w:val="000000"/>
                <w:sz w:val="20"/>
                <w:szCs w:val="20"/>
              </w:rPr>
              <w:t xml:space="preserve"> программы ОМС и родовой сертификат)</w:t>
            </w:r>
          </w:p>
        </w:tc>
        <w:tc>
          <w:tcPr>
            <w:tcW w:w="1247" w:type="dxa"/>
            <w:shd w:val="clear" w:color="auto" w:fill="auto"/>
            <w:vAlign w:val="center"/>
          </w:tcPr>
          <w:p w14:paraId="032CAFA8" w14:textId="77777777" w:rsidR="003A3EE6" w:rsidRPr="003A3EE6" w:rsidRDefault="003A3EE6" w:rsidP="003A3EE6">
            <w:pPr>
              <w:spacing w:after="60"/>
              <w:jc w:val="center"/>
              <w:rPr>
                <w:color w:val="000000"/>
                <w:sz w:val="20"/>
                <w:szCs w:val="20"/>
              </w:rPr>
            </w:pPr>
            <w:r w:rsidRPr="003A3EE6">
              <w:rPr>
                <w:color w:val="000000"/>
                <w:sz w:val="20"/>
                <w:szCs w:val="20"/>
              </w:rPr>
              <w:t>121,3</w:t>
            </w:r>
          </w:p>
        </w:tc>
        <w:tc>
          <w:tcPr>
            <w:tcW w:w="344" w:type="dxa"/>
            <w:shd w:val="clear" w:color="auto" w:fill="auto"/>
            <w:vAlign w:val="center"/>
          </w:tcPr>
          <w:p w14:paraId="645B693D" w14:textId="77777777" w:rsidR="003A3EE6" w:rsidRPr="003A3EE6" w:rsidRDefault="003A3EE6" w:rsidP="003A3EE6">
            <w:pPr>
              <w:spacing w:after="60"/>
              <w:jc w:val="center"/>
              <w:rPr>
                <w:color w:val="000000"/>
                <w:sz w:val="20"/>
                <w:szCs w:val="20"/>
              </w:rPr>
            </w:pPr>
            <w:r w:rsidRPr="003A3EE6">
              <w:rPr>
                <w:color w:val="000000"/>
                <w:sz w:val="20"/>
                <w:szCs w:val="20"/>
              </w:rPr>
              <w:t>126,0</w:t>
            </w:r>
          </w:p>
        </w:tc>
        <w:tc>
          <w:tcPr>
            <w:tcW w:w="1637" w:type="dxa"/>
            <w:vAlign w:val="center"/>
          </w:tcPr>
          <w:p w14:paraId="21E1459F" w14:textId="77777777" w:rsidR="003A3EE6" w:rsidRPr="003A3EE6" w:rsidRDefault="003A3EE6" w:rsidP="003A3EE6">
            <w:pPr>
              <w:spacing w:after="60"/>
              <w:jc w:val="center"/>
              <w:rPr>
                <w:color w:val="000000"/>
                <w:sz w:val="20"/>
                <w:szCs w:val="20"/>
              </w:rPr>
            </w:pPr>
            <w:r w:rsidRPr="003A3EE6">
              <w:rPr>
                <w:color w:val="000000"/>
                <w:sz w:val="20"/>
                <w:szCs w:val="20"/>
              </w:rPr>
              <w:t>130,0</w:t>
            </w:r>
          </w:p>
        </w:tc>
        <w:tc>
          <w:tcPr>
            <w:tcW w:w="666" w:type="dxa"/>
            <w:shd w:val="clear" w:color="auto" w:fill="auto"/>
            <w:vAlign w:val="center"/>
          </w:tcPr>
          <w:p w14:paraId="5A38A3ED" w14:textId="77777777" w:rsidR="003A3EE6" w:rsidRPr="003A3EE6" w:rsidRDefault="003A3EE6" w:rsidP="003A3EE6">
            <w:pPr>
              <w:spacing w:after="60"/>
              <w:jc w:val="center"/>
              <w:rPr>
                <w:color w:val="000000"/>
                <w:sz w:val="20"/>
                <w:szCs w:val="20"/>
              </w:rPr>
            </w:pPr>
            <w:r w:rsidRPr="003A3EE6">
              <w:rPr>
                <w:color w:val="000000"/>
                <w:sz w:val="20"/>
                <w:szCs w:val="20"/>
              </w:rPr>
              <w:t>130,8</w:t>
            </w:r>
          </w:p>
        </w:tc>
        <w:tc>
          <w:tcPr>
            <w:tcW w:w="1637" w:type="dxa"/>
            <w:vAlign w:val="center"/>
          </w:tcPr>
          <w:p w14:paraId="49F599A8" w14:textId="77777777" w:rsidR="003A3EE6" w:rsidRPr="003A3EE6" w:rsidRDefault="003A3EE6" w:rsidP="003A3EE6">
            <w:pPr>
              <w:spacing w:after="60"/>
              <w:jc w:val="center"/>
              <w:rPr>
                <w:color w:val="000000"/>
                <w:sz w:val="20"/>
                <w:szCs w:val="20"/>
              </w:rPr>
            </w:pPr>
            <w:r w:rsidRPr="003A3EE6">
              <w:rPr>
                <w:color w:val="000000"/>
                <w:sz w:val="20"/>
                <w:szCs w:val="20"/>
              </w:rPr>
              <w:t>136,4</w:t>
            </w:r>
          </w:p>
        </w:tc>
        <w:tc>
          <w:tcPr>
            <w:tcW w:w="1637" w:type="dxa"/>
            <w:shd w:val="clear" w:color="auto" w:fill="auto"/>
            <w:vAlign w:val="center"/>
          </w:tcPr>
          <w:p w14:paraId="6E14A4B6" w14:textId="77777777" w:rsidR="003A3EE6" w:rsidRPr="003A3EE6" w:rsidRDefault="003A3EE6" w:rsidP="003A3EE6">
            <w:pPr>
              <w:spacing w:after="60"/>
              <w:jc w:val="center"/>
              <w:rPr>
                <w:color w:val="000000"/>
                <w:sz w:val="20"/>
                <w:szCs w:val="20"/>
              </w:rPr>
            </w:pPr>
            <w:r w:rsidRPr="003A3EE6">
              <w:rPr>
                <w:color w:val="000000"/>
                <w:sz w:val="20"/>
                <w:szCs w:val="20"/>
              </w:rPr>
              <w:t>142,5</w:t>
            </w:r>
          </w:p>
        </w:tc>
      </w:tr>
      <w:tr w:rsidR="0094064F" w:rsidRPr="009D5B83" w14:paraId="03AC9E7A" w14:textId="77777777" w:rsidTr="0094064F">
        <w:trPr>
          <w:trHeight w:val="417"/>
          <w:jc w:val="center"/>
        </w:trPr>
        <w:tc>
          <w:tcPr>
            <w:tcW w:w="1725" w:type="dxa"/>
            <w:shd w:val="clear" w:color="auto" w:fill="auto"/>
            <w:vAlign w:val="center"/>
          </w:tcPr>
          <w:p w14:paraId="75EC610F" w14:textId="77777777" w:rsidR="003A3EE6" w:rsidRPr="003A3EE6" w:rsidRDefault="003A3EE6" w:rsidP="003A3EE6">
            <w:pPr>
              <w:spacing w:after="60"/>
              <w:jc w:val="both"/>
              <w:rPr>
                <w:color w:val="000000"/>
                <w:sz w:val="20"/>
                <w:szCs w:val="20"/>
              </w:rPr>
            </w:pPr>
            <w:r w:rsidRPr="003A3EE6">
              <w:rPr>
                <w:color w:val="000000"/>
                <w:sz w:val="20"/>
                <w:szCs w:val="20"/>
              </w:rPr>
              <w:t>на проведение углубленной диспансеризации</w:t>
            </w:r>
          </w:p>
        </w:tc>
        <w:tc>
          <w:tcPr>
            <w:tcW w:w="1247" w:type="dxa"/>
            <w:shd w:val="clear" w:color="auto" w:fill="auto"/>
            <w:vAlign w:val="center"/>
          </w:tcPr>
          <w:p w14:paraId="085476E3" w14:textId="77777777" w:rsidR="003A3EE6" w:rsidRPr="003A3EE6" w:rsidRDefault="003A3EE6" w:rsidP="003A3EE6">
            <w:pPr>
              <w:spacing w:after="60"/>
              <w:jc w:val="center"/>
              <w:rPr>
                <w:color w:val="000000"/>
                <w:sz w:val="20"/>
                <w:szCs w:val="20"/>
              </w:rPr>
            </w:pPr>
            <w:r w:rsidRPr="003A3EE6">
              <w:rPr>
                <w:color w:val="000000"/>
                <w:sz w:val="20"/>
                <w:szCs w:val="20"/>
              </w:rPr>
              <w:t>8,0</w:t>
            </w:r>
          </w:p>
        </w:tc>
        <w:tc>
          <w:tcPr>
            <w:tcW w:w="344" w:type="dxa"/>
            <w:shd w:val="clear" w:color="auto" w:fill="auto"/>
            <w:vAlign w:val="center"/>
          </w:tcPr>
          <w:p w14:paraId="2B618E73" w14:textId="77777777" w:rsidR="003A3EE6" w:rsidRPr="003A3EE6" w:rsidRDefault="003A3EE6" w:rsidP="003A3EE6">
            <w:pPr>
              <w:spacing w:after="60"/>
              <w:jc w:val="center"/>
              <w:rPr>
                <w:color w:val="000000"/>
                <w:sz w:val="20"/>
                <w:szCs w:val="20"/>
              </w:rPr>
            </w:pPr>
            <w:r w:rsidRPr="003A3EE6">
              <w:rPr>
                <w:color w:val="000000"/>
                <w:sz w:val="20"/>
                <w:szCs w:val="20"/>
              </w:rPr>
              <w:t>0,0</w:t>
            </w:r>
          </w:p>
        </w:tc>
        <w:tc>
          <w:tcPr>
            <w:tcW w:w="1637" w:type="dxa"/>
            <w:vAlign w:val="center"/>
          </w:tcPr>
          <w:p w14:paraId="58A29D27" w14:textId="77777777" w:rsidR="003A3EE6" w:rsidRPr="003A3EE6" w:rsidRDefault="003A3EE6" w:rsidP="003A3EE6">
            <w:pPr>
              <w:spacing w:after="60"/>
              <w:jc w:val="center"/>
              <w:rPr>
                <w:color w:val="000000"/>
                <w:sz w:val="20"/>
                <w:szCs w:val="20"/>
              </w:rPr>
            </w:pPr>
            <w:r w:rsidRPr="003A3EE6">
              <w:rPr>
                <w:color w:val="000000"/>
                <w:sz w:val="20"/>
                <w:szCs w:val="20"/>
              </w:rPr>
              <w:t>0,0</w:t>
            </w:r>
          </w:p>
        </w:tc>
        <w:tc>
          <w:tcPr>
            <w:tcW w:w="666" w:type="dxa"/>
            <w:shd w:val="clear" w:color="auto" w:fill="auto"/>
            <w:vAlign w:val="center"/>
          </w:tcPr>
          <w:p w14:paraId="7173D707" w14:textId="77777777" w:rsidR="003A3EE6" w:rsidRPr="003A3EE6" w:rsidRDefault="003A3EE6" w:rsidP="003A3EE6">
            <w:pPr>
              <w:spacing w:after="60"/>
              <w:jc w:val="center"/>
              <w:rPr>
                <w:color w:val="000000"/>
                <w:sz w:val="20"/>
                <w:szCs w:val="20"/>
              </w:rPr>
            </w:pPr>
            <w:r w:rsidRPr="003A3EE6">
              <w:rPr>
                <w:color w:val="000000"/>
                <w:sz w:val="20"/>
                <w:szCs w:val="20"/>
              </w:rPr>
              <w:t>0,0</w:t>
            </w:r>
          </w:p>
        </w:tc>
        <w:tc>
          <w:tcPr>
            <w:tcW w:w="1637" w:type="dxa"/>
            <w:vAlign w:val="center"/>
          </w:tcPr>
          <w:p w14:paraId="040D1D09" w14:textId="77777777" w:rsidR="003A3EE6" w:rsidRPr="003A3EE6" w:rsidRDefault="003A3EE6" w:rsidP="003A3EE6">
            <w:pPr>
              <w:spacing w:after="60"/>
              <w:jc w:val="center"/>
              <w:rPr>
                <w:color w:val="000000"/>
                <w:sz w:val="20"/>
                <w:szCs w:val="20"/>
              </w:rPr>
            </w:pPr>
            <w:r w:rsidRPr="003A3EE6">
              <w:rPr>
                <w:color w:val="000000"/>
                <w:sz w:val="20"/>
                <w:szCs w:val="20"/>
              </w:rPr>
              <w:t>0,0</w:t>
            </w:r>
          </w:p>
        </w:tc>
        <w:tc>
          <w:tcPr>
            <w:tcW w:w="1637" w:type="dxa"/>
            <w:shd w:val="clear" w:color="auto" w:fill="auto"/>
            <w:vAlign w:val="center"/>
          </w:tcPr>
          <w:p w14:paraId="061F8E8E" w14:textId="77777777" w:rsidR="003A3EE6" w:rsidRPr="003A3EE6" w:rsidRDefault="003A3EE6" w:rsidP="003A3EE6">
            <w:pPr>
              <w:spacing w:after="60"/>
              <w:jc w:val="center"/>
              <w:rPr>
                <w:color w:val="000000"/>
                <w:sz w:val="20"/>
                <w:szCs w:val="20"/>
              </w:rPr>
            </w:pPr>
            <w:r w:rsidRPr="003A3EE6">
              <w:rPr>
                <w:color w:val="000000"/>
                <w:sz w:val="20"/>
                <w:szCs w:val="20"/>
              </w:rPr>
              <w:t>0,0</w:t>
            </w:r>
          </w:p>
        </w:tc>
      </w:tr>
      <w:tr w:rsidR="0094064F" w:rsidRPr="009D5B83" w14:paraId="3F7C2D4C" w14:textId="77777777" w:rsidTr="0094064F">
        <w:trPr>
          <w:trHeight w:val="417"/>
          <w:jc w:val="center"/>
        </w:trPr>
        <w:tc>
          <w:tcPr>
            <w:tcW w:w="1725" w:type="dxa"/>
            <w:shd w:val="clear" w:color="auto" w:fill="auto"/>
            <w:vAlign w:val="center"/>
          </w:tcPr>
          <w:p w14:paraId="10486D57" w14:textId="77777777" w:rsidR="003A3EE6" w:rsidRPr="003A3EE6" w:rsidRDefault="003A3EE6" w:rsidP="003A3EE6">
            <w:pPr>
              <w:spacing w:after="60"/>
              <w:jc w:val="both"/>
              <w:rPr>
                <w:color w:val="000000"/>
                <w:sz w:val="20"/>
                <w:szCs w:val="20"/>
              </w:rPr>
            </w:pPr>
            <w:r w:rsidRPr="003A3EE6">
              <w:rPr>
                <w:color w:val="000000"/>
                <w:sz w:val="20"/>
                <w:szCs w:val="20"/>
              </w:rPr>
              <w:t>на проведение медицинской реабилитации</w:t>
            </w:r>
          </w:p>
        </w:tc>
        <w:tc>
          <w:tcPr>
            <w:tcW w:w="1247" w:type="dxa"/>
            <w:shd w:val="clear" w:color="auto" w:fill="auto"/>
            <w:vAlign w:val="center"/>
          </w:tcPr>
          <w:p w14:paraId="45974CDD" w14:textId="77777777" w:rsidR="003A3EE6" w:rsidRPr="003A3EE6" w:rsidRDefault="003A3EE6" w:rsidP="003A3EE6">
            <w:pPr>
              <w:spacing w:after="60"/>
              <w:jc w:val="center"/>
              <w:rPr>
                <w:color w:val="000000"/>
                <w:sz w:val="20"/>
                <w:szCs w:val="20"/>
              </w:rPr>
            </w:pPr>
            <w:r w:rsidRPr="003A3EE6">
              <w:rPr>
                <w:color w:val="000000"/>
                <w:sz w:val="20"/>
                <w:szCs w:val="20"/>
              </w:rPr>
              <w:t>9,2</w:t>
            </w:r>
          </w:p>
        </w:tc>
        <w:tc>
          <w:tcPr>
            <w:tcW w:w="344" w:type="dxa"/>
            <w:shd w:val="clear" w:color="auto" w:fill="auto"/>
            <w:vAlign w:val="center"/>
          </w:tcPr>
          <w:p w14:paraId="586CA535" w14:textId="77777777" w:rsidR="003A3EE6" w:rsidRPr="003A3EE6" w:rsidRDefault="003A3EE6" w:rsidP="003A3EE6">
            <w:pPr>
              <w:spacing w:after="60"/>
              <w:jc w:val="center"/>
              <w:rPr>
                <w:color w:val="000000"/>
                <w:sz w:val="20"/>
                <w:szCs w:val="20"/>
              </w:rPr>
            </w:pPr>
            <w:r w:rsidRPr="003A3EE6">
              <w:rPr>
                <w:color w:val="000000"/>
                <w:sz w:val="20"/>
                <w:szCs w:val="20"/>
              </w:rPr>
              <w:t>10,0</w:t>
            </w:r>
          </w:p>
        </w:tc>
        <w:tc>
          <w:tcPr>
            <w:tcW w:w="1637" w:type="dxa"/>
            <w:vAlign w:val="center"/>
          </w:tcPr>
          <w:p w14:paraId="5B0AC3CF" w14:textId="77777777" w:rsidR="003A3EE6" w:rsidRPr="003A3EE6" w:rsidRDefault="003A3EE6" w:rsidP="003A3EE6">
            <w:pPr>
              <w:spacing w:after="60"/>
              <w:jc w:val="center"/>
              <w:rPr>
                <w:color w:val="000000"/>
                <w:sz w:val="20"/>
                <w:szCs w:val="20"/>
              </w:rPr>
            </w:pPr>
            <w:r w:rsidRPr="003A3EE6">
              <w:rPr>
                <w:color w:val="000000"/>
                <w:sz w:val="20"/>
                <w:szCs w:val="20"/>
              </w:rPr>
              <w:t>10,0</w:t>
            </w:r>
          </w:p>
        </w:tc>
        <w:tc>
          <w:tcPr>
            <w:tcW w:w="666" w:type="dxa"/>
            <w:shd w:val="clear" w:color="auto" w:fill="auto"/>
            <w:vAlign w:val="center"/>
          </w:tcPr>
          <w:p w14:paraId="4706C912" w14:textId="77777777" w:rsidR="003A3EE6" w:rsidRPr="003A3EE6" w:rsidRDefault="003A3EE6" w:rsidP="003A3EE6">
            <w:pPr>
              <w:spacing w:after="60"/>
              <w:jc w:val="center"/>
              <w:rPr>
                <w:color w:val="000000"/>
                <w:sz w:val="20"/>
                <w:szCs w:val="20"/>
              </w:rPr>
            </w:pPr>
            <w:r w:rsidRPr="003A3EE6">
              <w:rPr>
                <w:color w:val="000000"/>
                <w:sz w:val="20"/>
                <w:szCs w:val="20"/>
              </w:rPr>
              <w:t>10,0</w:t>
            </w:r>
          </w:p>
        </w:tc>
        <w:tc>
          <w:tcPr>
            <w:tcW w:w="1637" w:type="dxa"/>
            <w:vAlign w:val="center"/>
          </w:tcPr>
          <w:p w14:paraId="6A5C8E74" w14:textId="77777777" w:rsidR="003A3EE6" w:rsidRPr="003A3EE6" w:rsidRDefault="003A3EE6" w:rsidP="003A3EE6">
            <w:pPr>
              <w:spacing w:after="60"/>
              <w:jc w:val="center"/>
              <w:rPr>
                <w:color w:val="000000"/>
                <w:sz w:val="20"/>
                <w:szCs w:val="20"/>
              </w:rPr>
            </w:pPr>
            <w:r w:rsidRPr="003A3EE6">
              <w:rPr>
                <w:color w:val="000000"/>
                <w:sz w:val="20"/>
                <w:szCs w:val="20"/>
              </w:rPr>
              <w:t>10,0</w:t>
            </w:r>
          </w:p>
        </w:tc>
        <w:tc>
          <w:tcPr>
            <w:tcW w:w="1637" w:type="dxa"/>
            <w:shd w:val="clear" w:color="auto" w:fill="auto"/>
            <w:vAlign w:val="center"/>
          </w:tcPr>
          <w:p w14:paraId="7BD1ECF3" w14:textId="77777777" w:rsidR="003A3EE6" w:rsidRPr="003A3EE6" w:rsidRDefault="003A3EE6" w:rsidP="003A3EE6">
            <w:pPr>
              <w:spacing w:after="60"/>
              <w:jc w:val="center"/>
              <w:rPr>
                <w:color w:val="000000"/>
                <w:sz w:val="20"/>
                <w:szCs w:val="20"/>
              </w:rPr>
            </w:pPr>
            <w:r w:rsidRPr="003A3EE6">
              <w:rPr>
                <w:color w:val="000000"/>
                <w:sz w:val="20"/>
                <w:szCs w:val="20"/>
              </w:rPr>
              <w:t>10,4</w:t>
            </w:r>
          </w:p>
        </w:tc>
      </w:tr>
    </w:tbl>
    <w:p w14:paraId="19E2A2BD" w14:textId="51E46677" w:rsidR="003A3EE6" w:rsidRPr="003A3EE6" w:rsidRDefault="003A3EE6" w:rsidP="003A3EE6">
      <w:pPr>
        <w:ind w:firstLine="709"/>
        <w:jc w:val="both"/>
        <w:rPr>
          <w:sz w:val="20"/>
          <w:szCs w:val="20"/>
        </w:rPr>
      </w:pPr>
      <w:r w:rsidRPr="003A3EE6">
        <w:rPr>
          <w:i/>
          <w:iCs/>
          <w:sz w:val="20"/>
          <w:szCs w:val="20"/>
        </w:rPr>
        <w:t>Источник:</w:t>
      </w:r>
      <w:r w:rsidRPr="003A3EE6">
        <w:rPr>
          <w:sz w:val="20"/>
          <w:szCs w:val="20"/>
        </w:rPr>
        <w:t xml:space="preserve"> Пояснительная записка</w:t>
      </w:r>
      <w:r w:rsidR="0094064F" w:rsidRPr="009D5B83">
        <w:rPr>
          <w:sz w:val="20"/>
          <w:szCs w:val="20"/>
        </w:rPr>
        <w:t xml:space="preserve"> к Законопроекту о ФФОМС</w:t>
      </w:r>
      <w:r w:rsidRPr="003A3EE6">
        <w:rPr>
          <w:sz w:val="20"/>
          <w:szCs w:val="20"/>
        </w:rPr>
        <w:t xml:space="preserve">, </w:t>
      </w:r>
      <w:r w:rsidR="0094064F" w:rsidRPr="009D5B83">
        <w:rPr>
          <w:sz w:val="20"/>
          <w:szCs w:val="20"/>
        </w:rPr>
        <w:t>Закон</w:t>
      </w:r>
      <w:r w:rsidRPr="003A3EE6">
        <w:rPr>
          <w:sz w:val="20"/>
          <w:szCs w:val="20"/>
        </w:rPr>
        <w:t xml:space="preserve"> № 392-ФЗ</w:t>
      </w:r>
      <w:r w:rsidR="0094064F" w:rsidRPr="009D5B83">
        <w:rPr>
          <w:sz w:val="20"/>
          <w:szCs w:val="20"/>
        </w:rPr>
        <w:t>.</w:t>
      </w:r>
    </w:p>
    <w:p w14:paraId="2689F63E" w14:textId="77777777" w:rsidR="003A3EE6" w:rsidRPr="003A3EE6" w:rsidRDefault="003A3EE6" w:rsidP="003A3EE6"/>
    <w:p w14:paraId="15B86A3D" w14:textId="77777777" w:rsidR="003A3EE6" w:rsidRPr="00E103B9" w:rsidRDefault="003A3EE6" w:rsidP="003A3EE6">
      <w:pPr>
        <w:spacing w:after="60"/>
        <w:ind w:firstLine="709"/>
        <w:jc w:val="both"/>
        <w:rPr>
          <w:sz w:val="28"/>
        </w:rPr>
      </w:pPr>
      <w:r w:rsidRPr="00E103B9">
        <w:rPr>
          <w:sz w:val="28"/>
        </w:rPr>
        <w:t xml:space="preserve">Не получило продления финансирование за счет средств федерального бюджета программы углубленной диспансеризации граждан, переболевших новой </w:t>
      </w:r>
      <w:proofErr w:type="spellStart"/>
      <w:r w:rsidRPr="00E103B9">
        <w:rPr>
          <w:sz w:val="28"/>
        </w:rPr>
        <w:t>коронавирусной</w:t>
      </w:r>
      <w:proofErr w:type="spellEnd"/>
      <w:r w:rsidRPr="00E103B9">
        <w:rPr>
          <w:sz w:val="28"/>
        </w:rPr>
        <w:t xml:space="preserve"> инфекцией (в 2022 г. – 8,0 </w:t>
      </w:r>
      <w:proofErr w:type="gramStart"/>
      <w:r w:rsidRPr="00E103B9">
        <w:rPr>
          <w:sz w:val="28"/>
        </w:rPr>
        <w:t>млрд</w:t>
      </w:r>
      <w:proofErr w:type="gramEnd"/>
      <w:r w:rsidRPr="00E103B9">
        <w:rPr>
          <w:sz w:val="28"/>
        </w:rPr>
        <w:t xml:space="preserve"> руб.). В 2023 г. программу планируется продолжить за счет средств ОМС. </w:t>
      </w:r>
    </w:p>
    <w:p w14:paraId="5ED06519" w14:textId="135BD70E" w:rsidR="003A3EE6" w:rsidRDefault="003A3EE6" w:rsidP="003A3EE6">
      <w:pPr>
        <w:spacing w:after="60"/>
        <w:ind w:firstLine="709"/>
        <w:jc w:val="both"/>
        <w:rPr>
          <w:sz w:val="28"/>
        </w:rPr>
      </w:pPr>
      <w:r w:rsidRPr="00E103B9">
        <w:rPr>
          <w:sz w:val="28"/>
        </w:rPr>
        <w:t xml:space="preserve">Крупнейшей статьей расходов бюджета </w:t>
      </w:r>
      <w:r w:rsidR="0094064F" w:rsidRPr="00E103B9">
        <w:rPr>
          <w:sz w:val="28"/>
        </w:rPr>
        <w:t>Ф</w:t>
      </w:r>
      <w:r w:rsidRPr="00E103B9">
        <w:rPr>
          <w:sz w:val="28"/>
        </w:rPr>
        <w:t>ФОМС остается субвенция бюджетам территориальных фондов ОМС на финансовое обеспечение базовой программы ОМС (</w:t>
      </w:r>
      <w:r w:rsidRPr="00E103B9">
        <w:rPr>
          <w:i/>
          <w:iCs/>
          <w:sz w:val="28"/>
        </w:rPr>
        <w:t xml:space="preserve">таблица </w:t>
      </w:r>
      <w:r w:rsidR="0094064F" w:rsidRPr="00E103B9">
        <w:rPr>
          <w:i/>
          <w:iCs/>
          <w:sz w:val="28"/>
        </w:rPr>
        <w:t>26</w:t>
      </w:r>
      <w:r w:rsidRPr="00E103B9">
        <w:rPr>
          <w:sz w:val="28"/>
        </w:rPr>
        <w:t>).</w:t>
      </w:r>
    </w:p>
    <w:p w14:paraId="62DF1A0F" w14:textId="77777777" w:rsidR="00E103B9" w:rsidRDefault="00E103B9" w:rsidP="003A3EE6">
      <w:pPr>
        <w:spacing w:after="60"/>
        <w:ind w:firstLine="709"/>
        <w:jc w:val="both"/>
        <w:rPr>
          <w:sz w:val="28"/>
        </w:rPr>
      </w:pPr>
    </w:p>
    <w:p w14:paraId="23F7AC2F" w14:textId="77777777" w:rsidR="00E103B9" w:rsidRDefault="00E103B9" w:rsidP="003A3EE6">
      <w:pPr>
        <w:spacing w:after="60"/>
        <w:ind w:firstLine="709"/>
        <w:jc w:val="both"/>
        <w:rPr>
          <w:sz w:val="28"/>
        </w:rPr>
      </w:pPr>
    </w:p>
    <w:p w14:paraId="6F954EC7" w14:textId="77777777" w:rsidR="00E103B9" w:rsidRDefault="00E103B9" w:rsidP="003A3EE6">
      <w:pPr>
        <w:spacing w:after="60"/>
        <w:ind w:firstLine="709"/>
        <w:jc w:val="both"/>
        <w:rPr>
          <w:sz w:val="28"/>
        </w:rPr>
      </w:pPr>
    </w:p>
    <w:p w14:paraId="4DFC21FA" w14:textId="77777777" w:rsidR="00E103B9" w:rsidRDefault="00E103B9" w:rsidP="003A3EE6">
      <w:pPr>
        <w:spacing w:after="60"/>
        <w:ind w:firstLine="709"/>
        <w:jc w:val="both"/>
        <w:rPr>
          <w:sz w:val="28"/>
        </w:rPr>
      </w:pPr>
    </w:p>
    <w:p w14:paraId="5CB04D0F" w14:textId="77777777" w:rsidR="00E103B9" w:rsidRDefault="00E103B9" w:rsidP="003A3EE6">
      <w:pPr>
        <w:spacing w:after="60"/>
        <w:ind w:firstLine="709"/>
        <w:jc w:val="both"/>
        <w:rPr>
          <w:sz w:val="28"/>
        </w:rPr>
      </w:pPr>
    </w:p>
    <w:p w14:paraId="7BC36019" w14:textId="69C9FE87" w:rsidR="003A3EE6" w:rsidRPr="003A3EE6" w:rsidRDefault="003A3EE6" w:rsidP="003A3EE6">
      <w:pPr>
        <w:spacing w:after="60"/>
        <w:ind w:firstLine="709"/>
        <w:jc w:val="right"/>
        <w:rPr>
          <w:i/>
          <w:iCs/>
        </w:rPr>
      </w:pPr>
      <w:r w:rsidRPr="003A3EE6">
        <w:rPr>
          <w:i/>
          <w:iCs/>
        </w:rPr>
        <w:t xml:space="preserve">Таблица </w:t>
      </w:r>
      <w:r w:rsidR="0094064F" w:rsidRPr="009D5B83">
        <w:rPr>
          <w:i/>
          <w:iCs/>
        </w:rPr>
        <w:t>26</w:t>
      </w:r>
    </w:p>
    <w:p w14:paraId="114A8E21" w14:textId="06FEE7A3" w:rsidR="003A3EE6" w:rsidRPr="003A3EE6" w:rsidRDefault="003A3EE6" w:rsidP="003A3EE6">
      <w:pPr>
        <w:spacing w:after="60"/>
        <w:jc w:val="center"/>
        <w:rPr>
          <w:b/>
          <w:bCs/>
        </w:rPr>
      </w:pPr>
      <w:r w:rsidRPr="003A3EE6">
        <w:rPr>
          <w:b/>
          <w:bCs/>
        </w:rPr>
        <w:t>Изменения плановых расходов Ф</w:t>
      </w:r>
      <w:r w:rsidR="00290EA5">
        <w:rPr>
          <w:b/>
          <w:bCs/>
        </w:rPr>
        <w:t>Ф</w:t>
      </w:r>
      <w:r w:rsidRPr="003A3EE6">
        <w:rPr>
          <w:b/>
          <w:bCs/>
        </w:rPr>
        <w:t>ОМС в 2022-2025 гг.</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816"/>
        <w:gridCol w:w="816"/>
        <w:gridCol w:w="816"/>
        <w:gridCol w:w="1481"/>
        <w:gridCol w:w="816"/>
        <w:gridCol w:w="1481"/>
        <w:gridCol w:w="1481"/>
      </w:tblGrid>
      <w:tr w:rsidR="003A3EE6" w:rsidRPr="003A3EE6" w14:paraId="684A2938" w14:textId="77777777" w:rsidTr="00AA0954">
        <w:trPr>
          <w:trHeight w:val="360"/>
          <w:tblHeader/>
          <w:jc w:val="center"/>
        </w:trPr>
        <w:tc>
          <w:tcPr>
            <w:tcW w:w="1840" w:type="dxa"/>
            <w:vMerge w:val="restart"/>
            <w:shd w:val="clear" w:color="auto" w:fill="auto"/>
            <w:vAlign w:val="center"/>
            <w:hideMark/>
          </w:tcPr>
          <w:p w14:paraId="743B42F4" w14:textId="4A6F5A42" w:rsidR="003A3EE6" w:rsidRPr="003A3EE6" w:rsidRDefault="0094064F" w:rsidP="003A3EE6">
            <w:pPr>
              <w:spacing w:after="60"/>
              <w:jc w:val="center"/>
              <w:rPr>
                <w:b/>
                <w:bCs/>
                <w:color w:val="000000"/>
                <w:sz w:val="20"/>
                <w:szCs w:val="20"/>
              </w:rPr>
            </w:pPr>
            <w:r w:rsidRPr="009D5B83">
              <w:rPr>
                <w:b/>
                <w:bCs/>
                <w:color w:val="000000"/>
                <w:sz w:val="20"/>
                <w:szCs w:val="20"/>
              </w:rPr>
              <w:t>Показатель</w:t>
            </w:r>
          </w:p>
        </w:tc>
        <w:tc>
          <w:tcPr>
            <w:tcW w:w="2142" w:type="dxa"/>
            <w:gridSpan w:val="2"/>
            <w:shd w:val="clear" w:color="auto" w:fill="auto"/>
            <w:vAlign w:val="center"/>
            <w:hideMark/>
          </w:tcPr>
          <w:p w14:paraId="208488F9" w14:textId="6E336D26" w:rsidR="003A3EE6" w:rsidRPr="003A3EE6" w:rsidRDefault="003A3EE6" w:rsidP="003A3EE6">
            <w:pPr>
              <w:spacing w:after="60"/>
              <w:jc w:val="center"/>
              <w:rPr>
                <w:b/>
                <w:bCs/>
                <w:color w:val="000000"/>
                <w:sz w:val="20"/>
                <w:szCs w:val="20"/>
              </w:rPr>
            </w:pPr>
            <w:r w:rsidRPr="003A3EE6">
              <w:rPr>
                <w:b/>
                <w:bCs/>
                <w:color w:val="000000"/>
                <w:sz w:val="20"/>
                <w:szCs w:val="20"/>
              </w:rPr>
              <w:t>2022</w:t>
            </w:r>
            <w:r w:rsidR="0094064F" w:rsidRPr="009D5B83">
              <w:rPr>
                <w:b/>
                <w:bCs/>
                <w:color w:val="000000"/>
                <w:sz w:val="20"/>
                <w:szCs w:val="20"/>
              </w:rPr>
              <w:t xml:space="preserve"> г.</w:t>
            </w:r>
          </w:p>
        </w:tc>
        <w:tc>
          <w:tcPr>
            <w:tcW w:w="2143" w:type="dxa"/>
            <w:gridSpan w:val="2"/>
            <w:shd w:val="clear" w:color="auto" w:fill="auto"/>
            <w:vAlign w:val="center"/>
            <w:hideMark/>
          </w:tcPr>
          <w:p w14:paraId="17877587" w14:textId="7E1A45C9" w:rsidR="003A3EE6" w:rsidRPr="003A3EE6" w:rsidRDefault="003A3EE6" w:rsidP="003A3EE6">
            <w:pPr>
              <w:spacing w:after="60"/>
              <w:jc w:val="center"/>
              <w:rPr>
                <w:b/>
                <w:bCs/>
                <w:color w:val="000000"/>
                <w:sz w:val="20"/>
                <w:szCs w:val="20"/>
              </w:rPr>
            </w:pPr>
            <w:r w:rsidRPr="003A3EE6">
              <w:rPr>
                <w:b/>
                <w:bCs/>
                <w:color w:val="000000"/>
                <w:sz w:val="20"/>
                <w:szCs w:val="20"/>
              </w:rPr>
              <w:t>2023</w:t>
            </w:r>
            <w:r w:rsidR="0094064F" w:rsidRPr="009D5B83">
              <w:rPr>
                <w:b/>
                <w:bCs/>
                <w:color w:val="000000"/>
                <w:sz w:val="20"/>
                <w:szCs w:val="20"/>
              </w:rPr>
              <w:t xml:space="preserve"> г.</w:t>
            </w:r>
          </w:p>
        </w:tc>
        <w:tc>
          <w:tcPr>
            <w:tcW w:w="2142" w:type="dxa"/>
            <w:gridSpan w:val="2"/>
            <w:shd w:val="clear" w:color="auto" w:fill="auto"/>
            <w:vAlign w:val="center"/>
            <w:hideMark/>
          </w:tcPr>
          <w:p w14:paraId="42B470F1" w14:textId="6FEA9FA2" w:rsidR="003A3EE6" w:rsidRPr="003A3EE6" w:rsidRDefault="003A3EE6" w:rsidP="003A3EE6">
            <w:pPr>
              <w:spacing w:after="60"/>
              <w:jc w:val="center"/>
              <w:rPr>
                <w:b/>
                <w:bCs/>
                <w:color w:val="000000"/>
                <w:sz w:val="20"/>
                <w:szCs w:val="20"/>
              </w:rPr>
            </w:pPr>
            <w:r w:rsidRPr="003A3EE6">
              <w:rPr>
                <w:b/>
                <w:bCs/>
                <w:color w:val="000000"/>
                <w:sz w:val="20"/>
                <w:szCs w:val="20"/>
              </w:rPr>
              <w:t>2024</w:t>
            </w:r>
            <w:r w:rsidR="0094064F" w:rsidRPr="009D5B83">
              <w:rPr>
                <w:b/>
                <w:bCs/>
                <w:color w:val="000000"/>
                <w:sz w:val="20"/>
                <w:szCs w:val="20"/>
              </w:rPr>
              <w:t xml:space="preserve"> г.</w:t>
            </w:r>
          </w:p>
        </w:tc>
        <w:tc>
          <w:tcPr>
            <w:tcW w:w="1072" w:type="dxa"/>
            <w:shd w:val="clear" w:color="auto" w:fill="auto"/>
            <w:vAlign w:val="center"/>
            <w:hideMark/>
          </w:tcPr>
          <w:p w14:paraId="1F5DB089" w14:textId="717E8F1C" w:rsidR="003A3EE6" w:rsidRPr="003A3EE6" w:rsidRDefault="003A3EE6" w:rsidP="003A3EE6">
            <w:pPr>
              <w:spacing w:after="60"/>
              <w:jc w:val="center"/>
              <w:rPr>
                <w:b/>
                <w:bCs/>
                <w:color w:val="000000"/>
                <w:sz w:val="20"/>
                <w:szCs w:val="20"/>
              </w:rPr>
            </w:pPr>
            <w:r w:rsidRPr="003A3EE6">
              <w:rPr>
                <w:b/>
                <w:bCs/>
                <w:color w:val="000000"/>
                <w:sz w:val="20"/>
                <w:szCs w:val="20"/>
              </w:rPr>
              <w:t>2025</w:t>
            </w:r>
            <w:r w:rsidR="0094064F" w:rsidRPr="009D5B83">
              <w:rPr>
                <w:b/>
                <w:bCs/>
                <w:color w:val="000000"/>
                <w:sz w:val="20"/>
                <w:szCs w:val="20"/>
              </w:rPr>
              <w:t xml:space="preserve"> г.</w:t>
            </w:r>
          </w:p>
        </w:tc>
      </w:tr>
      <w:tr w:rsidR="003A3EE6" w:rsidRPr="003A3EE6" w14:paraId="7A7B77A3" w14:textId="77777777" w:rsidTr="00AA0954">
        <w:trPr>
          <w:trHeight w:val="360"/>
          <w:tblHeader/>
          <w:jc w:val="center"/>
        </w:trPr>
        <w:tc>
          <w:tcPr>
            <w:tcW w:w="1840" w:type="dxa"/>
            <w:vMerge/>
            <w:shd w:val="clear" w:color="auto" w:fill="auto"/>
            <w:vAlign w:val="center"/>
          </w:tcPr>
          <w:p w14:paraId="001C450E" w14:textId="77777777" w:rsidR="003A3EE6" w:rsidRPr="003A3EE6" w:rsidRDefault="003A3EE6" w:rsidP="003A3EE6">
            <w:pPr>
              <w:spacing w:after="60"/>
              <w:jc w:val="center"/>
              <w:rPr>
                <w:b/>
                <w:bCs/>
                <w:color w:val="000000"/>
                <w:sz w:val="20"/>
                <w:szCs w:val="20"/>
              </w:rPr>
            </w:pPr>
          </w:p>
        </w:tc>
        <w:tc>
          <w:tcPr>
            <w:tcW w:w="1071" w:type="dxa"/>
            <w:shd w:val="clear" w:color="auto" w:fill="auto"/>
            <w:vAlign w:val="center"/>
          </w:tcPr>
          <w:p w14:paraId="5791D94A" w14:textId="423BCD2E" w:rsidR="003A3EE6" w:rsidRPr="003A3EE6" w:rsidRDefault="003D6A44" w:rsidP="003A3EE6">
            <w:pPr>
              <w:spacing w:after="60"/>
              <w:jc w:val="center"/>
              <w:rPr>
                <w:b/>
                <w:bCs/>
                <w:color w:val="000000"/>
                <w:sz w:val="20"/>
                <w:szCs w:val="20"/>
              </w:rPr>
            </w:pPr>
            <w:r w:rsidRPr="009D5B83">
              <w:rPr>
                <w:b/>
                <w:bCs/>
                <w:color w:val="000000"/>
                <w:sz w:val="20"/>
                <w:szCs w:val="20"/>
              </w:rPr>
              <w:t xml:space="preserve">Закон № </w:t>
            </w:r>
            <w:r w:rsidRPr="003A3EE6">
              <w:rPr>
                <w:b/>
                <w:bCs/>
                <w:color w:val="000000"/>
                <w:sz w:val="20"/>
                <w:szCs w:val="20"/>
              </w:rPr>
              <w:t>392</w:t>
            </w:r>
            <w:r w:rsidRPr="009D5B83">
              <w:rPr>
                <w:b/>
                <w:bCs/>
                <w:color w:val="000000"/>
                <w:sz w:val="20"/>
                <w:szCs w:val="20"/>
              </w:rPr>
              <w:t>-ФЗ</w:t>
            </w:r>
          </w:p>
        </w:tc>
        <w:tc>
          <w:tcPr>
            <w:tcW w:w="1071" w:type="dxa"/>
            <w:vAlign w:val="center"/>
          </w:tcPr>
          <w:p w14:paraId="1149D65C" w14:textId="77777777" w:rsidR="003A3EE6" w:rsidRPr="003A3EE6" w:rsidRDefault="003A3EE6" w:rsidP="003A3EE6">
            <w:pPr>
              <w:spacing w:after="60"/>
              <w:jc w:val="center"/>
              <w:rPr>
                <w:b/>
                <w:bCs/>
                <w:color w:val="000000"/>
                <w:sz w:val="20"/>
                <w:szCs w:val="20"/>
              </w:rPr>
            </w:pPr>
            <w:r w:rsidRPr="003A3EE6">
              <w:rPr>
                <w:b/>
                <w:bCs/>
                <w:color w:val="000000"/>
                <w:sz w:val="20"/>
                <w:szCs w:val="20"/>
              </w:rPr>
              <w:t>СБР</w:t>
            </w:r>
          </w:p>
        </w:tc>
        <w:tc>
          <w:tcPr>
            <w:tcW w:w="1071" w:type="dxa"/>
            <w:shd w:val="clear" w:color="auto" w:fill="auto"/>
            <w:vAlign w:val="center"/>
          </w:tcPr>
          <w:p w14:paraId="58B14D8E" w14:textId="0B3B3169" w:rsidR="003A3EE6" w:rsidRPr="003A3EE6" w:rsidRDefault="003D6A44" w:rsidP="003A3EE6">
            <w:pPr>
              <w:spacing w:after="60"/>
              <w:jc w:val="center"/>
              <w:rPr>
                <w:b/>
                <w:bCs/>
                <w:color w:val="000000"/>
                <w:sz w:val="20"/>
                <w:szCs w:val="20"/>
              </w:rPr>
            </w:pPr>
            <w:r w:rsidRPr="009D5B83">
              <w:rPr>
                <w:b/>
                <w:bCs/>
                <w:color w:val="000000"/>
                <w:sz w:val="20"/>
                <w:szCs w:val="20"/>
              </w:rPr>
              <w:t xml:space="preserve">Закон № </w:t>
            </w:r>
            <w:r w:rsidRPr="003A3EE6">
              <w:rPr>
                <w:b/>
                <w:bCs/>
                <w:color w:val="000000"/>
                <w:sz w:val="20"/>
                <w:szCs w:val="20"/>
              </w:rPr>
              <w:t>392</w:t>
            </w:r>
            <w:r w:rsidRPr="009D5B83">
              <w:rPr>
                <w:b/>
                <w:bCs/>
                <w:color w:val="000000"/>
                <w:sz w:val="20"/>
                <w:szCs w:val="20"/>
              </w:rPr>
              <w:t>-ФЗ</w:t>
            </w:r>
          </w:p>
        </w:tc>
        <w:tc>
          <w:tcPr>
            <w:tcW w:w="1072" w:type="dxa"/>
            <w:vAlign w:val="center"/>
          </w:tcPr>
          <w:p w14:paraId="24F91B07" w14:textId="78E3387F" w:rsidR="003A3EE6" w:rsidRPr="003A3EE6" w:rsidRDefault="003D6A44"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c>
          <w:tcPr>
            <w:tcW w:w="1071" w:type="dxa"/>
            <w:shd w:val="clear" w:color="auto" w:fill="auto"/>
            <w:vAlign w:val="center"/>
          </w:tcPr>
          <w:p w14:paraId="038E983D" w14:textId="3FFB588C" w:rsidR="003A3EE6" w:rsidRPr="003A3EE6" w:rsidRDefault="003D6A44" w:rsidP="003A3EE6">
            <w:pPr>
              <w:spacing w:after="60"/>
              <w:jc w:val="center"/>
              <w:rPr>
                <w:b/>
                <w:bCs/>
                <w:color w:val="000000"/>
                <w:sz w:val="20"/>
                <w:szCs w:val="20"/>
              </w:rPr>
            </w:pPr>
            <w:r w:rsidRPr="009D5B83">
              <w:rPr>
                <w:b/>
                <w:bCs/>
                <w:color w:val="000000"/>
                <w:sz w:val="20"/>
                <w:szCs w:val="20"/>
              </w:rPr>
              <w:t xml:space="preserve">Закон № </w:t>
            </w:r>
            <w:r w:rsidRPr="003A3EE6">
              <w:rPr>
                <w:b/>
                <w:bCs/>
                <w:color w:val="000000"/>
                <w:sz w:val="20"/>
                <w:szCs w:val="20"/>
              </w:rPr>
              <w:t>392</w:t>
            </w:r>
            <w:r w:rsidRPr="009D5B83">
              <w:rPr>
                <w:b/>
                <w:bCs/>
                <w:color w:val="000000"/>
                <w:sz w:val="20"/>
                <w:szCs w:val="20"/>
              </w:rPr>
              <w:t>-ФЗ</w:t>
            </w:r>
          </w:p>
        </w:tc>
        <w:tc>
          <w:tcPr>
            <w:tcW w:w="1071" w:type="dxa"/>
            <w:vAlign w:val="center"/>
          </w:tcPr>
          <w:p w14:paraId="10731496" w14:textId="2880C8CE" w:rsidR="003A3EE6" w:rsidRPr="003A3EE6" w:rsidRDefault="003D6A44"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c>
          <w:tcPr>
            <w:tcW w:w="1072" w:type="dxa"/>
            <w:shd w:val="clear" w:color="auto" w:fill="auto"/>
            <w:vAlign w:val="center"/>
          </w:tcPr>
          <w:p w14:paraId="29E9695A" w14:textId="6FA4476C" w:rsidR="003A3EE6" w:rsidRPr="003A3EE6" w:rsidRDefault="003D6A44" w:rsidP="003A3EE6">
            <w:pPr>
              <w:spacing w:after="60"/>
              <w:jc w:val="center"/>
              <w:rPr>
                <w:b/>
                <w:bCs/>
                <w:color w:val="000000"/>
                <w:sz w:val="20"/>
                <w:szCs w:val="20"/>
              </w:rPr>
            </w:pPr>
            <w:r w:rsidRPr="009D5B83">
              <w:rPr>
                <w:b/>
                <w:bCs/>
                <w:color w:val="000000"/>
                <w:sz w:val="20"/>
                <w:szCs w:val="20"/>
              </w:rPr>
              <w:t>Законоп</w:t>
            </w:r>
            <w:r w:rsidRPr="003A3EE6">
              <w:rPr>
                <w:b/>
                <w:bCs/>
                <w:color w:val="000000"/>
                <w:sz w:val="20"/>
                <w:szCs w:val="20"/>
              </w:rPr>
              <w:t>роект</w:t>
            </w:r>
            <w:r w:rsidRPr="009D5B83">
              <w:rPr>
                <w:b/>
                <w:bCs/>
                <w:color w:val="000000"/>
                <w:sz w:val="20"/>
                <w:szCs w:val="20"/>
              </w:rPr>
              <w:t xml:space="preserve"> о ФФОМС</w:t>
            </w:r>
          </w:p>
        </w:tc>
      </w:tr>
      <w:tr w:rsidR="003A3EE6" w:rsidRPr="009D5B83" w14:paraId="0CF48FDA" w14:textId="77777777" w:rsidTr="00133B80">
        <w:trPr>
          <w:trHeight w:val="360"/>
          <w:jc w:val="center"/>
        </w:trPr>
        <w:tc>
          <w:tcPr>
            <w:tcW w:w="1840" w:type="dxa"/>
            <w:shd w:val="clear" w:color="auto" w:fill="auto"/>
            <w:vAlign w:val="center"/>
          </w:tcPr>
          <w:p w14:paraId="6DA98F2A" w14:textId="0C54EA1B" w:rsidR="003A3EE6" w:rsidRPr="0055726F" w:rsidRDefault="0094064F" w:rsidP="003A3EE6">
            <w:pPr>
              <w:spacing w:after="60"/>
              <w:jc w:val="both"/>
              <w:rPr>
                <w:b/>
                <w:bCs/>
                <w:color w:val="000000"/>
                <w:sz w:val="20"/>
                <w:szCs w:val="20"/>
              </w:rPr>
            </w:pPr>
            <w:r w:rsidRPr="0055726F">
              <w:rPr>
                <w:b/>
                <w:bCs/>
                <w:color w:val="000000"/>
                <w:sz w:val="20"/>
                <w:szCs w:val="20"/>
              </w:rPr>
              <w:t>ВСЕГО</w:t>
            </w:r>
            <w:r w:rsidR="003A3EE6" w:rsidRPr="0055726F">
              <w:rPr>
                <w:b/>
                <w:bCs/>
                <w:color w:val="000000"/>
                <w:sz w:val="20"/>
                <w:szCs w:val="20"/>
              </w:rPr>
              <w:t xml:space="preserve">, в </w:t>
            </w:r>
            <w:proofErr w:type="spellStart"/>
            <w:r w:rsidR="003A3EE6" w:rsidRPr="0055726F">
              <w:rPr>
                <w:b/>
                <w:bCs/>
                <w:color w:val="000000"/>
                <w:sz w:val="20"/>
                <w:szCs w:val="20"/>
              </w:rPr>
              <w:t>т.ч</w:t>
            </w:r>
            <w:proofErr w:type="spellEnd"/>
            <w:r w:rsidR="003A3EE6" w:rsidRPr="0055726F">
              <w:rPr>
                <w:b/>
                <w:bCs/>
                <w:color w:val="000000"/>
                <w:sz w:val="20"/>
                <w:szCs w:val="20"/>
              </w:rPr>
              <w:t>.:</w:t>
            </w:r>
          </w:p>
        </w:tc>
        <w:tc>
          <w:tcPr>
            <w:tcW w:w="1071" w:type="dxa"/>
            <w:shd w:val="clear" w:color="auto" w:fill="auto"/>
            <w:vAlign w:val="center"/>
          </w:tcPr>
          <w:p w14:paraId="1CE62E47" w14:textId="77777777" w:rsidR="003A3EE6" w:rsidRPr="0055726F" w:rsidRDefault="003A3EE6" w:rsidP="003A3EE6">
            <w:pPr>
              <w:spacing w:after="60"/>
              <w:jc w:val="center"/>
              <w:rPr>
                <w:b/>
                <w:bCs/>
                <w:color w:val="000000"/>
                <w:sz w:val="20"/>
                <w:szCs w:val="20"/>
              </w:rPr>
            </w:pPr>
            <w:r w:rsidRPr="0055726F">
              <w:rPr>
                <w:b/>
                <w:bCs/>
                <w:color w:val="000000"/>
                <w:sz w:val="20"/>
                <w:szCs w:val="20"/>
              </w:rPr>
              <w:t>2 801,1</w:t>
            </w:r>
          </w:p>
        </w:tc>
        <w:tc>
          <w:tcPr>
            <w:tcW w:w="1071" w:type="dxa"/>
            <w:vAlign w:val="center"/>
          </w:tcPr>
          <w:p w14:paraId="458A228C" w14:textId="77777777" w:rsidR="003A3EE6" w:rsidRPr="0055726F" w:rsidRDefault="003A3EE6" w:rsidP="003A3EE6">
            <w:pPr>
              <w:spacing w:after="60"/>
              <w:jc w:val="center"/>
              <w:rPr>
                <w:b/>
                <w:bCs/>
                <w:color w:val="000000"/>
                <w:sz w:val="20"/>
                <w:szCs w:val="20"/>
              </w:rPr>
            </w:pPr>
            <w:r w:rsidRPr="0055726F">
              <w:rPr>
                <w:b/>
                <w:bCs/>
                <w:color w:val="000000"/>
                <w:sz w:val="20"/>
                <w:szCs w:val="20"/>
              </w:rPr>
              <w:t>2 803,0</w:t>
            </w:r>
          </w:p>
        </w:tc>
        <w:tc>
          <w:tcPr>
            <w:tcW w:w="1071" w:type="dxa"/>
            <w:shd w:val="clear" w:color="auto" w:fill="auto"/>
            <w:vAlign w:val="center"/>
          </w:tcPr>
          <w:p w14:paraId="5F5C3D02" w14:textId="77777777" w:rsidR="003A3EE6" w:rsidRPr="0055726F" w:rsidRDefault="003A3EE6" w:rsidP="003A3EE6">
            <w:pPr>
              <w:spacing w:after="60"/>
              <w:jc w:val="center"/>
              <w:rPr>
                <w:b/>
                <w:bCs/>
                <w:color w:val="000000"/>
                <w:sz w:val="20"/>
                <w:szCs w:val="20"/>
              </w:rPr>
            </w:pPr>
            <w:r w:rsidRPr="0055726F">
              <w:rPr>
                <w:b/>
                <w:bCs/>
                <w:color w:val="000000"/>
                <w:sz w:val="20"/>
                <w:szCs w:val="20"/>
              </w:rPr>
              <w:t>2 951,1</w:t>
            </w:r>
          </w:p>
        </w:tc>
        <w:tc>
          <w:tcPr>
            <w:tcW w:w="1072" w:type="dxa"/>
            <w:vAlign w:val="center"/>
          </w:tcPr>
          <w:p w14:paraId="709D61FF" w14:textId="77777777" w:rsidR="003A3EE6" w:rsidRPr="0055726F" w:rsidRDefault="003A3EE6" w:rsidP="003A3EE6">
            <w:pPr>
              <w:spacing w:after="60"/>
              <w:jc w:val="center"/>
              <w:rPr>
                <w:b/>
                <w:bCs/>
                <w:color w:val="000000"/>
                <w:sz w:val="20"/>
                <w:szCs w:val="20"/>
              </w:rPr>
            </w:pPr>
            <w:r w:rsidRPr="0055726F">
              <w:rPr>
                <w:b/>
                <w:bCs/>
                <w:color w:val="000000"/>
                <w:sz w:val="20"/>
                <w:szCs w:val="20"/>
              </w:rPr>
              <w:t>3 219,3</w:t>
            </w:r>
          </w:p>
        </w:tc>
        <w:tc>
          <w:tcPr>
            <w:tcW w:w="1071" w:type="dxa"/>
            <w:shd w:val="clear" w:color="auto" w:fill="auto"/>
            <w:vAlign w:val="center"/>
          </w:tcPr>
          <w:p w14:paraId="60C55F88" w14:textId="77777777" w:rsidR="003A3EE6" w:rsidRPr="0055726F" w:rsidRDefault="003A3EE6" w:rsidP="003A3EE6">
            <w:pPr>
              <w:spacing w:after="60"/>
              <w:jc w:val="center"/>
              <w:rPr>
                <w:b/>
                <w:bCs/>
                <w:color w:val="000000"/>
                <w:sz w:val="20"/>
                <w:szCs w:val="20"/>
              </w:rPr>
            </w:pPr>
            <w:r w:rsidRPr="0055726F">
              <w:rPr>
                <w:b/>
                <w:bCs/>
                <w:color w:val="000000"/>
                <w:sz w:val="20"/>
                <w:szCs w:val="20"/>
              </w:rPr>
              <w:t>3 120,3</w:t>
            </w:r>
          </w:p>
        </w:tc>
        <w:tc>
          <w:tcPr>
            <w:tcW w:w="1071" w:type="dxa"/>
            <w:vAlign w:val="center"/>
          </w:tcPr>
          <w:p w14:paraId="0EEED3D4" w14:textId="77777777" w:rsidR="003A3EE6" w:rsidRPr="0055726F" w:rsidRDefault="003A3EE6" w:rsidP="003A3EE6">
            <w:pPr>
              <w:spacing w:after="60"/>
              <w:jc w:val="center"/>
              <w:rPr>
                <w:b/>
                <w:bCs/>
                <w:color w:val="000000"/>
                <w:sz w:val="20"/>
                <w:szCs w:val="20"/>
              </w:rPr>
            </w:pPr>
            <w:r w:rsidRPr="0055726F">
              <w:rPr>
                <w:b/>
                <w:bCs/>
                <w:color w:val="000000"/>
                <w:sz w:val="20"/>
                <w:szCs w:val="20"/>
              </w:rPr>
              <w:t>3 433,7</w:t>
            </w:r>
          </w:p>
        </w:tc>
        <w:tc>
          <w:tcPr>
            <w:tcW w:w="1072" w:type="dxa"/>
            <w:shd w:val="clear" w:color="auto" w:fill="auto"/>
            <w:vAlign w:val="center"/>
          </w:tcPr>
          <w:p w14:paraId="7B41234F" w14:textId="77777777" w:rsidR="003A3EE6" w:rsidRPr="0055726F" w:rsidRDefault="003A3EE6" w:rsidP="003A3EE6">
            <w:pPr>
              <w:spacing w:after="60"/>
              <w:jc w:val="center"/>
              <w:rPr>
                <w:b/>
                <w:bCs/>
                <w:color w:val="000000"/>
                <w:sz w:val="20"/>
                <w:szCs w:val="20"/>
              </w:rPr>
            </w:pPr>
            <w:r w:rsidRPr="0055726F">
              <w:rPr>
                <w:b/>
                <w:bCs/>
                <w:color w:val="000000"/>
                <w:sz w:val="20"/>
                <w:szCs w:val="20"/>
              </w:rPr>
              <w:t>3 612,0</w:t>
            </w:r>
          </w:p>
        </w:tc>
      </w:tr>
      <w:tr w:rsidR="003A3EE6" w:rsidRPr="003A3EE6" w14:paraId="67A570C6" w14:textId="77777777" w:rsidTr="00133B80">
        <w:trPr>
          <w:trHeight w:val="336"/>
          <w:jc w:val="center"/>
        </w:trPr>
        <w:tc>
          <w:tcPr>
            <w:tcW w:w="1840" w:type="dxa"/>
            <w:shd w:val="clear" w:color="auto" w:fill="auto"/>
            <w:vAlign w:val="center"/>
          </w:tcPr>
          <w:p w14:paraId="1D3F654E" w14:textId="77777777" w:rsidR="003A3EE6" w:rsidRPr="003A3EE6" w:rsidRDefault="003A3EE6" w:rsidP="003A3EE6">
            <w:pPr>
              <w:spacing w:after="60"/>
              <w:jc w:val="both"/>
              <w:rPr>
                <w:color w:val="000000"/>
                <w:sz w:val="20"/>
                <w:szCs w:val="20"/>
              </w:rPr>
            </w:pPr>
            <w:r w:rsidRPr="003A3EE6">
              <w:rPr>
                <w:color w:val="000000"/>
                <w:sz w:val="20"/>
                <w:szCs w:val="20"/>
              </w:rPr>
              <w:t>Фин. обеспечение базовой программы ОМС</w:t>
            </w:r>
          </w:p>
        </w:tc>
        <w:tc>
          <w:tcPr>
            <w:tcW w:w="1071" w:type="dxa"/>
            <w:shd w:val="clear" w:color="auto" w:fill="auto"/>
            <w:vAlign w:val="center"/>
          </w:tcPr>
          <w:p w14:paraId="241E2346" w14:textId="77777777" w:rsidR="003A3EE6" w:rsidRPr="003A3EE6" w:rsidRDefault="003A3EE6" w:rsidP="003A3EE6">
            <w:pPr>
              <w:spacing w:after="60"/>
              <w:jc w:val="center"/>
              <w:rPr>
                <w:color w:val="000000"/>
                <w:sz w:val="20"/>
                <w:szCs w:val="20"/>
              </w:rPr>
            </w:pPr>
            <w:r w:rsidRPr="003A3EE6">
              <w:rPr>
                <w:color w:val="000000"/>
                <w:sz w:val="20"/>
                <w:szCs w:val="20"/>
              </w:rPr>
              <w:t>2 461,3</w:t>
            </w:r>
          </w:p>
        </w:tc>
        <w:tc>
          <w:tcPr>
            <w:tcW w:w="1071" w:type="dxa"/>
            <w:vAlign w:val="center"/>
          </w:tcPr>
          <w:p w14:paraId="333C0847" w14:textId="77777777" w:rsidR="003A3EE6" w:rsidRPr="003A3EE6" w:rsidRDefault="003A3EE6" w:rsidP="003A3EE6">
            <w:pPr>
              <w:spacing w:after="60"/>
              <w:jc w:val="center"/>
              <w:rPr>
                <w:color w:val="000000"/>
                <w:sz w:val="20"/>
                <w:szCs w:val="20"/>
              </w:rPr>
            </w:pPr>
            <w:r w:rsidRPr="003A3EE6">
              <w:rPr>
                <w:color w:val="000000"/>
                <w:sz w:val="20"/>
                <w:szCs w:val="20"/>
              </w:rPr>
              <w:t>2 461,3</w:t>
            </w:r>
          </w:p>
        </w:tc>
        <w:tc>
          <w:tcPr>
            <w:tcW w:w="1071" w:type="dxa"/>
            <w:shd w:val="clear" w:color="auto" w:fill="auto"/>
            <w:vAlign w:val="center"/>
          </w:tcPr>
          <w:p w14:paraId="21164916" w14:textId="77777777" w:rsidR="003A3EE6" w:rsidRPr="003A3EE6" w:rsidRDefault="003A3EE6" w:rsidP="003A3EE6">
            <w:pPr>
              <w:spacing w:after="60"/>
              <w:jc w:val="center"/>
              <w:rPr>
                <w:color w:val="000000"/>
                <w:sz w:val="20"/>
                <w:szCs w:val="20"/>
              </w:rPr>
            </w:pPr>
            <w:r w:rsidRPr="003A3EE6">
              <w:rPr>
                <w:color w:val="000000"/>
                <w:sz w:val="20"/>
                <w:szCs w:val="20"/>
              </w:rPr>
              <w:t>2 596,0</w:t>
            </w:r>
          </w:p>
        </w:tc>
        <w:tc>
          <w:tcPr>
            <w:tcW w:w="1072" w:type="dxa"/>
            <w:vAlign w:val="center"/>
          </w:tcPr>
          <w:p w14:paraId="6EFE9ACB" w14:textId="77777777" w:rsidR="003A3EE6" w:rsidRPr="003A3EE6" w:rsidRDefault="003A3EE6" w:rsidP="003A3EE6">
            <w:pPr>
              <w:spacing w:after="60"/>
              <w:jc w:val="center"/>
              <w:rPr>
                <w:color w:val="000000"/>
                <w:sz w:val="20"/>
                <w:szCs w:val="20"/>
              </w:rPr>
            </w:pPr>
            <w:r w:rsidRPr="003A3EE6">
              <w:rPr>
                <w:color w:val="000000"/>
                <w:sz w:val="20"/>
                <w:szCs w:val="20"/>
              </w:rPr>
              <w:t>2 646,9</w:t>
            </w:r>
          </w:p>
        </w:tc>
        <w:tc>
          <w:tcPr>
            <w:tcW w:w="1071" w:type="dxa"/>
            <w:shd w:val="clear" w:color="auto" w:fill="auto"/>
            <w:vAlign w:val="center"/>
          </w:tcPr>
          <w:p w14:paraId="38855ABA" w14:textId="77777777" w:rsidR="003A3EE6" w:rsidRPr="003A3EE6" w:rsidRDefault="003A3EE6" w:rsidP="003A3EE6">
            <w:pPr>
              <w:spacing w:after="60"/>
              <w:jc w:val="center"/>
              <w:rPr>
                <w:color w:val="000000"/>
                <w:sz w:val="20"/>
                <w:szCs w:val="20"/>
              </w:rPr>
            </w:pPr>
            <w:r w:rsidRPr="003A3EE6">
              <w:rPr>
                <w:color w:val="000000"/>
                <w:sz w:val="20"/>
                <w:szCs w:val="20"/>
              </w:rPr>
              <w:t>2 749,7</w:t>
            </w:r>
          </w:p>
        </w:tc>
        <w:tc>
          <w:tcPr>
            <w:tcW w:w="1071" w:type="dxa"/>
            <w:vAlign w:val="center"/>
          </w:tcPr>
          <w:p w14:paraId="6EF66A82" w14:textId="77777777" w:rsidR="003A3EE6" w:rsidRPr="003A3EE6" w:rsidRDefault="003A3EE6" w:rsidP="003A3EE6">
            <w:pPr>
              <w:spacing w:after="60"/>
              <w:jc w:val="center"/>
              <w:rPr>
                <w:color w:val="000000"/>
                <w:sz w:val="20"/>
                <w:szCs w:val="20"/>
              </w:rPr>
            </w:pPr>
            <w:r w:rsidRPr="003A3EE6">
              <w:rPr>
                <w:color w:val="000000"/>
                <w:sz w:val="20"/>
                <w:szCs w:val="20"/>
              </w:rPr>
              <w:t>2 945,4</w:t>
            </w:r>
          </w:p>
        </w:tc>
        <w:tc>
          <w:tcPr>
            <w:tcW w:w="1072" w:type="dxa"/>
            <w:shd w:val="clear" w:color="auto" w:fill="auto"/>
            <w:vAlign w:val="center"/>
          </w:tcPr>
          <w:p w14:paraId="7E60EE5D" w14:textId="77777777" w:rsidR="003A3EE6" w:rsidRPr="003A3EE6" w:rsidRDefault="003A3EE6" w:rsidP="003A3EE6">
            <w:pPr>
              <w:spacing w:after="60"/>
              <w:jc w:val="center"/>
              <w:rPr>
                <w:color w:val="000000"/>
                <w:sz w:val="20"/>
                <w:szCs w:val="20"/>
              </w:rPr>
            </w:pPr>
            <w:r w:rsidRPr="003A3EE6">
              <w:rPr>
                <w:color w:val="000000"/>
                <w:sz w:val="20"/>
                <w:szCs w:val="20"/>
              </w:rPr>
              <w:t>3 107,4</w:t>
            </w:r>
          </w:p>
        </w:tc>
      </w:tr>
      <w:tr w:rsidR="003A3EE6" w:rsidRPr="003A3EE6" w14:paraId="7A5A93AB" w14:textId="77777777" w:rsidTr="00133B80">
        <w:trPr>
          <w:trHeight w:val="336"/>
          <w:jc w:val="center"/>
        </w:trPr>
        <w:tc>
          <w:tcPr>
            <w:tcW w:w="1840" w:type="dxa"/>
            <w:shd w:val="clear" w:color="auto" w:fill="auto"/>
            <w:vAlign w:val="center"/>
          </w:tcPr>
          <w:p w14:paraId="50E45A09" w14:textId="77777777" w:rsidR="003A3EE6" w:rsidRPr="003A3EE6" w:rsidRDefault="003A3EE6" w:rsidP="003A3EE6">
            <w:pPr>
              <w:spacing w:after="60"/>
              <w:jc w:val="both"/>
              <w:rPr>
                <w:color w:val="000000"/>
                <w:sz w:val="20"/>
                <w:szCs w:val="20"/>
              </w:rPr>
            </w:pPr>
            <w:r w:rsidRPr="003A3EE6">
              <w:rPr>
                <w:color w:val="000000"/>
                <w:sz w:val="20"/>
                <w:szCs w:val="20"/>
              </w:rPr>
              <w:t>Средства ФГУ на оказание помощи в рамках базовой программы ОМС (в 2022 г. в составе НСЗ)</w:t>
            </w:r>
          </w:p>
        </w:tc>
        <w:tc>
          <w:tcPr>
            <w:tcW w:w="1071" w:type="dxa"/>
            <w:shd w:val="clear" w:color="auto" w:fill="auto"/>
            <w:vAlign w:val="center"/>
          </w:tcPr>
          <w:p w14:paraId="635ED9A5" w14:textId="77777777" w:rsidR="003A3EE6" w:rsidRPr="003A3EE6" w:rsidRDefault="003A3EE6" w:rsidP="003A3EE6">
            <w:pPr>
              <w:spacing w:after="60"/>
              <w:jc w:val="center"/>
              <w:rPr>
                <w:color w:val="000000"/>
                <w:sz w:val="20"/>
                <w:szCs w:val="20"/>
              </w:rPr>
            </w:pPr>
            <w:r w:rsidRPr="003A3EE6">
              <w:rPr>
                <w:color w:val="000000"/>
                <w:sz w:val="20"/>
                <w:szCs w:val="20"/>
              </w:rPr>
              <w:t>154,4</w:t>
            </w:r>
          </w:p>
        </w:tc>
        <w:tc>
          <w:tcPr>
            <w:tcW w:w="1071" w:type="dxa"/>
            <w:vAlign w:val="center"/>
          </w:tcPr>
          <w:p w14:paraId="48D068A1" w14:textId="77777777" w:rsidR="003A3EE6" w:rsidRPr="003A3EE6" w:rsidRDefault="003A3EE6" w:rsidP="003A3EE6">
            <w:pPr>
              <w:spacing w:after="60"/>
              <w:jc w:val="center"/>
              <w:rPr>
                <w:color w:val="000000"/>
                <w:sz w:val="20"/>
                <w:szCs w:val="20"/>
              </w:rPr>
            </w:pPr>
            <w:r w:rsidRPr="003A3EE6">
              <w:rPr>
                <w:color w:val="000000"/>
                <w:sz w:val="20"/>
                <w:szCs w:val="20"/>
              </w:rPr>
              <w:t>154,4</w:t>
            </w:r>
          </w:p>
        </w:tc>
        <w:tc>
          <w:tcPr>
            <w:tcW w:w="1071" w:type="dxa"/>
            <w:shd w:val="clear" w:color="auto" w:fill="auto"/>
            <w:vAlign w:val="center"/>
          </w:tcPr>
          <w:p w14:paraId="7E4AD295" w14:textId="77777777" w:rsidR="003A3EE6" w:rsidRPr="003A3EE6" w:rsidRDefault="003A3EE6" w:rsidP="003A3EE6">
            <w:pPr>
              <w:spacing w:after="60"/>
              <w:jc w:val="center"/>
              <w:rPr>
                <w:color w:val="000000"/>
                <w:sz w:val="20"/>
                <w:szCs w:val="20"/>
              </w:rPr>
            </w:pPr>
            <w:r w:rsidRPr="003A3EE6">
              <w:rPr>
                <w:color w:val="000000"/>
                <w:sz w:val="20"/>
                <w:szCs w:val="20"/>
              </w:rPr>
              <w:t>-</w:t>
            </w:r>
          </w:p>
        </w:tc>
        <w:tc>
          <w:tcPr>
            <w:tcW w:w="1072" w:type="dxa"/>
            <w:vAlign w:val="center"/>
          </w:tcPr>
          <w:p w14:paraId="177DA620" w14:textId="77777777" w:rsidR="003A3EE6" w:rsidRPr="003A3EE6" w:rsidRDefault="003A3EE6" w:rsidP="003A3EE6">
            <w:pPr>
              <w:spacing w:after="60"/>
              <w:jc w:val="center"/>
              <w:rPr>
                <w:color w:val="000000"/>
                <w:sz w:val="20"/>
                <w:szCs w:val="20"/>
              </w:rPr>
            </w:pPr>
            <w:r w:rsidRPr="003A3EE6">
              <w:rPr>
                <w:color w:val="000000"/>
                <w:sz w:val="20"/>
                <w:szCs w:val="20"/>
              </w:rPr>
              <w:t>163,6</w:t>
            </w:r>
          </w:p>
        </w:tc>
        <w:tc>
          <w:tcPr>
            <w:tcW w:w="1071" w:type="dxa"/>
            <w:shd w:val="clear" w:color="auto" w:fill="auto"/>
            <w:vAlign w:val="center"/>
          </w:tcPr>
          <w:p w14:paraId="4A5AE72D" w14:textId="77777777" w:rsidR="003A3EE6" w:rsidRPr="003A3EE6" w:rsidRDefault="003A3EE6" w:rsidP="003A3EE6">
            <w:pPr>
              <w:spacing w:after="60"/>
              <w:jc w:val="center"/>
              <w:rPr>
                <w:color w:val="000000"/>
                <w:sz w:val="20"/>
                <w:szCs w:val="20"/>
              </w:rPr>
            </w:pPr>
            <w:r w:rsidRPr="003A3EE6">
              <w:rPr>
                <w:color w:val="000000"/>
                <w:sz w:val="20"/>
                <w:szCs w:val="20"/>
              </w:rPr>
              <w:t>-</w:t>
            </w:r>
          </w:p>
        </w:tc>
        <w:tc>
          <w:tcPr>
            <w:tcW w:w="1071" w:type="dxa"/>
            <w:vAlign w:val="center"/>
          </w:tcPr>
          <w:p w14:paraId="1C63831D" w14:textId="77777777" w:rsidR="003A3EE6" w:rsidRPr="003A3EE6" w:rsidRDefault="003A3EE6" w:rsidP="003A3EE6">
            <w:pPr>
              <w:spacing w:after="60"/>
              <w:jc w:val="center"/>
              <w:rPr>
                <w:color w:val="000000"/>
                <w:sz w:val="20"/>
                <w:szCs w:val="20"/>
              </w:rPr>
            </w:pPr>
            <w:r w:rsidRPr="003A3EE6">
              <w:rPr>
                <w:color w:val="000000"/>
                <w:sz w:val="20"/>
                <w:szCs w:val="20"/>
              </w:rPr>
              <w:t>172,6</w:t>
            </w:r>
          </w:p>
        </w:tc>
        <w:tc>
          <w:tcPr>
            <w:tcW w:w="1072" w:type="dxa"/>
            <w:shd w:val="clear" w:color="auto" w:fill="auto"/>
            <w:vAlign w:val="center"/>
          </w:tcPr>
          <w:p w14:paraId="30A9BA3D" w14:textId="77777777" w:rsidR="003A3EE6" w:rsidRPr="003A3EE6" w:rsidRDefault="003A3EE6" w:rsidP="003A3EE6">
            <w:pPr>
              <w:spacing w:after="60"/>
              <w:jc w:val="center"/>
              <w:rPr>
                <w:color w:val="000000"/>
                <w:sz w:val="20"/>
                <w:szCs w:val="20"/>
              </w:rPr>
            </w:pPr>
            <w:r w:rsidRPr="003A3EE6">
              <w:rPr>
                <w:color w:val="000000"/>
                <w:sz w:val="20"/>
                <w:szCs w:val="20"/>
              </w:rPr>
              <w:t>182,1</w:t>
            </w:r>
          </w:p>
        </w:tc>
      </w:tr>
      <w:tr w:rsidR="003A3EE6" w:rsidRPr="003A3EE6" w14:paraId="050D350E" w14:textId="77777777" w:rsidTr="00133B80">
        <w:trPr>
          <w:trHeight w:val="411"/>
          <w:jc w:val="center"/>
        </w:trPr>
        <w:tc>
          <w:tcPr>
            <w:tcW w:w="1840" w:type="dxa"/>
            <w:shd w:val="clear" w:color="auto" w:fill="auto"/>
            <w:vAlign w:val="center"/>
          </w:tcPr>
          <w:p w14:paraId="7FDFFB55" w14:textId="77777777" w:rsidR="003A3EE6" w:rsidRPr="003A3EE6" w:rsidRDefault="003A3EE6" w:rsidP="003A3EE6">
            <w:pPr>
              <w:spacing w:after="60"/>
              <w:jc w:val="both"/>
              <w:rPr>
                <w:color w:val="000000"/>
                <w:sz w:val="20"/>
                <w:szCs w:val="20"/>
              </w:rPr>
            </w:pPr>
            <w:r w:rsidRPr="003A3EE6">
              <w:rPr>
                <w:color w:val="000000"/>
                <w:sz w:val="20"/>
                <w:szCs w:val="20"/>
              </w:rPr>
              <w:t xml:space="preserve">Оплата ВМП, не </w:t>
            </w:r>
            <w:proofErr w:type="gramStart"/>
            <w:r w:rsidRPr="003A3EE6">
              <w:rPr>
                <w:color w:val="000000"/>
                <w:sz w:val="20"/>
                <w:szCs w:val="20"/>
              </w:rPr>
              <w:t>включенной</w:t>
            </w:r>
            <w:proofErr w:type="gramEnd"/>
            <w:r w:rsidRPr="003A3EE6">
              <w:rPr>
                <w:color w:val="000000"/>
                <w:sz w:val="20"/>
                <w:szCs w:val="20"/>
              </w:rPr>
              <w:t xml:space="preserve"> в базовую программу ОМС</w:t>
            </w:r>
          </w:p>
        </w:tc>
        <w:tc>
          <w:tcPr>
            <w:tcW w:w="1071" w:type="dxa"/>
            <w:shd w:val="clear" w:color="auto" w:fill="auto"/>
            <w:vAlign w:val="center"/>
          </w:tcPr>
          <w:p w14:paraId="4EB9E197" w14:textId="77777777" w:rsidR="003A3EE6" w:rsidRPr="003A3EE6" w:rsidRDefault="003A3EE6" w:rsidP="003A3EE6">
            <w:pPr>
              <w:spacing w:after="60"/>
              <w:jc w:val="center"/>
              <w:rPr>
                <w:color w:val="000000"/>
                <w:sz w:val="20"/>
                <w:szCs w:val="20"/>
              </w:rPr>
            </w:pPr>
            <w:r w:rsidRPr="003A3EE6">
              <w:rPr>
                <w:color w:val="000000"/>
                <w:sz w:val="20"/>
                <w:szCs w:val="20"/>
              </w:rPr>
              <w:t>112,5</w:t>
            </w:r>
          </w:p>
        </w:tc>
        <w:tc>
          <w:tcPr>
            <w:tcW w:w="1071" w:type="dxa"/>
            <w:vAlign w:val="center"/>
          </w:tcPr>
          <w:p w14:paraId="4C10457B" w14:textId="77777777" w:rsidR="003A3EE6" w:rsidRPr="003A3EE6" w:rsidRDefault="003A3EE6" w:rsidP="003A3EE6">
            <w:pPr>
              <w:spacing w:after="60"/>
              <w:jc w:val="center"/>
              <w:rPr>
                <w:color w:val="000000"/>
                <w:sz w:val="20"/>
                <w:szCs w:val="20"/>
              </w:rPr>
            </w:pPr>
            <w:r w:rsidRPr="003A3EE6">
              <w:rPr>
                <w:color w:val="000000"/>
                <w:sz w:val="20"/>
                <w:szCs w:val="20"/>
              </w:rPr>
              <w:t>112,6</w:t>
            </w:r>
          </w:p>
        </w:tc>
        <w:tc>
          <w:tcPr>
            <w:tcW w:w="1071" w:type="dxa"/>
            <w:shd w:val="clear" w:color="auto" w:fill="auto"/>
            <w:vAlign w:val="center"/>
          </w:tcPr>
          <w:p w14:paraId="2746618B" w14:textId="77777777" w:rsidR="003A3EE6" w:rsidRPr="003A3EE6" w:rsidRDefault="003A3EE6" w:rsidP="003A3EE6">
            <w:pPr>
              <w:spacing w:after="60"/>
              <w:jc w:val="center"/>
              <w:rPr>
                <w:color w:val="000000"/>
                <w:sz w:val="20"/>
                <w:szCs w:val="20"/>
              </w:rPr>
            </w:pPr>
            <w:r w:rsidRPr="003A3EE6">
              <w:rPr>
                <w:color w:val="000000"/>
                <w:sz w:val="20"/>
                <w:szCs w:val="20"/>
              </w:rPr>
              <w:t>117,0</w:t>
            </w:r>
          </w:p>
        </w:tc>
        <w:tc>
          <w:tcPr>
            <w:tcW w:w="1072" w:type="dxa"/>
            <w:vAlign w:val="center"/>
          </w:tcPr>
          <w:p w14:paraId="5218CD83" w14:textId="77777777" w:rsidR="003A3EE6" w:rsidRPr="003A3EE6" w:rsidRDefault="003A3EE6" w:rsidP="003A3EE6">
            <w:pPr>
              <w:spacing w:after="60"/>
              <w:jc w:val="center"/>
              <w:rPr>
                <w:color w:val="000000"/>
                <w:sz w:val="20"/>
                <w:szCs w:val="20"/>
              </w:rPr>
            </w:pPr>
            <w:r w:rsidRPr="003A3EE6">
              <w:rPr>
                <w:color w:val="000000"/>
                <w:sz w:val="20"/>
                <w:szCs w:val="20"/>
              </w:rPr>
              <w:t>120,3</w:t>
            </w:r>
          </w:p>
        </w:tc>
        <w:tc>
          <w:tcPr>
            <w:tcW w:w="1071" w:type="dxa"/>
            <w:shd w:val="clear" w:color="auto" w:fill="auto"/>
            <w:vAlign w:val="center"/>
          </w:tcPr>
          <w:p w14:paraId="1C910763" w14:textId="77777777" w:rsidR="003A3EE6" w:rsidRPr="003A3EE6" w:rsidRDefault="003A3EE6" w:rsidP="003A3EE6">
            <w:pPr>
              <w:spacing w:after="60"/>
              <w:jc w:val="center"/>
              <w:rPr>
                <w:color w:val="000000"/>
                <w:sz w:val="20"/>
                <w:szCs w:val="20"/>
              </w:rPr>
            </w:pPr>
            <w:r w:rsidRPr="003A3EE6">
              <w:rPr>
                <w:color w:val="000000"/>
                <w:sz w:val="20"/>
                <w:szCs w:val="20"/>
              </w:rPr>
              <w:t>121,7</w:t>
            </w:r>
          </w:p>
        </w:tc>
        <w:tc>
          <w:tcPr>
            <w:tcW w:w="1071" w:type="dxa"/>
            <w:vAlign w:val="center"/>
          </w:tcPr>
          <w:p w14:paraId="02D530EB" w14:textId="77777777" w:rsidR="003A3EE6" w:rsidRPr="003A3EE6" w:rsidRDefault="003A3EE6" w:rsidP="003A3EE6">
            <w:pPr>
              <w:spacing w:after="60"/>
              <w:jc w:val="center"/>
              <w:rPr>
                <w:color w:val="000000"/>
                <w:sz w:val="20"/>
                <w:szCs w:val="20"/>
              </w:rPr>
            </w:pPr>
            <w:r w:rsidRPr="003A3EE6">
              <w:rPr>
                <w:color w:val="000000"/>
                <w:sz w:val="20"/>
                <w:szCs w:val="20"/>
              </w:rPr>
              <w:t>126,5</w:t>
            </w:r>
          </w:p>
        </w:tc>
        <w:tc>
          <w:tcPr>
            <w:tcW w:w="1072" w:type="dxa"/>
            <w:shd w:val="clear" w:color="auto" w:fill="auto"/>
            <w:vAlign w:val="center"/>
          </w:tcPr>
          <w:p w14:paraId="47C25394" w14:textId="77777777" w:rsidR="003A3EE6" w:rsidRPr="003A3EE6" w:rsidRDefault="003A3EE6" w:rsidP="003A3EE6">
            <w:pPr>
              <w:spacing w:after="60"/>
              <w:jc w:val="center"/>
              <w:rPr>
                <w:color w:val="000000"/>
                <w:sz w:val="20"/>
                <w:szCs w:val="20"/>
              </w:rPr>
            </w:pPr>
            <w:r w:rsidRPr="003A3EE6">
              <w:rPr>
                <w:color w:val="000000"/>
                <w:sz w:val="20"/>
                <w:szCs w:val="20"/>
              </w:rPr>
              <w:t>132,8</w:t>
            </w:r>
          </w:p>
        </w:tc>
      </w:tr>
      <w:tr w:rsidR="003A3EE6" w:rsidRPr="003A3EE6" w14:paraId="3461632E" w14:textId="77777777" w:rsidTr="00133B80">
        <w:trPr>
          <w:trHeight w:val="417"/>
          <w:jc w:val="center"/>
        </w:trPr>
        <w:tc>
          <w:tcPr>
            <w:tcW w:w="1840" w:type="dxa"/>
            <w:shd w:val="clear" w:color="auto" w:fill="auto"/>
            <w:vAlign w:val="center"/>
          </w:tcPr>
          <w:p w14:paraId="66B90DDC" w14:textId="77777777" w:rsidR="003A3EE6" w:rsidRPr="003A3EE6" w:rsidRDefault="003A3EE6" w:rsidP="003A3EE6">
            <w:pPr>
              <w:spacing w:after="60"/>
              <w:jc w:val="both"/>
              <w:rPr>
                <w:color w:val="000000"/>
                <w:sz w:val="20"/>
                <w:szCs w:val="20"/>
              </w:rPr>
            </w:pPr>
            <w:r w:rsidRPr="003A3EE6">
              <w:rPr>
                <w:color w:val="000000"/>
                <w:sz w:val="20"/>
                <w:szCs w:val="20"/>
              </w:rPr>
              <w:t>Средства, передаваемые бюджету Фонда пенсионного и социального страхования (родовой сертификат)</w:t>
            </w:r>
          </w:p>
        </w:tc>
        <w:tc>
          <w:tcPr>
            <w:tcW w:w="1071" w:type="dxa"/>
            <w:shd w:val="clear" w:color="auto" w:fill="auto"/>
            <w:vAlign w:val="center"/>
          </w:tcPr>
          <w:p w14:paraId="64559E77" w14:textId="77777777" w:rsidR="003A3EE6" w:rsidRPr="003A3EE6" w:rsidRDefault="003A3EE6" w:rsidP="003A3EE6">
            <w:pPr>
              <w:spacing w:after="60"/>
              <w:jc w:val="center"/>
              <w:rPr>
                <w:color w:val="000000"/>
                <w:sz w:val="20"/>
                <w:szCs w:val="20"/>
              </w:rPr>
            </w:pPr>
            <w:r w:rsidRPr="003A3EE6">
              <w:rPr>
                <w:color w:val="000000"/>
                <w:sz w:val="20"/>
                <w:szCs w:val="20"/>
              </w:rPr>
              <w:t>14,3</w:t>
            </w:r>
          </w:p>
        </w:tc>
        <w:tc>
          <w:tcPr>
            <w:tcW w:w="1071" w:type="dxa"/>
            <w:vAlign w:val="center"/>
          </w:tcPr>
          <w:p w14:paraId="43AD2A80" w14:textId="77777777" w:rsidR="003A3EE6" w:rsidRPr="003A3EE6" w:rsidRDefault="003A3EE6" w:rsidP="003A3EE6">
            <w:pPr>
              <w:spacing w:after="60"/>
              <w:jc w:val="center"/>
              <w:rPr>
                <w:color w:val="000000"/>
                <w:sz w:val="20"/>
                <w:szCs w:val="20"/>
              </w:rPr>
            </w:pPr>
            <w:r w:rsidRPr="003A3EE6">
              <w:rPr>
                <w:color w:val="000000"/>
                <w:sz w:val="20"/>
                <w:szCs w:val="20"/>
              </w:rPr>
              <w:t>14,3</w:t>
            </w:r>
          </w:p>
        </w:tc>
        <w:tc>
          <w:tcPr>
            <w:tcW w:w="1071" w:type="dxa"/>
            <w:shd w:val="clear" w:color="auto" w:fill="auto"/>
            <w:vAlign w:val="center"/>
          </w:tcPr>
          <w:p w14:paraId="65444039" w14:textId="77777777" w:rsidR="003A3EE6" w:rsidRPr="003A3EE6" w:rsidRDefault="003A3EE6" w:rsidP="003A3EE6">
            <w:pPr>
              <w:spacing w:after="60"/>
              <w:jc w:val="center"/>
              <w:rPr>
                <w:color w:val="000000"/>
                <w:sz w:val="20"/>
                <w:szCs w:val="20"/>
              </w:rPr>
            </w:pPr>
            <w:r w:rsidRPr="003A3EE6">
              <w:rPr>
                <w:color w:val="000000"/>
                <w:sz w:val="20"/>
                <w:szCs w:val="20"/>
              </w:rPr>
              <w:t>14,4</w:t>
            </w:r>
          </w:p>
        </w:tc>
        <w:tc>
          <w:tcPr>
            <w:tcW w:w="1072" w:type="dxa"/>
            <w:vAlign w:val="center"/>
          </w:tcPr>
          <w:p w14:paraId="0660AEBD" w14:textId="77777777" w:rsidR="003A3EE6" w:rsidRPr="003A3EE6" w:rsidRDefault="003A3EE6" w:rsidP="003A3EE6">
            <w:pPr>
              <w:spacing w:after="60"/>
              <w:jc w:val="center"/>
              <w:rPr>
                <w:color w:val="000000"/>
                <w:sz w:val="20"/>
                <w:szCs w:val="20"/>
              </w:rPr>
            </w:pPr>
            <w:r w:rsidRPr="003A3EE6">
              <w:rPr>
                <w:color w:val="000000"/>
                <w:sz w:val="20"/>
                <w:szCs w:val="20"/>
              </w:rPr>
              <w:t>15,2</w:t>
            </w:r>
          </w:p>
        </w:tc>
        <w:tc>
          <w:tcPr>
            <w:tcW w:w="1071" w:type="dxa"/>
            <w:shd w:val="clear" w:color="auto" w:fill="auto"/>
            <w:vAlign w:val="center"/>
          </w:tcPr>
          <w:p w14:paraId="461C4EF1" w14:textId="77777777" w:rsidR="003A3EE6" w:rsidRPr="003A3EE6" w:rsidRDefault="003A3EE6" w:rsidP="003A3EE6">
            <w:pPr>
              <w:spacing w:after="60"/>
              <w:jc w:val="center"/>
              <w:rPr>
                <w:color w:val="000000"/>
                <w:sz w:val="20"/>
                <w:szCs w:val="20"/>
              </w:rPr>
            </w:pPr>
            <w:r w:rsidRPr="003A3EE6">
              <w:rPr>
                <w:color w:val="000000"/>
                <w:sz w:val="20"/>
                <w:szCs w:val="20"/>
              </w:rPr>
              <w:t>14,5</w:t>
            </w:r>
          </w:p>
        </w:tc>
        <w:tc>
          <w:tcPr>
            <w:tcW w:w="1071" w:type="dxa"/>
            <w:vAlign w:val="center"/>
          </w:tcPr>
          <w:p w14:paraId="470D5BED" w14:textId="77777777" w:rsidR="003A3EE6" w:rsidRPr="003A3EE6" w:rsidRDefault="003A3EE6" w:rsidP="003A3EE6">
            <w:pPr>
              <w:spacing w:after="60"/>
              <w:jc w:val="center"/>
              <w:rPr>
                <w:color w:val="000000"/>
                <w:sz w:val="20"/>
                <w:szCs w:val="20"/>
              </w:rPr>
            </w:pPr>
            <w:r w:rsidRPr="003A3EE6">
              <w:rPr>
                <w:color w:val="000000"/>
                <w:sz w:val="20"/>
                <w:szCs w:val="20"/>
              </w:rPr>
              <w:t>15,3</w:t>
            </w:r>
          </w:p>
        </w:tc>
        <w:tc>
          <w:tcPr>
            <w:tcW w:w="1072" w:type="dxa"/>
            <w:shd w:val="clear" w:color="auto" w:fill="auto"/>
            <w:vAlign w:val="center"/>
          </w:tcPr>
          <w:p w14:paraId="668C6DE9" w14:textId="77777777" w:rsidR="003A3EE6" w:rsidRPr="003A3EE6" w:rsidRDefault="003A3EE6" w:rsidP="003A3EE6">
            <w:pPr>
              <w:spacing w:after="60"/>
              <w:jc w:val="center"/>
              <w:rPr>
                <w:color w:val="000000"/>
                <w:sz w:val="20"/>
                <w:szCs w:val="20"/>
              </w:rPr>
            </w:pPr>
            <w:r w:rsidRPr="003A3EE6">
              <w:rPr>
                <w:color w:val="000000"/>
                <w:sz w:val="20"/>
                <w:szCs w:val="20"/>
              </w:rPr>
              <w:t>15,1</w:t>
            </w:r>
          </w:p>
        </w:tc>
      </w:tr>
      <w:tr w:rsidR="003A3EE6" w:rsidRPr="003A3EE6" w14:paraId="73BF4E5A" w14:textId="77777777" w:rsidTr="00133B80">
        <w:trPr>
          <w:trHeight w:val="417"/>
          <w:jc w:val="center"/>
        </w:trPr>
        <w:tc>
          <w:tcPr>
            <w:tcW w:w="1840" w:type="dxa"/>
            <w:shd w:val="clear" w:color="auto" w:fill="auto"/>
            <w:vAlign w:val="center"/>
          </w:tcPr>
          <w:p w14:paraId="1726A5E5" w14:textId="77777777" w:rsidR="003A3EE6" w:rsidRPr="003A3EE6" w:rsidRDefault="003A3EE6" w:rsidP="003A3EE6">
            <w:pPr>
              <w:spacing w:after="60"/>
              <w:jc w:val="both"/>
              <w:rPr>
                <w:color w:val="000000"/>
                <w:sz w:val="20"/>
                <w:szCs w:val="20"/>
              </w:rPr>
            </w:pPr>
            <w:r w:rsidRPr="003A3EE6">
              <w:rPr>
                <w:color w:val="000000"/>
                <w:sz w:val="20"/>
                <w:szCs w:val="20"/>
              </w:rPr>
              <w:t>Изготовление полисов ОМС</w:t>
            </w:r>
          </w:p>
        </w:tc>
        <w:tc>
          <w:tcPr>
            <w:tcW w:w="1071" w:type="dxa"/>
            <w:shd w:val="clear" w:color="auto" w:fill="auto"/>
            <w:vAlign w:val="center"/>
          </w:tcPr>
          <w:p w14:paraId="40B6EEED" w14:textId="77777777" w:rsidR="003A3EE6" w:rsidRPr="003A3EE6" w:rsidRDefault="003A3EE6" w:rsidP="003A3EE6">
            <w:pPr>
              <w:spacing w:after="60"/>
              <w:jc w:val="center"/>
              <w:rPr>
                <w:color w:val="000000"/>
                <w:sz w:val="20"/>
                <w:szCs w:val="20"/>
              </w:rPr>
            </w:pPr>
            <w:r w:rsidRPr="003A3EE6">
              <w:rPr>
                <w:color w:val="000000"/>
                <w:sz w:val="20"/>
                <w:szCs w:val="20"/>
              </w:rPr>
              <w:t>1,3</w:t>
            </w:r>
          </w:p>
        </w:tc>
        <w:tc>
          <w:tcPr>
            <w:tcW w:w="1071" w:type="dxa"/>
            <w:vAlign w:val="center"/>
          </w:tcPr>
          <w:p w14:paraId="44F8BE6F" w14:textId="77777777" w:rsidR="003A3EE6" w:rsidRPr="003A3EE6" w:rsidRDefault="003A3EE6" w:rsidP="003A3EE6">
            <w:pPr>
              <w:spacing w:after="60"/>
              <w:jc w:val="center"/>
              <w:rPr>
                <w:color w:val="000000"/>
                <w:sz w:val="20"/>
                <w:szCs w:val="20"/>
              </w:rPr>
            </w:pPr>
            <w:r w:rsidRPr="003A3EE6">
              <w:rPr>
                <w:color w:val="000000"/>
                <w:sz w:val="20"/>
                <w:szCs w:val="20"/>
              </w:rPr>
              <w:t>1,3</w:t>
            </w:r>
          </w:p>
        </w:tc>
        <w:tc>
          <w:tcPr>
            <w:tcW w:w="1071" w:type="dxa"/>
            <w:shd w:val="clear" w:color="auto" w:fill="auto"/>
            <w:vAlign w:val="center"/>
          </w:tcPr>
          <w:p w14:paraId="15AE74FB" w14:textId="77777777" w:rsidR="003A3EE6" w:rsidRPr="003A3EE6" w:rsidRDefault="003A3EE6" w:rsidP="003A3EE6">
            <w:pPr>
              <w:spacing w:after="60"/>
              <w:jc w:val="center"/>
              <w:rPr>
                <w:color w:val="000000"/>
                <w:sz w:val="20"/>
                <w:szCs w:val="20"/>
              </w:rPr>
            </w:pPr>
            <w:r w:rsidRPr="003A3EE6">
              <w:rPr>
                <w:color w:val="000000"/>
                <w:sz w:val="20"/>
                <w:szCs w:val="20"/>
              </w:rPr>
              <w:t>1,1</w:t>
            </w:r>
          </w:p>
        </w:tc>
        <w:tc>
          <w:tcPr>
            <w:tcW w:w="1072" w:type="dxa"/>
            <w:vAlign w:val="center"/>
          </w:tcPr>
          <w:p w14:paraId="60CA6DB0" w14:textId="77777777" w:rsidR="003A3EE6" w:rsidRPr="003A3EE6" w:rsidRDefault="003A3EE6" w:rsidP="003A3EE6">
            <w:pPr>
              <w:spacing w:after="60"/>
              <w:jc w:val="center"/>
              <w:rPr>
                <w:color w:val="000000"/>
                <w:sz w:val="20"/>
                <w:szCs w:val="20"/>
              </w:rPr>
            </w:pPr>
            <w:r w:rsidRPr="003A3EE6">
              <w:rPr>
                <w:color w:val="000000"/>
                <w:sz w:val="20"/>
                <w:szCs w:val="20"/>
              </w:rPr>
              <w:t>1,2</w:t>
            </w:r>
          </w:p>
        </w:tc>
        <w:tc>
          <w:tcPr>
            <w:tcW w:w="1071" w:type="dxa"/>
            <w:shd w:val="clear" w:color="auto" w:fill="auto"/>
            <w:vAlign w:val="center"/>
          </w:tcPr>
          <w:p w14:paraId="50DEF518" w14:textId="77777777" w:rsidR="003A3EE6" w:rsidRPr="003A3EE6" w:rsidRDefault="003A3EE6" w:rsidP="003A3EE6">
            <w:pPr>
              <w:spacing w:after="60"/>
              <w:jc w:val="center"/>
              <w:rPr>
                <w:color w:val="000000"/>
                <w:sz w:val="20"/>
                <w:szCs w:val="20"/>
              </w:rPr>
            </w:pPr>
            <w:r w:rsidRPr="003A3EE6">
              <w:rPr>
                <w:color w:val="000000"/>
                <w:sz w:val="20"/>
                <w:szCs w:val="20"/>
              </w:rPr>
              <w:t>1,0</w:t>
            </w:r>
          </w:p>
        </w:tc>
        <w:tc>
          <w:tcPr>
            <w:tcW w:w="1071" w:type="dxa"/>
            <w:vAlign w:val="center"/>
          </w:tcPr>
          <w:p w14:paraId="146D72BD" w14:textId="77777777" w:rsidR="003A3EE6" w:rsidRPr="003A3EE6" w:rsidRDefault="003A3EE6" w:rsidP="003A3EE6">
            <w:pPr>
              <w:spacing w:after="60"/>
              <w:jc w:val="center"/>
              <w:rPr>
                <w:color w:val="000000"/>
                <w:sz w:val="20"/>
                <w:szCs w:val="20"/>
              </w:rPr>
            </w:pPr>
            <w:r w:rsidRPr="003A3EE6">
              <w:rPr>
                <w:color w:val="000000"/>
                <w:sz w:val="20"/>
                <w:szCs w:val="20"/>
              </w:rPr>
              <w:t>1,1</w:t>
            </w:r>
          </w:p>
        </w:tc>
        <w:tc>
          <w:tcPr>
            <w:tcW w:w="1072" w:type="dxa"/>
            <w:shd w:val="clear" w:color="auto" w:fill="auto"/>
            <w:vAlign w:val="center"/>
          </w:tcPr>
          <w:p w14:paraId="45D7680B" w14:textId="77777777" w:rsidR="003A3EE6" w:rsidRPr="003A3EE6" w:rsidRDefault="003A3EE6" w:rsidP="003A3EE6">
            <w:pPr>
              <w:spacing w:after="60"/>
              <w:jc w:val="center"/>
              <w:rPr>
                <w:color w:val="000000"/>
                <w:sz w:val="20"/>
                <w:szCs w:val="20"/>
              </w:rPr>
            </w:pPr>
            <w:r w:rsidRPr="003A3EE6">
              <w:rPr>
                <w:color w:val="000000"/>
                <w:sz w:val="20"/>
                <w:szCs w:val="20"/>
              </w:rPr>
              <w:t>1,0</w:t>
            </w:r>
          </w:p>
        </w:tc>
      </w:tr>
      <w:tr w:rsidR="003A3EE6" w:rsidRPr="003A3EE6" w14:paraId="5C9FA273" w14:textId="77777777" w:rsidTr="00133B80">
        <w:trPr>
          <w:trHeight w:val="417"/>
          <w:jc w:val="center"/>
        </w:trPr>
        <w:tc>
          <w:tcPr>
            <w:tcW w:w="1840" w:type="dxa"/>
            <w:shd w:val="clear" w:color="auto" w:fill="auto"/>
            <w:vAlign w:val="center"/>
          </w:tcPr>
          <w:p w14:paraId="0D2DC32B" w14:textId="77777777" w:rsidR="003A3EE6" w:rsidRPr="003A3EE6" w:rsidRDefault="003A3EE6" w:rsidP="003A3EE6">
            <w:pPr>
              <w:spacing w:after="60"/>
              <w:jc w:val="both"/>
              <w:rPr>
                <w:color w:val="000000"/>
                <w:sz w:val="20"/>
                <w:szCs w:val="20"/>
              </w:rPr>
            </w:pPr>
            <w:r w:rsidRPr="003A3EE6">
              <w:rPr>
                <w:color w:val="000000"/>
                <w:sz w:val="20"/>
                <w:szCs w:val="20"/>
              </w:rPr>
              <w:t>Нормированный страховой запас</w:t>
            </w:r>
          </w:p>
        </w:tc>
        <w:tc>
          <w:tcPr>
            <w:tcW w:w="1071" w:type="dxa"/>
            <w:shd w:val="clear" w:color="auto" w:fill="auto"/>
            <w:vAlign w:val="center"/>
          </w:tcPr>
          <w:p w14:paraId="2FA4EE76" w14:textId="77777777" w:rsidR="003A3EE6" w:rsidRPr="003A3EE6" w:rsidRDefault="003A3EE6" w:rsidP="003A3EE6">
            <w:pPr>
              <w:spacing w:after="60"/>
              <w:jc w:val="center"/>
              <w:rPr>
                <w:color w:val="000000"/>
                <w:sz w:val="20"/>
                <w:szCs w:val="20"/>
              </w:rPr>
            </w:pPr>
            <w:r w:rsidRPr="003A3EE6">
              <w:rPr>
                <w:color w:val="000000"/>
                <w:sz w:val="20"/>
                <w:szCs w:val="20"/>
              </w:rPr>
              <w:t>210,5*</w:t>
            </w:r>
          </w:p>
        </w:tc>
        <w:tc>
          <w:tcPr>
            <w:tcW w:w="1071" w:type="dxa"/>
            <w:vAlign w:val="center"/>
          </w:tcPr>
          <w:p w14:paraId="655CF44A" w14:textId="77777777" w:rsidR="003A3EE6" w:rsidRPr="003A3EE6" w:rsidRDefault="003A3EE6" w:rsidP="003A3EE6">
            <w:pPr>
              <w:spacing w:after="60"/>
              <w:jc w:val="center"/>
              <w:rPr>
                <w:color w:val="000000"/>
                <w:sz w:val="20"/>
                <w:szCs w:val="20"/>
              </w:rPr>
            </w:pPr>
            <w:r w:rsidRPr="003A3EE6">
              <w:rPr>
                <w:color w:val="000000"/>
                <w:sz w:val="20"/>
                <w:szCs w:val="20"/>
              </w:rPr>
              <w:t>210,5*</w:t>
            </w:r>
          </w:p>
        </w:tc>
        <w:tc>
          <w:tcPr>
            <w:tcW w:w="1071" w:type="dxa"/>
            <w:shd w:val="clear" w:color="auto" w:fill="auto"/>
            <w:vAlign w:val="center"/>
          </w:tcPr>
          <w:p w14:paraId="3A14A967" w14:textId="77777777" w:rsidR="003A3EE6" w:rsidRPr="003A3EE6" w:rsidRDefault="003A3EE6" w:rsidP="003A3EE6">
            <w:pPr>
              <w:spacing w:after="60"/>
              <w:jc w:val="center"/>
              <w:rPr>
                <w:color w:val="000000"/>
                <w:sz w:val="20"/>
                <w:szCs w:val="20"/>
              </w:rPr>
            </w:pPr>
            <w:r w:rsidRPr="003A3EE6">
              <w:rPr>
                <w:color w:val="000000"/>
                <w:sz w:val="20"/>
                <w:szCs w:val="20"/>
              </w:rPr>
              <w:t>221,2</w:t>
            </w:r>
          </w:p>
        </w:tc>
        <w:tc>
          <w:tcPr>
            <w:tcW w:w="1072" w:type="dxa"/>
            <w:vAlign w:val="center"/>
          </w:tcPr>
          <w:p w14:paraId="45B3AB2F" w14:textId="77777777" w:rsidR="003A3EE6" w:rsidRPr="003A3EE6" w:rsidRDefault="003A3EE6" w:rsidP="003A3EE6">
            <w:pPr>
              <w:spacing w:after="60"/>
              <w:jc w:val="center"/>
              <w:rPr>
                <w:color w:val="000000"/>
                <w:sz w:val="20"/>
                <w:szCs w:val="20"/>
              </w:rPr>
            </w:pPr>
            <w:r w:rsidRPr="003A3EE6">
              <w:rPr>
                <w:color w:val="000000"/>
                <w:sz w:val="20"/>
                <w:szCs w:val="20"/>
              </w:rPr>
              <w:t>170,4</w:t>
            </w:r>
          </w:p>
        </w:tc>
        <w:tc>
          <w:tcPr>
            <w:tcW w:w="1071" w:type="dxa"/>
            <w:shd w:val="clear" w:color="auto" w:fill="auto"/>
            <w:vAlign w:val="center"/>
          </w:tcPr>
          <w:p w14:paraId="18BB10F4" w14:textId="77777777" w:rsidR="003A3EE6" w:rsidRPr="003A3EE6" w:rsidRDefault="003A3EE6" w:rsidP="003A3EE6">
            <w:pPr>
              <w:spacing w:after="60"/>
              <w:jc w:val="center"/>
              <w:rPr>
                <w:color w:val="000000"/>
                <w:sz w:val="20"/>
                <w:szCs w:val="20"/>
              </w:rPr>
            </w:pPr>
            <w:r w:rsidRPr="003A3EE6">
              <w:rPr>
                <w:color w:val="000000"/>
                <w:sz w:val="20"/>
                <w:szCs w:val="20"/>
              </w:rPr>
              <w:t>232,1</w:t>
            </w:r>
          </w:p>
        </w:tc>
        <w:tc>
          <w:tcPr>
            <w:tcW w:w="1071" w:type="dxa"/>
            <w:vAlign w:val="center"/>
          </w:tcPr>
          <w:p w14:paraId="5B86232D" w14:textId="77777777" w:rsidR="003A3EE6" w:rsidRPr="003A3EE6" w:rsidRDefault="003A3EE6" w:rsidP="003A3EE6">
            <w:pPr>
              <w:spacing w:after="60"/>
              <w:jc w:val="center"/>
              <w:rPr>
                <w:color w:val="000000"/>
                <w:sz w:val="20"/>
                <w:szCs w:val="20"/>
              </w:rPr>
            </w:pPr>
            <w:r w:rsidRPr="003A3EE6">
              <w:rPr>
                <w:color w:val="000000"/>
                <w:sz w:val="20"/>
                <w:szCs w:val="20"/>
              </w:rPr>
              <w:t>171,1</w:t>
            </w:r>
          </w:p>
        </w:tc>
        <w:tc>
          <w:tcPr>
            <w:tcW w:w="1072" w:type="dxa"/>
            <w:shd w:val="clear" w:color="auto" w:fill="auto"/>
            <w:vAlign w:val="center"/>
          </w:tcPr>
          <w:p w14:paraId="44005A93" w14:textId="77777777" w:rsidR="003A3EE6" w:rsidRPr="003A3EE6" w:rsidRDefault="003A3EE6" w:rsidP="003A3EE6">
            <w:pPr>
              <w:spacing w:after="60"/>
              <w:jc w:val="center"/>
              <w:rPr>
                <w:color w:val="000000"/>
                <w:sz w:val="20"/>
                <w:szCs w:val="20"/>
              </w:rPr>
            </w:pPr>
            <w:r w:rsidRPr="003A3EE6">
              <w:rPr>
                <w:color w:val="000000"/>
                <w:sz w:val="20"/>
                <w:szCs w:val="20"/>
              </w:rPr>
              <w:t>171,9</w:t>
            </w:r>
          </w:p>
        </w:tc>
      </w:tr>
      <w:tr w:rsidR="003A3EE6" w:rsidRPr="003A3EE6" w14:paraId="26EB2E76" w14:textId="77777777" w:rsidTr="00133B80">
        <w:trPr>
          <w:trHeight w:val="417"/>
          <w:jc w:val="center"/>
        </w:trPr>
        <w:tc>
          <w:tcPr>
            <w:tcW w:w="1840" w:type="dxa"/>
            <w:shd w:val="clear" w:color="auto" w:fill="auto"/>
            <w:vAlign w:val="center"/>
          </w:tcPr>
          <w:p w14:paraId="732808F0" w14:textId="30A5C8A1" w:rsidR="003A3EE6" w:rsidRPr="003A3EE6" w:rsidRDefault="003A3EE6" w:rsidP="003A3EE6">
            <w:pPr>
              <w:spacing w:after="60"/>
              <w:jc w:val="both"/>
              <w:rPr>
                <w:color w:val="000000"/>
                <w:sz w:val="20"/>
                <w:szCs w:val="20"/>
              </w:rPr>
            </w:pPr>
            <w:r w:rsidRPr="003A3EE6">
              <w:rPr>
                <w:color w:val="000000"/>
                <w:sz w:val="20"/>
                <w:szCs w:val="20"/>
              </w:rPr>
              <w:t>Фин. и мат.-</w:t>
            </w:r>
            <w:proofErr w:type="spellStart"/>
            <w:r w:rsidRPr="003A3EE6">
              <w:rPr>
                <w:color w:val="000000"/>
                <w:sz w:val="20"/>
                <w:szCs w:val="20"/>
              </w:rPr>
              <w:t>техн</w:t>
            </w:r>
            <w:proofErr w:type="spellEnd"/>
            <w:r w:rsidRPr="003A3EE6">
              <w:rPr>
                <w:color w:val="000000"/>
                <w:sz w:val="20"/>
                <w:szCs w:val="20"/>
              </w:rPr>
              <w:t xml:space="preserve">. обеспечение </w:t>
            </w:r>
            <w:r w:rsidR="003D6A44" w:rsidRPr="009D5B83">
              <w:rPr>
                <w:color w:val="000000"/>
                <w:sz w:val="20"/>
                <w:szCs w:val="20"/>
              </w:rPr>
              <w:t>ФФОМС</w:t>
            </w:r>
          </w:p>
        </w:tc>
        <w:tc>
          <w:tcPr>
            <w:tcW w:w="1071" w:type="dxa"/>
            <w:shd w:val="clear" w:color="auto" w:fill="auto"/>
            <w:vAlign w:val="center"/>
          </w:tcPr>
          <w:p w14:paraId="61EBE65B" w14:textId="77777777" w:rsidR="003A3EE6" w:rsidRPr="003A3EE6" w:rsidRDefault="003A3EE6" w:rsidP="003A3EE6">
            <w:pPr>
              <w:spacing w:after="60"/>
              <w:jc w:val="center"/>
              <w:rPr>
                <w:color w:val="000000"/>
                <w:sz w:val="20"/>
                <w:szCs w:val="20"/>
              </w:rPr>
            </w:pPr>
            <w:r w:rsidRPr="003A3EE6">
              <w:rPr>
                <w:color w:val="000000"/>
                <w:sz w:val="20"/>
                <w:szCs w:val="20"/>
              </w:rPr>
              <w:t>1,3</w:t>
            </w:r>
          </w:p>
        </w:tc>
        <w:tc>
          <w:tcPr>
            <w:tcW w:w="1071" w:type="dxa"/>
            <w:vAlign w:val="center"/>
          </w:tcPr>
          <w:p w14:paraId="31F124F9" w14:textId="77777777" w:rsidR="003A3EE6" w:rsidRPr="003A3EE6" w:rsidRDefault="003A3EE6" w:rsidP="003A3EE6">
            <w:pPr>
              <w:spacing w:after="60"/>
              <w:jc w:val="center"/>
              <w:rPr>
                <w:color w:val="000000"/>
                <w:sz w:val="20"/>
                <w:szCs w:val="20"/>
              </w:rPr>
            </w:pPr>
            <w:r w:rsidRPr="003A3EE6">
              <w:rPr>
                <w:color w:val="000000"/>
                <w:sz w:val="20"/>
                <w:szCs w:val="20"/>
              </w:rPr>
              <w:t>1,3</w:t>
            </w:r>
          </w:p>
        </w:tc>
        <w:tc>
          <w:tcPr>
            <w:tcW w:w="1071" w:type="dxa"/>
            <w:shd w:val="clear" w:color="auto" w:fill="auto"/>
            <w:vAlign w:val="center"/>
          </w:tcPr>
          <w:p w14:paraId="0B243E3A" w14:textId="77777777" w:rsidR="003A3EE6" w:rsidRPr="003A3EE6" w:rsidRDefault="003A3EE6" w:rsidP="003A3EE6">
            <w:pPr>
              <w:spacing w:after="60"/>
              <w:jc w:val="center"/>
              <w:rPr>
                <w:color w:val="000000"/>
                <w:sz w:val="20"/>
                <w:szCs w:val="20"/>
              </w:rPr>
            </w:pPr>
            <w:r w:rsidRPr="003A3EE6">
              <w:rPr>
                <w:color w:val="000000"/>
                <w:sz w:val="20"/>
                <w:szCs w:val="20"/>
              </w:rPr>
              <w:t>1,3</w:t>
            </w:r>
          </w:p>
        </w:tc>
        <w:tc>
          <w:tcPr>
            <w:tcW w:w="1072" w:type="dxa"/>
            <w:vAlign w:val="center"/>
          </w:tcPr>
          <w:p w14:paraId="0873DB6A" w14:textId="77777777" w:rsidR="003A3EE6" w:rsidRPr="003A3EE6" w:rsidRDefault="003A3EE6" w:rsidP="003A3EE6">
            <w:pPr>
              <w:spacing w:after="60"/>
              <w:jc w:val="center"/>
              <w:rPr>
                <w:color w:val="000000"/>
                <w:sz w:val="20"/>
                <w:szCs w:val="20"/>
              </w:rPr>
            </w:pPr>
            <w:r w:rsidRPr="003A3EE6">
              <w:rPr>
                <w:color w:val="000000"/>
                <w:sz w:val="20"/>
                <w:szCs w:val="20"/>
              </w:rPr>
              <w:t>1,6</w:t>
            </w:r>
          </w:p>
        </w:tc>
        <w:tc>
          <w:tcPr>
            <w:tcW w:w="1071" w:type="dxa"/>
            <w:shd w:val="clear" w:color="auto" w:fill="auto"/>
            <w:vAlign w:val="center"/>
          </w:tcPr>
          <w:p w14:paraId="5FB528A7" w14:textId="77777777" w:rsidR="003A3EE6" w:rsidRPr="003A3EE6" w:rsidRDefault="003A3EE6" w:rsidP="003A3EE6">
            <w:pPr>
              <w:spacing w:after="60"/>
              <w:jc w:val="center"/>
              <w:rPr>
                <w:color w:val="000000"/>
                <w:sz w:val="20"/>
                <w:szCs w:val="20"/>
              </w:rPr>
            </w:pPr>
            <w:r w:rsidRPr="003A3EE6">
              <w:rPr>
                <w:color w:val="000000"/>
                <w:sz w:val="20"/>
                <w:szCs w:val="20"/>
              </w:rPr>
              <w:t>1,3</w:t>
            </w:r>
          </w:p>
        </w:tc>
        <w:tc>
          <w:tcPr>
            <w:tcW w:w="1071" w:type="dxa"/>
            <w:vAlign w:val="center"/>
          </w:tcPr>
          <w:p w14:paraId="43E582E2" w14:textId="77777777" w:rsidR="003A3EE6" w:rsidRPr="003A3EE6" w:rsidRDefault="003A3EE6" w:rsidP="003A3EE6">
            <w:pPr>
              <w:spacing w:after="60"/>
              <w:jc w:val="center"/>
              <w:rPr>
                <w:color w:val="000000"/>
                <w:sz w:val="20"/>
                <w:szCs w:val="20"/>
              </w:rPr>
            </w:pPr>
            <w:r w:rsidRPr="003A3EE6">
              <w:rPr>
                <w:color w:val="000000"/>
                <w:sz w:val="20"/>
                <w:szCs w:val="20"/>
              </w:rPr>
              <w:t>1,6</w:t>
            </w:r>
          </w:p>
        </w:tc>
        <w:tc>
          <w:tcPr>
            <w:tcW w:w="1072" w:type="dxa"/>
            <w:shd w:val="clear" w:color="auto" w:fill="auto"/>
            <w:vAlign w:val="center"/>
          </w:tcPr>
          <w:p w14:paraId="56DAE760" w14:textId="77777777" w:rsidR="003A3EE6" w:rsidRPr="003A3EE6" w:rsidRDefault="003A3EE6" w:rsidP="003A3EE6">
            <w:pPr>
              <w:spacing w:after="60"/>
              <w:jc w:val="center"/>
              <w:rPr>
                <w:color w:val="000000"/>
                <w:sz w:val="20"/>
                <w:szCs w:val="20"/>
              </w:rPr>
            </w:pPr>
            <w:r w:rsidRPr="003A3EE6">
              <w:rPr>
                <w:color w:val="000000"/>
                <w:sz w:val="20"/>
                <w:szCs w:val="20"/>
              </w:rPr>
              <w:t>1,6</w:t>
            </w:r>
          </w:p>
        </w:tc>
      </w:tr>
    </w:tbl>
    <w:p w14:paraId="27621D84" w14:textId="19A16C96" w:rsidR="003A3EE6" w:rsidRPr="003A3EE6" w:rsidRDefault="003D6A44" w:rsidP="003A3EE6">
      <w:pPr>
        <w:ind w:firstLine="709"/>
        <w:jc w:val="both"/>
        <w:rPr>
          <w:i/>
          <w:iCs/>
          <w:sz w:val="20"/>
          <w:szCs w:val="20"/>
        </w:rPr>
      </w:pPr>
      <w:r w:rsidRPr="009D5B83">
        <w:rPr>
          <w:i/>
          <w:iCs/>
          <w:sz w:val="20"/>
          <w:szCs w:val="20"/>
        </w:rPr>
        <w:t>Примечание</w:t>
      </w:r>
      <w:r w:rsidRPr="0055726F">
        <w:rPr>
          <w:sz w:val="20"/>
          <w:szCs w:val="20"/>
        </w:rPr>
        <w:t xml:space="preserve">: </w:t>
      </w:r>
      <w:r w:rsidR="003A3EE6" w:rsidRPr="0055726F">
        <w:rPr>
          <w:sz w:val="20"/>
          <w:szCs w:val="20"/>
        </w:rPr>
        <w:t xml:space="preserve">* Включая средства ФГУ на оказание помощи в рамках базовой программы ОМС – 154,4 </w:t>
      </w:r>
      <w:proofErr w:type="gramStart"/>
      <w:r w:rsidR="003A3EE6" w:rsidRPr="0055726F">
        <w:rPr>
          <w:sz w:val="20"/>
          <w:szCs w:val="20"/>
        </w:rPr>
        <w:t>млрд</w:t>
      </w:r>
      <w:proofErr w:type="gramEnd"/>
      <w:r w:rsidR="003A3EE6" w:rsidRPr="0055726F">
        <w:rPr>
          <w:sz w:val="20"/>
          <w:szCs w:val="20"/>
        </w:rPr>
        <w:t xml:space="preserve"> руб.</w:t>
      </w:r>
    </w:p>
    <w:p w14:paraId="7A1310B7" w14:textId="630E9284" w:rsidR="003A3EE6" w:rsidRPr="003A3EE6" w:rsidRDefault="003A3EE6" w:rsidP="003A3EE6">
      <w:pPr>
        <w:ind w:firstLine="709"/>
        <w:jc w:val="both"/>
        <w:rPr>
          <w:sz w:val="20"/>
          <w:szCs w:val="20"/>
        </w:rPr>
      </w:pPr>
      <w:r w:rsidRPr="003A3EE6">
        <w:rPr>
          <w:i/>
          <w:iCs/>
          <w:sz w:val="20"/>
          <w:szCs w:val="20"/>
        </w:rPr>
        <w:t>Источник:</w:t>
      </w:r>
      <w:r w:rsidRPr="003A3EE6">
        <w:rPr>
          <w:sz w:val="20"/>
          <w:szCs w:val="20"/>
        </w:rPr>
        <w:t xml:space="preserve"> Пояснительная записка</w:t>
      </w:r>
      <w:r w:rsidR="003D6A44" w:rsidRPr="009D5B83">
        <w:rPr>
          <w:sz w:val="20"/>
          <w:szCs w:val="20"/>
        </w:rPr>
        <w:t xml:space="preserve"> к Законопроекту о ФФОМС</w:t>
      </w:r>
      <w:r w:rsidRPr="003A3EE6">
        <w:rPr>
          <w:sz w:val="20"/>
          <w:szCs w:val="20"/>
        </w:rPr>
        <w:t xml:space="preserve">, </w:t>
      </w:r>
      <w:r w:rsidR="003D6A44" w:rsidRPr="009D5B83">
        <w:rPr>
          <w:sz w:val="20"/>
          <w:szCs w:val="20"/>
        </w:rPr>
        <w:t>Закон № 392-ФЗ.</w:t>
      </w:r>
    </w:p>
    <w:p w14:paraId="48752C6C" w14:textId="77777777" w:rsidR="003A3EE6" w:rsidRPr="003A3EE6" w:rsidRDefault="003A3EE6" w:rsidP="003A3EE6"/>
    <w:p w14:paraId="52361375" w14:textId="0109CA48" w:rsidR="003A3EE6" w:rsidRPr="00E103B9" w:rsidRDefault="003A3EE6" w:rsidP="003A3EE6">
      <w:pPr>
        <w:spacing w:after="60"/>
        <w:ind w:firstLine="709"/>
        <w:jc w:val="both"/>
        <w:rPr>
          <w:sz w:val="28"/>
        </w:rPr>
      </w:pPr>
      <w:r w:rsidRPr="00E103B9">
        <w:rPr>
          <w:sz w:val="28"/>
        </w:rPr>
        <w:t xml:space="preserve">Наиболее существенным изменением методики расчета субвенции стало новое увеличение предельного значения коэффициента ценовой </w:t>
      </w:r>
      <w:proofErr w:type="spellStart"/>
      <w:r w:rsidRPr="00E103B9">
        <w:rPr>
          <w:sz w:val="28"/>
        </w:rPr>
        <w:t>дифференции</w:t>
      </w:r>
      <w:proofErr w:type="spellEnd"/>
      <w:r w:rsidRPr="00E103B9">
        <w:rPr>
          <w:sz w:val="28"/>
        </w:rPr>
        <w:t xml:space="preserve"> для отдельных регионов Дальнего Востока и Ненецкого автономного округа с 5,5 до 6,5. Проект соответствующего постановления Правительства РФ внесен одновременно с проектом закона о бюджете </w:t>
      </w:r>
      <w:r w:rsidR="003D6A44" w:rsidRPr="00E103B9">
        <w:rPr>
          <w:sz w:val="28"/>
        </w:rPr>
        <w:t>Ф</w:t>
      </w:r>
      <w:r w:rsidRPr="00E103B9">
        <w:rPr>
          <w:sz w:val="28"/>
        </w:rPr>
        <w:t xml:space="preserve">ФОМС. Следствием пересмотра стало увеличение субвенции в 2023 г. на 4,6 </w:t>
      </w:r>
      <w:proofErr w:type="gramStart"/>
      <w:r w:rsidRPr="00E103B9">
        <w:rPr>
          <w:sz w:val="28"/>
        </w:rPr>
        <w:t>млрд</w:t>
      </w:r>
      <w:proofErr w:type="gramEnd"/>
      <w:r w:rsidRPr="00E103B9">
        <w:rPr>
          <w:sz w:val="28"/>
        </w:rPr>
        <w:t xml:space="preserve"> руб., в 2024 г. – на 4,9 млрд руб., в 2025 г. – на 5,2 млрд руб. Источником средств для дополнительных выплат станет бюджет </w:t>
      </w:r>
      <w:r w:rsidR="003D6A44" w:rsidRPr="00E103B9">
        <w:rPr>
          <w:sz w:val="28"/>
        </w:rPr>
        <w:t>Ф</w:t>
      </w:r>
      <w:r w:rsidRPr="00E103B9">
        <w:rPr>
          <w:sz w:val="28"/>
        </w:rPr>
        <w:t>ФОМС.</w:t>
      </w:r>
    </w:p>
    <w:p w14:paraId="7F9562BD" w14:textId="0A413589" w:rsidR="003A3EE6" w:rsidRPr="00E103B9" w:rsidRDefault="003A3EE6" w:rsidP="003A3EE6">
      <w:pPr>
        <w:spacing w:after="60"/>
        <w:ind w:firstLine="709"/>
        <w:jc w:val="both"/>
        <w:rPr>
          <w:sz w:val="28"/>
        </w:rPr>
      </w:pPr>
      <w:r w:rsidRPr="00E103B9">
        <w:rPr>
          <w:sz w:val="28"/>
        </w:rPr>
        <w:lastRenderedPageBreak/>
        <w:t xml:space="preserve">Настораживающей тенденцией остается отсутствие реального увеличения </w:t>
      </w:r>
      <w:proofErr w:type="spellStart"/>
      <w:r w:rsidRPr="00E103B9">
        <w:rPr>
          <w:sz w:val="28"/>
        </w:rPr>
        <w:t>подушевого</w:t>
      </w:r>
      <w:proofErr w:type="spellEnd"/>
      <w:r w:rsidRPr="00E103B9">
        <w:rPr>
          <w:sz w:val="28"/>
        </w:rPr>
        <w:t xml:space="preserve"> норматива финансового обеспечения базовой программы ОМС (</w:t>
      </w:r>
      <w:r w:rsidRPr="00E103B9">
        <w:rPr>
          <w:i/>
          <w:iCs/>
          <w:sz w:val="28"/>
        </w:rPr>
        <w:t xml:space="preserve">таблица </w:t>
      </w:r>
      <w:r w:rsidR="003D6A44" w:rsidRPr="00E103B9">
        <w:rPr>
          <w:i/>
          <w:iCs/>
          <w:sz w:val="28"/>
        </w:rPr>
        <w:t>27</w:t>
      </w:r>
      <w:r w:rsidRPr="00E103B9">
        <w:rPr>
          <w:sz w:val="28"/>
        </w:rPr>
        <w:t xml:space="preserve">), прирост которого по годам не покрывает прогнозируемого уровня инфляции. </w:t>
      </w:r>
    </w:p>
    <w:p w14:paraId="20F9FACD" w14:textId="665145CC" w:rsidR="003A3EE6" w:rsidRPr="003A3EE6" w:rsidRDefault="003A3EE6" w:rsidP="003A3EE6">
      <w:pPr>
        <w:spacing w:after="60"/>
        <w:ind w:firstLine="709"/>
        <w:jc w:val="right"/>
        <w:rPr>
          <w:i/>
          <w:iCs/>
        </w:rPr>
      </w:pPr>
      <w:r w:rsidRPr="003A3EE6">
        <w:rPr>
          <w:i/>
          <w:iCs/>
        </w:rPr>
        <w:t xml:space="preserve">Таблица </w:t>
      </w:r>
      <w:r w:rsidR="003D6A44" w:rsidRPr="009D5B83">
        <w:rPr>
          <w:i/>
          <w:iCs/>
        </w:rPr>
        <w:t>27</w:t>
      </w:r>
    </w:p>
    <w:p w14:paraId="311753FB" w14:textId="77777777" w:rsidR="003A3EE6" w:rsidRPr="003A3EE6" w:rsidRDefault="003A3EE6" w:rsidP="003A3EE6">
      <w:pPr>
        <w:spacing w:after="60"/>
        <w:jc w:val="center"/>
        <w:rPr>
          <w:b/>
          <w:bCs/>
        </w:rPr>
      </w:pPr>
      <w:proofErr w:type="spellStart"/>
      <w:r w:rsidRPr="003A3EE6">
        <w:rPr>
          <w:b/>
          <w:bCs/>
        </w:rPr>
        <w:t>Подушевой</w:t>
      </w:r>
      <w:proofErr w:type="spellEnd"/>
      <w:r w:rsidRPr="003A3EE6">
        <w:rPr>
          <w:b/>
          <w:bCs/>
        </w:rPr>
        <w:t xml:space="preserve"> норматив финансового обеспечения базовой программы ОМС в 2022-2025 гг.</w:t>
      </w:r>
    </w:p>
    <w:tbl>
      <w:tblPr>
        <w:tblStyle w:val="52"/>
        <w:tblW w:w="0" w:type="auto"/>
        <w:tblLook w:val="04A0" w:firstRow="1" w:lastRow="0" w:firstColumn="1" w:lastColumn="0" w:noHBand="0" w:noVBand="1"/>
      </w:tblPr>
      <w:tblGrid>
        <w:gridCol w:w="1867"/>
        <w:gridCol w:w="1868"/>
        <w:gridCol w:w="1868"/>
        <w:gridCol w:w="1868"/>
        <w:gridCol w:w="1868"/>
      </w:tblGrid>
      <w:tr w:rsidR="003A3EE6" w:rsidRPr="003A3EE6" w14:paraId="06813264" w14:textId="77777777" w:rsidTr="00133B80">
        <w:tc>
          <w:tcPr>
            <w:tcW w:w="1867" w:type="dxa"/>
          </w:tcPr>
          <w:p w14:paraId="66FD7EED" w14:textId="03E07576" w:rsidR="003A3EE6" w:rsidRPr="003A3EE6" w:rsidRDefault="003D6A44" w:rsidP="003D6A44">
            <w:pPr>
              <w:spacing w:after="60"/>
              <w:jc w:val="center"/>
              <w:rPr>
                <w:rFonts w:ascii="Times New Roman" w:hAnsi="Times New Roman"/>
                <w:b/>
                <w:bCs/>
                <w:sz w:val="20"/>
                <w:szCs w:val="20"/>
              </w:rPr>
            </w:pPr>
            <w:r w:rsidRPr="009D5B83">
              <w:rPr>
                <w:rFonts w:ascii="Times New Roman" w:hAnsi="Times New Roman"/>
                <w:b/>
                <w:bCs/>
                <w:sz w:val="20"/>
                <w:szCs w:val="20"/>
              </w:rPr>
              <w:t>Показатель</w:t>
            </w:r>
          </w:p>
        </w:tc>
        <w:tc>
          <w:tcPr>
            <w:tcW w:w="1868" w:type="dxa"/>
            <w:vAlign w:val="center"/>
          </w:tcPr>
          <w:p w14:paraId="25FB3386" w14:textId="2EDF8945" w:rsidR="003A3EE6" w:rsidRPr="003A3EE6" w:rsidRDefault="003A3EE6" w:rsidP="003D6A44">
            <w:pPr>
              <w:spacing w:after="60"/>
              <w:jc w:val="center"/>
              <w:rPr>
                <w:rFonts w:ascii="Times New Roman" w:hAnsi="Times New Roman"/>
                <w:b/>
                <w:bCs/>
                <w:color w:val="000000"/>
                <w:sz w:val="20"/>
                <w:szCs w:val="20"/>
              </w:rPr>
            </w:pPr>
            <w:r w:rsidRPr="003A3EE6">
              <w:rPr>
                <w:rFonts w:ascii="Times New Roman" w:hAnsi="Times New Roman"/>
                <w:b/>
                <w:bCs/>
                <w:color w:val="000000"/>
                <w:sz w:val="20"/>
                <w:szCs w:val="20"/>
              </w:rPr>
              <w:t>2022</w:t>
            </w:r>
            <w:r w:rsidR="003D6A44" w:rsidRPr="009D5B83">
              <w:rPr>
                <w:rFonts w:ascii="Times New Roman" w:hAnsi="Times New Roman"/>
                <w:b/>
                <w:bCs/>
                <w:color w:val="000000"/>
                <w:sz w:val="20"/>
                <w:szCs w:val="20"/>
              </w:rPr>
              <w:t xml:space="preserve"> г.</w:t>
            </w:r>
          </w:p>
        </w:tc>
        <w:tc>
          <w:tcPr>
            <w:tcW w:w="1868" w:type="dxa"/>
            <w:vAlign w:val="center"/>
          </w:tcPr>
          <w:p w14:paraId="30F464F6" w14:textId="63DC7CD7" w:rsidR="003A3EE6" w:rsidRPr="003A3EE6" w:rsidRDefault="003A3EE6" w:rsidP="003D6A44">
            <w:pPr>
              <w:spacing w:after="60"/>
              <w:jc w:val="center"/>
              <w:rPr>
                <w:rFonts w:ascii="Times New Roman" w:hAnsi="Times New Roman"/>
                <w:b/>
                <w:bCs/>
                <w:color w:val="000000"/>
                <w:sz w:val="20"/>
                <w:szCs w:val="20"/>
              </w:rPr>
            </w:pPr>
            <w:r w:rsidRPr="003A3EE6">
              <w:rPr>
                <w:rFonts w:ascii="Times New Roman" w:hAnsi="Times New Roman"/>
                <w:b/>
                <w:bCs/>
                <w:color w:val="000000"/>
                <w:sz w:val="20"/>
                <w:szCs w:val="20"/>
              </w:rPr>
              <w:t>2023</w:t>
            </w:r>
            <w:r w:rsidR="003D6A44" w:rsidRPr="009D5B83">
              <w:rPr>
                <w:rFonts w:ascii="Times New Roman" w:hAnsi="Times New Roman"/>
                <w:b/>
                <w:bCs/>
                <w:color w:val="000000"/>
                <w:sz w:val="20"/>
                <w:szCs w:val="20"/>
              </w:rPr>
              <w:t xml:space="preserve"> г.</w:t>
            </w:r>
          </w:p>
        </w:tc>
        <w:tc>
          <w:tcPr>
            <w:tcW w:w="1868" w:type="dxa"/>
            <w:vAlign w:val="center"/>
          </w:tcPr>
          <w:p w14:paraId="2AD1FD92" w14:textId="068C28ED" w:rsidR="003A3EE6" w:rsidRPr="003A3EE6" w:rsidRDefault="003A3EE6" w:rsidP="003D6A44">
            <w:pPr>
              <w:spacing w:after="60"/>
              <w:jc w:val="center"/>
              <w:rPr>
                <w:rFonts w:ascii="Times New Roman" w:hAnsi="Times New Roman"/>
                <w:b/>
                <w:bCs/>
                <w:color w:val="000000"/>
                <w:sz w:val="20"/>
                <w:szCs w:val="20"/>
              </w:rPr>
            </w:pPr>
            <w:r w:rsidRPr="003A3EE6">
              <w:rPr>
                <w:rFonts w:ascii="Times New Roman" w:hAnsi="Times New Roman"/>
                <w:b/>
                <w:bCs/>
                <w:color w:val="000000"/>
                <w:sz w:val="20"/>
                <w:szCs w:val="20"/>
              </w:rPr>
              <w:t>2024</w:t>
            </w:r>
            <w:r w:rsidR="003D6A44" w:rsidRPr="009D5B83">
              <w:rPr>
                <w:rFonts w:ascii="Times New Roman" w:hAnsi="Times New Roman"/>
                <w:b/>
                <w:bCs/>
                <w:color w:val="000000"/>
                <w:sz w:val="20"/>
                <w:szCs w:val="20"/>
              </w:rPr>
              <w:t xml:space="preserve"> г.</w:t>
            </w:r>
          </w:p>
        </w:tc>
        <w:tc>
          <w:tcPr>
            <w:tcW w:w="1868" w:type="dxa"/>
            <w:vAlign w:val="center"/>
          </w:tcPr>
          <w:p w14:paraId="54F99976" w14:textId="048DC4CF" w:rsidR="003A3EE6" w:rsidRPr="003A3EE6" w:rsidRDefault="003A3EE6" w:rsidP="003D6A44">
            <w:pPr>
              <w:spacing w:after="60"/>
              <w:jc w:val="center"/>
              <w:rPr>
                <w:rFonts w:ascii="Times New Roman" w:hAnsi="Times New Roman"/>
                <w:b/>
                <w:bCs/>
                <w:color w:val="000000"/>
                <w:sz w:val="20"/>
                <w:szCs w:val="20"/>
              </w:rPr>
            </w:pPr>
            <w:r w:rsidRPr="003A3EE6">
              <w:rPr>
                <w:rFonts w:ascii="Times New Roman" w:hAnsi="Times New Roman"/>
                <w:b/>
                <w:bCs/>
                <w:color w:val="000000"/>
                <w:sz w:val="20"/>
                <w:szCs w:val="20"/>
              </w:rPr>
              <w:t>2025</w:t>
            </w:r>
            <w:r w:rsidR="003D6A44" w:rsidRPr="009D5B83">
              <w:rPr>
                <w:rFonts w:ascii="Times New Roman" w:hAnsi="Times New Roman"/>
                <w:b/>
                <w:bCs/>
                <w:color w:val="000000"/>
                <w:sz w:val="20"/>
                <w:szCs w:val="20"/>
              </w:rPr>
              <w:t xml:space="preserve"> г.</w:t>
            </w:r>
          </w:p>
        </w:tc>
      </w:tr>
      <w:tr w:rsidR="003A3EE6" w:rsidRPr="003A3EE6" w14:paraId="13FA298E" w14:textId="77777777" w:rsidTr="00133B80">
        <w:tc>
          <w:tcPr>
            <w:tcW w:w="1867" w:type="dxa"/>
          </w:tcPr>
          <w:p w14:paraId="2576D6BC" w14:textId="13E5182E" w:rsidR="003A3EE6" w:rsidRPr="003A3EE6" w:rsidRDefault="003A3EE6" w:rsidP="003A3EE6">
            <w:pPr>
              <w:spacing w:after="60"/>
              <w:jc w:val="both"/>
              <w:rPr>
                <w:rFonts w:ascii="Times New Roman" w:hAnsi="Times New Roman"/>
                <w:color w:val="000000"/>
                <w:sz w:val="20"/>
                <w:szCs w:val="20"/>
              </w:rPr>
            </w:pPr>
            <w:r w:rsidRPr="003A3EE6">
              <w:rPr>
                <w:rFonts w:ascii="Times New Roman" w:hAnsi="Times New Roman"/>
                <w:color w:val="000000"/>
                <w:sz w:val="20"/>
                <w:szCs w:val="20"/>
              </w:rPr>
              <w:t>Программа 2022 г</w:t>
            </w:r>
            <w:r w:rsidR="00AA0954">
              <w:rPr>
                <w:rFonts w:ascii="Times New Roman" w:hAnsi="Times New Roman"/>
                <w:color w:val="000000"/>
                <w:sz w:val="20"/>
                <w:szCs w:val="20"/>
              </w:rPr>
              <w:t>.</w:t>
            </w:r>
            <w:r w:rsidRPr="003A3EE6">
              <w:rPr>
                <w:rFonts w:ascii="Times New Roman" w:hAnsi="Times New Roman"/>
                <w:color w:val="000000"/>
                <w:sz w:val="20"/>
                <w:szCs w:val="20"/>
              </w:rPr>
              <w:t xml:space="preserve"> руб.</w:t>
            </w:r>
          </w:p>
        </w:tc>
        <w:tc>
          <w:tcPr>
            <w:tcW w:w="1868" w:type="dxa"/>
            <w:vAlign w:val="center"/>
          </w:tcPr>
          <w:p w14:paraId="5B18AACF" w14:textId="77777777"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15 062,9</w:t>
            </w:r>
          </w:p>
        </w:tc>
        <w:tc>
          <w:tcPr>
            <w:tcW w:w="1868" w:type="dxa"/>
            <w:vAlign w:val="center"/>
          </w:tcPr>
          <w:p w14:paraId="5C5DB019" w14:textId="30EE2AD3"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15</w:t>
            </w:r>
            <w:r w:rsidR="003D6A44" w:rsidRPr="009D5B83">
              <w:rPr>
                <w:rFonts w:ascii="Times New Roman" w:hAnsi="Times New Roman"/>
                <w:color w:val="000000"/>
                <w:sz w:val="20"/>
                <w:szCs w:val="20"/>
              </w:rPr>
              <w:t xml:space="preserve"> </w:t>
            </w:r>
            <w:r w:rsidRPr="003A3EE6">
              <w:rPr>
                <w:rFonts w:ascii="Times New Roman" w:hAnsi="Times New Roman"/>
                <w:color w:val="000000"/>
                <w:sz w:val="20"/>
                <w:szCs w:val="20"/>
              </w:rPr>
              <w:t>887,8</w:t>
            </w:r>
          </w:p>
        </w:tc>
        <w:tc>
          <w:tcPr>
            <w:tcW w:w="1868" w:type="dxa"/>
            <w:vAlign w:val="center"/>
          </w:tcPr>
          <w:p w14:paraId="11399450" w14:textId="11A47418"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16</w:t>
            </w:r>
            <w:r w:rsidR="003D6A44" w:rsidRPr="009D5B83">
              <w:rPr>
                <w:rFonts w:ascii="Times New Roman" w:hAnsi="Times New Roman"/>
                <w:color w:val="000000"/>
                <w:sz w:val="20"/>
                <w:szCs w:val="20"/>
              </w:rPr>
              <w:t xml:space="preserve"> </w:t>
            </w:r>
            <w:r w:rsidRPr="003A3EE6">
              <w:rPr>
                <w:rFonts w:ascii="Times New Roman" w:hAnsi="Times New Roman"/>
                <w:color w:val="000000"/>
                <w:sz w:val="20"/>
                <w:szCs w:val="20"/>
              </w:rPr>
              <w:t>827,9</w:t>
            </w:r>
          </w:p>
        </w:tc>
        <w:tc>
          <w:tcPr>
            <w:tcW w:w="1868" w:type="dxa"/>
            <w:vAlign w:val="center"/>
          </w:tcPr>
          <w:p w14:paraId="68FB83BF" w14:textId="77777777"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w:t>
            </w:r>
          </w:p>
        </w:tc>
      </w:tr>
      <w:tr w:rsidR="003A3EE6" w:rsidRPr="003A3EE6" w14:paraId="65882C35" w14:textId="77777777" w:rsidTr="00133B80">
        <w:tc>
          <w:tcPr>
            <w:tcW w:w="1867" w:type="dxa"/>
          </w:tcPr>
          <w:p w14:paraId="7F18E707" w14:textId="133B1A65" w:rsidR="003A3EE6" w:rsidRPr="003A3EE6" w:rsidRDefault="003A3EE6" w:rsidP="003A3EE6">
            <w:pPr>
              <w:spacing w:after="60"/>
              <w:jc w:val="both"/>
              <w:rPr>
                <w:rFonts w:ascii="Times New Roman" w:hAnsi="Times New Roman"/>
                <w:color w:val="000000"/>
                <w:sz w:val="20"/>
                <w:szCs w:val="20"/>
              </w:rPr>
            </w:pPr>
            <w:r w:rsidRPr="003A3EE6">
              <w:rPr>
                <w:rFonts w:ascii="Times New Roman" w:hAnsi="Times New Roman"/>
                <w:color w:val="000000"/>
                <w:sz w:val="20"/>
                <w:szCs w:val="20"/>
              </w:rPr>
              <w:t>Проект программы 2023 г</w:t>
            </w:r>
            <w:r w:rsidR="00C37C54">
              <w:rPr>
                <w:rFonts w:ascii="Times New Roman" w:hAnsi="Times New Roman"/>
                <w:color w:val="000000"/>
                <w:sz w:val="20"/>
                <w:szCs w:val="20"/>
              </w:rPr>
              <w:t>.</w:t>
            </w:r>
            <w:r w:rsidRPr="003A3EE6">
              <w:rPr>
                <w:rFonts w:ascii="Times New Roman" w:hAnsi="Times New Roman"/>
                <w:color w:val="000000"/>
                <w:sz w:val="20"/>
                <w:szCs w:val="20"/>
              </w:rPr>
              <w:t>, руб.</w:t>
            </w:r>
          </w:p>
        </w:tc>
        <w:tc>
          <w:tcPr>
            <w:tcW w:w="1868" w:type="dxa"/>
            <w:vAlign w:val="center"/>
          </w:tcPr>
          <w:p w14:paraId="7963EB74" w14:textId="77777777"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w:t>
            </w:r>
          </w:p>
        </w:tc>
        <w:tc>
          <w:tcPr>
            <w:tcW w:w="1868" w:type="dxa"/>
            <w:vAlign w:val="center"/>
          </w:tcPr>
          <w:p w14:paraId="094CC159" w14:textId="05D7F805"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15</w:t>
            </w:r>
            <w:r w:rsidR="003D6A44" w:rsidRPr="009D5B83">
              <w:rPr>
                <w:rFonts w:ascii="Times New Roman" w:hAnsi="Times New Roman"/>
                <w:color w:val="000000"/>
                <w:sz w:val="20"/>
                <w:szCs w:val="20"/>
              </w:rPr>
              <w:t xml:space="preserve"> </w:t>
            </w:r>
            <w:r w:rsidRPr="003A3EE6">
              <w:rPr>
                <w:rFonts w:ascii="Times New Roman" w:hAnsi="Times New Roman"/>
                <w:color w:val="000000"/>
                <w:sz w:val="20"/>
                <w:szCs w:val="20"/>
              </w:rPr>
              <w:t>823,6</w:t>
            </w:r>
          </w:p>
        </w:tc>
        <w:tc>
          <w:tcPr>
            <w:tcW w:w="1868" w:type="dxa"/>
            <w:vAlign w:val="center"/>
          </w:tcPr>
          <w:p w14:paraId="60A21EB7" w14:textId="249A5D60"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16</w:t>
            </w:r>
            <w:r w:rsidR="003D6A44" w:rsidRPr="009D5B83">
              <w:rPr>
                <w:rFonts w:ascii="Times New Roman" w:hAnsi="Times New Roman"/>
                <w:color w:val="000000"/>
                <w:sz w:val="20"/>
                <w:szCs w:val="20"/>
              </w:rPr>
              <w:t xml:space="preserve"> </w:t>
            </w:r>
            <w:r w:rsidRPr="003A3EE6">
              <w:rPr>
                <w:rFonts w:ascii="Times New Roman" w:hAnsi="Times New Roman"/>
                <w:color w:val="000000"/>
                <w:sz w:val="20"/>
                <w:szCs w:val="20"/>
              </w:rPr>
              <w:t>966,6</w:t>
            </w:r>
          </w:p>
        </w:tc>
        <w:tc>
          <w:tcPr>
            <w:tcW w:w="1868" w:type="dxa"/>
            <w:vAlign w:val="center"/>
          </w:tcPr>
          <w:p w14:paraId="468132D7" w14:textId="2C471BB1" w:rsidR="003A3EE6" w:rsidRPr="003A3EE6" w:rsidRDefault="003A3EE6" w:rsidP="003A3EE6">
            <w:pPr>
              <w:spacing w:after="60"/>
              <w:jc w:val="center"/>
              <w:rPr>
                <w:rFonts w:ascii="Times New Roman" w:hAnsi="Times New Roman"/>
                <w:color w:val="000000"/>
                <w:sz w:val="20"/>
                <w:szCs w:val="20"/>
              </w:rPr>
            </w:pPr>
            <w:r w:rsidRPr="003A3EE6">
              <w:rPr>
                <w:rFonts w:ascii="Times New Roman" w:hAnsi="Times New Roman"/>
                <w:color w:val="000000"/>
                <w:sz w:val="20"/>
                <w:szCs w:val="20"/>
              </w:rPr>
              <w:t>17</w:t>
            </w:r>
            <w:r w:rsidR="003D6A44" w:rsidRPr="009D5B83">
              <w:rPr>
                <w:rFonts w:ascii="Times New Roman" w:hAnsi="Times New Roman"/>
                <w:color w:val="000000"/>
                <w:sz w:val="20"/>
                <w:szCs w:val="20"/>
              </w:rPr>
              <w:t xml:space="preserve"> </w:t>
            </w:r>
            <w:r w:rsidRPr="003A3EE6">
              <w:rPr>
                <w:rFonts w:ascii="Times New Roman" w:hAnsi="Times New Roman"/>
                <w:color w:val="000000"/>
                <w:sz w:val="20"/>
                <w:szCs w:val="20"/>
              </w:rPr>
              <w:t>899,76</w:t>
            </w:r>
          </w:p>
        </w:tc>
      </w:tr>
      <w:tr w:rsidR="003A3EE6" w:rsidRPr="00C37C54" w14:paraId="4C89E271" w14:textId="77777777" w:rsidTr="00133B80">
        <w:tc>
          <w:tcPr>
            <w:tcW w:w="1867" w:type="dxa"/>
          </w:tcPr>
          <w:p w14:paraId="3414DFBF" w14:textId="77777777" w:rsidR="003A3EE6" w:rsidRPr="00C37C54" w:rsidRDefault="003A3EE6" w:rsidP="003A3EE6">
            <w:pPr>
              <w:spacing w:after="60"/>
              <w:jc w:val="both"/>
              <w:rPr>
                <w:rFonts w:ascii="Times New Roman" w:hAnsi="Times New Roman"/>
                <w:i/>
                <w:iCs/>
                <w:color w:val="000000"/>
                <w:sz w:val="20"/>
                <w:szCs w:val="20"/>
              </w:rPr>
            </w:pPr>
            <w:r w:rsidRPr="00C37C54">
              <w:rPr>
                <w:rFonts w:ascii="Times New Roman" w:hAnsi="Times New Roman"/>
                <w:i/>
                <w:iCs/>
                <w:color w:val="000000"/>
                <w:sz w:val="20"/>
                <w:szCs w:val="20"/>
              </w:rPr>
              <w:t>Прирост относительно предыдущего года, %</w:t>
            </w:r>
          </w:p>
        </w:tc>
        <w:tc>
          <w:tcPr>
            <w:tcW w:w="1868" w:type="dxa"/>
            <w:vAlign w:val="center"/>
          </w:tcPr>
          <w:p w14:paraId="1FD86AD8" w14:textId="77777777" w:rsidR="003A3EE6" w:rsidRPr="00C37C54" w:rsidRDefault="003A3EE6" w:rsidP="003A3EE6">
            <w:pPr>
              <w:spacing w:after="60"/>
              <w:jc w:val="center"/>
              <w:rPr>
                <w:rFonts w:ascii="Times New Roman" w:hAnsi="Times New Roman"/>
                <w:i/>
                <w:iCs/>
                <w:color w:val="000000"/>
                <w:sz w:val="20"/>
                <w:szCs w:val="20"/>
              </w:rPr>
            </w:pPr>
            <w:r w:rsidRPr="00C37C54">
              <w:rPr>
                <w:rFonts w:ascii="Times New Roman" w:hAnsi="Times New Roman"/>
                <w:i/>
                <w:iCs/>
                <w:color w:val="000000"/>
                <w:sz w:val="20"/>
                <w:szCs w:val="20"/>
              </w:rPr>
              <w:t>-</w:t>
            </w:r>
          </w:p>
        </w:tc>
        <w:tc>
          <w:tcPr>
            <w:tcW w:w="1868" w:type="dxa"/>
            <w:vAlign w:val="center"/>
          </w:tcPr>
          <w:p w14:paraId="4C87ACBF" w14:textId="77777777" w:rsidR="003A3EE6" w:rsidRPr="00C37C54" w:rsidRDefault="003A3EE6" w:rsidP="003A3EE6">
            <w:pPr>
              <w:spacing w:after="60"/>
              <w:jc w:val="center"/>
              <w:rPr>
                <w:rFonts w:ascii="Times New Roman" w:hAnsi="Times New Roman"/>
                <w:i/>
                <w:iCs/>
                <w:color w:val="000000"/>
                <w:sz w:val="20"/>
                <w:szCs w:val="20"/>
              </w:rPr>
            </w:pPr>
            <w:r w:rsidRPr="00C37C54">
              <w:rPr>
                <w:rFonts w:ascii="Times New Roman" w:hAnsi="Times New Roman"/>
                <w:i/>
                <w:iCs/>
                <w:color w:val="000000"/>
                <w:sz w:val="20"/>
                <w:szCs w:val="20"/>
              </w:rPr>
              <w:t>5,1</w:t>
            </w:r>
          </w:p>
        </w:tc>
        <w:tc>
          <w:tcPr>
            <w:tcW w:w="1868" w:type="dxa"/>
            <w:vAlign w:val="center"/>
          </w:tcPr>
          <w:p w14:paraId="0BFAF1C8" w14:textId="77777777" w:rsidR="003A3EE6" w:rsidRPr="00C37C54" w:rsidRDefault="003A3EE6" w:rsidP="003A3EE6">
            <w:pPr>
              <w:spacing w:after="60"/>
              <w:jc w:val="center"/>
              <w:rPr>
                <w:rFonts w:ascii="Times New Roman" w:hAnsi="Times New Roman"/>
                <w:i/>
                <w:iCs/>
                <w:color w:val="000000"/>
                <w:sz w:val="20"/>
                <w:szCs w:val="20"/>
              </w:rPr>
            </w:pPr>
            <w:r w:rsidRPr="00C37C54">
              <w:rPr>
                <w:rFonts w:ascii="Times New Roman" w:hAnsi="Times New Roman"/>
                <w:i/>
                <w:iCs/>
                <w:color w:val="000000"/>
                <w:sz w:val="20"/>
                <w:szCs w:val="20"/>
              </w:rPr>
              <w:t>7,2</w:t>
            </w:r>
          </w:p>
        </w:tc>
        <w:tc>
          <w:tcPr>
            <w:tcW w:w="1868" w:type="dxa"/>
            <w:vAlign w:val="center"/>
          </w:tcPr>
          <w:p w14:paraId="351A49B1" w14:textId="77777777" w:rsidR="003A3EE6" w:rsidRPr="00C37C54" w:rsidRDefault="003A3EE6" w:rsidP="003A3EE6">
            <w:pPr>
              <w:spacing w:after="60"/>
              <w:jc w:val="center"/>
              <w:rPr>
                <w:rFonts w:ascii="Times New Roman" w:hAnsi="Times New Roman"/>
                <w:i/>
                <w:iCs/>
                <w:color w:val="000000"/>
                <w:sz w:val="20"/>
                <w:szCs w:val="20"/>
              </w:rPr>
            </w:pPr>
            <w:r w:rsidRPr="00C37C54">
              <w:rPr>
                <w:rFonts w:ascii="Times New Roman" w:hAnsi="Times New Roman"/>
                <w:i/>
                <w:iCs/>
                <w:color w:val="000000"/>
                <w:sz w:val="20"/>
                <w:szCs w:val="20"/>
              </w:rPr>
              <w:t>5,4</w:t>
            </w:r>
          </w:p>
        </w:tc>
      </w:tr>
    </w:tbl>
    <w:p w14:paraId="60C0EC67" w14:textId="46CCBDE6" w:rsidR="003A3EE6" w:rsidRPr="003A3EE6" w:rsidRDefault="003A3EE6" w:rsidP="003A3EE6">
      <w:pPr>
        <w:ind w:firstLine="709"/>
        <w:jc w:val="both"/>
        <w:rPr>
          <w:sz w:val="20"/>
          <w:szCs w:val="20"/>
        </w:rPr>
      </w:pPr>
      <w:r w:rsidRPr="003A3EE6">
        <w:rPr>
          <w:i/>
          <w:iCs/>
          <w:sz w:val="20"/>
          <w:szCs w:val="20"/>
        </w:rPr>
        <w:t>Источник:</w:t>
      </w:r>
      <w:r w:rsidRPr="003A3EE6">
        <w:rPr>
          <w:sz w:val="20"/>
          <w:szCs w:val="20"/>
        </w:rPr>
        <w:t xml:space="preserve"> </w:t>
      </w:r>
      <w:r w:rsidRPr="0055726F">
        <w:rPr>
          <w:sz w:val="20"/>
          <w:szCs w:val="20"/>
        </w:rPr>
        <w:t>Пояснительная записка</w:t>
      </w:r>
      <w:r w:rsidR="00B90764" w:rsidRPr="009D5B83">
        <w:rPr>
          <w:sz w:val="20"/>
          <w:szCs w:val="20"/>
        </w:rPr>
        <w:t xml:space="preserve"> к Законопроекту о ФФОМС</w:t>
      </w:r>
      <w:r w:rsidRPr="003A3EE6">
        <w:rPr>
          <w:sz w:val="20"/>
          <w:szCs w:val="20"/>
        </w:rPr>
        <w:t>, Постановление Правительства РФ</w:t>
      </w:r>
      <w:r w:rsidR="00B90764" w:rsidRPr="009D5B83">
        <w:rPr>
          <w:sz w:val="20"/>
          <w:szCs w:val="20"/>
        </w:rPr>
        <w:t xml:space="preserve"> от 28.12.2021 N 2505</w:t>
      </w:r>
      <w:r w:rsidRPr="003A3EE6">
        <w:rPr>
          <w:sz w:val="20"/>
          <w:szCs w:val="20"/>
        </w:rPr>
        <w:t xml:space="preserve"> </w:t>
      </w:r>
      <w:r w:rsidR="00B90764" w:rsidRPr="009D5B83">
        <w:rPr>
          <w:sz w:val="20"/>
          <w:szCs w:val="20"/>
        </w:rPr>
        <w:t>«О</w:t>
      </w:r>
      <w:r w:rsidRPr="003A3EE6">
        <w:rPr>
          <w:sz w:val="20"/>
          <w:szCs w:val="20"/>
        </w:rPr>
        <w:t xml:space="preserve"> Программе государственных гарантий бесплатного оказания гражданам медицинской помощи на 2022 год и на плановый период 2023 и 2024 годов</w:t>
      </w:r>
      <w:r w:rsidR="00B90764" w:rsidRPr="009D5B83">
        <w:rPr>
          <w:sz w:val="20"/>
          <w:szCs w:val="20"/>
        </w:rPr>
        <w:t>».</w:t>
      </w:r>
    </w:p>
    <w:p w14:paraId="643A2613" w14:textId="77777777" w:rsidR="003A3EE6" w:rsidRPr="003A3EE6" w:rsidRDefault="003A3EE6" w:rsidP="003A3EE6">
      <w:pPr>
        <w:spacing w:after="60"/>
        <w:jc w:val="both"/>
      </w:pPr>
    </w:p>
    <w:p w14:paraId="25D38E01" w14:textId="38DD0F2D" w:rsidR="003A3EE6" w:rsidRPr="00E103B9" w:rsidRDefault="003A3EE6" w:rsidP="003A3EE6">
      <w:pPr>
        <w:spacing w:after="60"/>
        <w:ind w:firstLine="709"/>
        <w:jc w:val="both"/>
        <w:rPr>
          <w:sz w:val="28"/>
        </w:rPr>
      </w:pPr>
      <w:r w:rsidRPr="00E103B9">
        <w:rPr>
          <w:sz w:val="28"/>
        </w:rPr>
        <w:t>Наиболее существенное увеличение расходов Ф</w:t>
      </w:r>
      <w:r w:rsidR="00B90764" w:rsidRPr="00E103B9">
        <w:rPr>
          <w:sz w:val="28"/>
        </w:rPr>
        <w:t>Ф</w:t>
      </w:r>
      <w:r w:rsidRPr="00E103B9">
        <w:rPr>
          <w:sz w:val="28"/>
        </w:rPr>
        <w:t xml:space="preserve">ОМС запланировано по статье нормированного страхового запаса, что может объясняться стремлением усилить защиту системы ОМС в условиях высокой неопределенности. Одновременно был пересмотрен порядок использования средств нормированного страхового запаса </w:t>
      </w:r>
      <w:r w:rsidR="00B90764" w:rsidRPr="00E103B9">
        <w:rPr>
          <w:sz w:val="28"/>
        </w:rPr>
        <w:t>Ф</w:t>
      </w:r>
      <w:r w:rsidRPr="00E103B9">
        <w:rPr>
          <w:sz w:val="28"/>
        </w:rPr>
        <w:t>ФОМС: вместо установления конкретного перечня разрешенных направлений использования средств новый порядок устанавливает возможность использования средств на финансовое обеспечение отдельных решений Правительства РФ без дальнейшей детализации. Вместе с тем, отчисления в нормированный страховой запас и на оплату ВМП, оказываемой федеральными медицинскими организациями, фактически представляют собой средства, изъятые из финансового обеспечения базовой программы ОМС, доля которых в расходах Ф</w:t>
      </w:r>
      <w:r w:rsidR="00B90764" w:rsidRPr="00E103B9">
        <w:rPr>
          <w:sz w:val="28"/>
        </w:rPr>
        <w:t>Ф</w:t>
      </w:r>
      <w:r w:rsidRPr="00E103B9">
        <w:rPr>
          <w:sz w:val="28"/>
        </w:rPr>
        <w:t>ОМС быстро растет (в 2022 г. – 7,5%, в 2023 г. – 10,4%). Увеличение обособленных статей расходов становится не только одним из факторов сдерживания роста финансового обеспечения базовой программы ОМС, но усугубляет проблему многоканального финансирования здравоохранения и закрепляет отход от развития страховой медицины в России.</w:t>
      </w:r>
    </w:p>
    <w:p w14:paraId="3FFB93CE" w14:textId="77777777" w:rsidR="003A3EE6" w:rsidRPr="00E103B9" w:rsidRDefault="003A3EE6" w:rsidP="00AA0954">
      <w:pPr>
        <w:spacing w:after="60"/>
        <w:jc w:val="both"/>
        <w:rPr>
          <w:sz w:val="28"/>
        </w:rPr>
      </w:pPr>
    </w:p>
    <w:p w14:paraId="7539983B" w14:textId="7AC4A695" w:rsidR="004800BF" w:rsidRPr="00E103B9" w:rsidRDefault="004800BF" w:rsidP="000A168F">
      <w:pPr>
        <w:keepNext/>
        <w:spacing w:before="60" w:after="60"/>
        <w:jc w:val="center"/>
        <w:outlineLvl w:val="2"/>
        <w:rPr>
          <w:b/>
          <w:sz w:val="28"/>
          <w:szCs w:val="20"/>
        </w:rPr>
      </w:pPr>
      <w:bookmarkStart w:id="36" w:name="_Toc116593944"/>
      <w:r w:rsidRPr="00E103B9">
        <w:rPr>
          <w:b/>
          <w:sz w:val="28"/>
          <w:szCs w:val="20"/>
        </w:rPr>
        <w:t>Расходы на социальн</w:t>
      </w:r>
      <w:r w:rsidR="001729B1" w:rsidRPr="00E103B9">
        <w:rPr>
          <w:b/>
          <w:sz w:val="28"/>
          <w:szCs w:val="20"/>
        </w:rPr>
        <w:t>ую</w:t>
      </w:r>
      <w:r w:rsidRPr="00E103B9">
        <w:rPr>
          <w:b/>
          <w:sz w:val="28"/>
          <w:szCs w:val="20"/>
        </w:rPr>
        <w:t xml:space="preserve"> </w:t>
      </w:r>
      <w:r w:rsidR="001729B1" w:rsidRPr="00E103B9">
        <w:rPr>
          <w:b/>
          <w:sz w:val="28"/>
          <w:szCs w:val="20"/>
        </w:rPr>
        <w:t>политику</w:t>
      </w:r>
      <w:bookmarkEnd w:id="36"/>
    </w:p>
    <w:p w14:paraId="40A36244" w14:textId="21F68EAC" w:rsidR="00B54516" w:rsidRPr="00E103B9" w:rsidRDefault="00B54516" w:rsidP="00B54516">
      <w:pPr>
        <w:spacing w:after="60"/>
        <w:ind w:firstLine="709"/>
        <w:jc w:val="both"/>
        <w:rPr>
          <w:rFonts w:eastAsia="Calibri"/>
          <w:sz w:val="28"/>
        </w:rPr>
      </w:pPr>
      <w:proofErr w:type="gramStart"/>
      <w:r w:rsidRPr="00E103B9">
        <w:rPr>
          <w:rFonts w:eastAsia="Calibri"/>
          <w:sz w:val="28"/>
        </w:rPr>
        <w:t xml:space="preserve">При формировании расходов федерального бюджета в части социальной политики </w:t>
      </w:r>
      <w:r w:rsidRPr="00E103B9">
        <w:rPr>
          <w:sz w:val="28"/>
        </w:rPr>
        <w:t xml:space="preserve">учитывались национальные цели и целевые показатели, установленные </w:t>
      </w:r>
      <w:r w:rsidRPr="00E103B9">
        <w:rPr>
          <w:rFonts w:eastAsia="Calibri"/>
          <w:sz w:val="28"/>
        </w:rPr>
        <w:t xml:space="preserve">Указом Президента РФ № 474, по обеспечению устойчивого роста численности населения Российской Федерации, снижению уровня бедности в два раза по сравнению с показателем 2017 г. Формирование бюджетных ассигнований на 2023 и 2024 гг. </w:t>
      </w:r>
      <w:r w:rsidRPr="00E103B9">
        <w:rPr>
          <w:rFonts w:eastAsia="Calibri"/>
          <w:sz w:val="28"/>
        </w:rPr>
        <w:lastRenderedPageBreak/>
        <w:t>осуществлялось на основе бюджетных ассигнований, утвержденных Законом №390-ФЗ, и бюджетного прогноза на</w:t>
      </w:r>
      <w:proofErr w:type="gramEnd"/>
      <w:r w:rsidRPr="00E103B9">
        <w:rPr>
          <w:rFonts w:eastAsia="Calibri"/>
          <w:sz w:val="28"/>
        </w:rPr>
        <w:t xml:space="preserve"> 2025 г. с учетом прогнозного уровня инфляции и изменением численности (контингента) получателей социальных выплат. </w:t>
      </w:r>
    </w:p>
    <w:p w14:paraId="56FDAD02" w14:textId="525BC5E2" w:rsidR="00B54516" w:rsidRPr="00E103B9" w:rsidRDefault="00B54516" w:rsidP="00B54516">
      <w:pPr>
        <w:spacing w:after="60"/>
        <w:ind w:firstLine="709"/>
        <w:jc w:val="both"/>
        <w:rPr>
          <w:rFonts w:eastAsia="Calibri"/>
          <w:sz w:val="28"/>
        </w:rPr>
      </w:pPr>
      <w:r w:rsidRPr="00E103B9">
        <w:rPr>
          <w:rFonts w:eastAsia="Calibri"/>
          <w:sz w:val="28"/>
        </w:rPr>
        <w:t>Доля расходов на социальную политику в общем объеме расходов федерального бюджета в 2023-2025 гг. увеличится по сравнению с 2022 г. (с 23,4% в 2022 г. до 25,7% в 2025 г.) (</w:t>
      </w:r>
      <w:r w:rsidRPr="00E103B9">
        <w:rPr>
          <w:rFonts w:eastAsia="Calibri"/>
          <w:i/>
          <w:iCs/>
          <w:sz w:val="28"/>
        </w:rPr>
        <w:t xml:space="preserve">таблица </w:t>
      </w:r>
      <w:r w:rsidR="00415CF0" w:rsidRPr="00E103B9">
        <w:rPr>
          <w:rFonts w:eastAsia="Calibri"/>
          <w:i/>
          <w:iCs/>
          <w:sz w:val="28"/>
        </w:rPr>
        <w:t>2</w:t>
      </w:r>
      <w:r w:rsidR="007931B0" w:rsidRPr="00E103B9">
        <w:rPr>
          <w:rFonts w:eastAsia="Calibri"/>
          <w:i/>
          <w:iCs/>
          <w:sz w:val="28"/>
        </w:rPr>
        <w:t>8</w:t>
      </w:r>
      <w:r w:rsidRPr="00E103B9">
        <w:rPr>
          <w:rFonts w:eastAsia="Calibri"/>
          <w:sz w:val="28"/>
        </w:rPr>
        <w:t>).</w:t>
      </w:r>
    </w:p>
    <w:p w14:paraId="5CE30B8D" w14:textId="40151380" w:rsidR="00B54516" w:rsidRPr="008637AE" w:rsidRDefault="00B54516" w:rsidP="00B54516">
      <w:pPr>
        <w:spacing w:after="60"/>
        <w:ind w:firstLine="709"/>
        <w:jc w:val="right"/>
        <w:rPr>
          <w:i/>
          <w:iCs/>
        </w:rPr>
      </w:pPr>
      <w:r w:rsidRPr="008637AE">
        <w:rPr>
          <w:i/>
          <w:iCs/>
        </w:rPr>
        <w:t xml:space="preserve">Таблица </w:t>
      </w:r>
      <w:r w:rsidR="00415CF0" w:rsidRPr="008637AE">
        <w:rPr>
          <w:i/>
          <w:iCs/>
        </w:rPr>
        <w:t>2</w:t>
      </w:r>
      <w:r w:rsidR="007931B0" w:rsidRPr="008637AE">
        <w:rPr>
          <w:i/>
          <w:iCs/>
        </w:rPr>
        <w:t>8</w:t>
      </w:r>
    </w:p>
    <w:p w14:paraId="0D3F1AA9" w14:textId="77777777" w:rsidR="00B54516" w:rsidRPr="009D5B83" w:rsidRDefault="00B54516" w:rsidP="00B54516">
      <w:pPr>
        <w:spacing w:after="60"/>
        <w:jc w:val="center"/>
        <w:rPr>
          <w:b/>
          <w:bCs/>
        </w:rPr>
      </w:pPr>
      <w:r w:rsidRPr="008637AE">
        <w:rPr>
          <w:b/>
          <w:bCs/>
        </w:rPr>
        <w:t>Динамика расходов на «Социаль</w:t>
      </w:r>
      <w:r w:rsidRPr="009D5B83">
        <w:rPr>
          <w:b/>
          <w:bCs/>
        </w:rPr>
        <w:t xml:space="preserve">ную политику» в 2022-2025 гг., </w:t>
      </w:r>
      <w:proofErr w:type="gramStart"/>
      <w:r w:rsidRPr="009D5B83">
        <w:rPr>
          <w:b/>
          <w:bCs/>
        </w:rPr>
        <w:t>млрд</w:t>
      </w:r>
      <w:proofErr w:type="gramEnd"/>
      <w:r w:rsidRPr="009D5B83">
        <w:rPr>
          <w:b/>
          <w:bCs/>
        </w:rPr>
        <w:t xml:space="preserve"> руб.</w:t>
      </w:r>
    </w:p>
    <w:p w14:paraId="48EE713A" w14:textId="77777777" w:rsidR="00B54516" w:rsidRPr="009D5B83" w:rsidRDefault="00B54516" w:rsidP="00B54516">
      <w:pPr>
        <w:ind w:firstLine="540"/>
        <w:jc w:val="right"/>
        <w:rPr>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944"/>
        <w:gridCol w:w="942"/>
        <w:gridCol w:w="786"/>
        <w:gridCol w:w="659"/>
        <w:gridCol w:w="911"/>
        <w:gridCol w:w="786"/>
        <w:gridCol w:w="748"/>
        <w:gridCol w:w="825"/>
        <w:gridCol w:w="842"/>
        <w:gridCol w:w="1090"/>
      </w:tblGrid>
      <w:tr w:rsidR="00B54516" w:rsidRPr="009D5B83" w14:paraId="0634C68D" w14:textId="77777777" w:rsidTr="006C084D">
        <w:trPr>
          <w:trHeight w:val="188"/>
          <w:tblHeader/>
        </w:trPr>
        <w:tc>
          <w:tcPr>
            <w:tcW w:w="906" w:type="pct"/>
            <w:vMerge w:val="restart"/>
            <w:shd w:val="clear" w:color="auto" w:fill="auto"/>
            <w:vAlign w:val="center"/>
          </w:tcPr>
          <w:p w14:paraId="7E7AA1DF" w14:textId="77777777" w:rsidR="00B54516" w:rsidRPr="002F412C" w:rsidRDefault="00B54516" w:rsidP="00B54516">
            <w:pPr>
              <w:jc w:val="center"/>
              <w:rPr>
                <w:b/>
                <w:bCs/>
                <w:sz w:val="18"/>
                <w:szCs w:val="18"/>
              </w:rPr>
            </w:pPr>
            <w:r w:rsidRPr="002F412C">
              <w:rPr>
                <w:b/>
                <w:bCs/>
                <w:sz w:val="18"/>
                <w:szCs w:val="18"/>
              </w:rPr>
              <w:t>Наименования разделов</w:t>
            </w:r>
          </w:p>
        </w:tc>
        <w:tc>
          <w:tcPr>
            <w:tcW w:w="453" w:type="pct"/>
            <w:vMerge w:val="restart"/>
            <w:shd w:val="clear" w:color="auto" w:fill="auto"/>
            <w:tcMar>
              <w:left w:w="57" w:type="dxa"/>
              <w:right w:w="57" w:type="dxa"/>
            </w:tcMar>
            <w:vAlign w:val="center"/>
          </w:tcPr>
          <w:p w14:paraId="41A0E61E" w14:textId="0ACC185B" w:rsidR="00B54516" w:rsidRPr="002F412C" w:rsidRDefault="00B54516" w:rsidP="00B54516">
            <w:pPr>
              <w:ind w:hanging="55"/>
              <w:jc w:val="center"/>
              <w:rPr>
                <w:b/>
                <w:bCs/>
                <w:color w:val="000000"/>
                <w:spacing w:val="-8"/>
                <w:sz w:val="18"/>
                <w:szCs w:val="18"/>
              </w:rPr>
            </w:pPr>
            <w:r w:rsidRPr="002F412C">
              <w:rPr>
                <w:b/>
                <w:bCs/>
                <w:spacing w:val="-8"/>
                <w:sz w:val="18"/>
                <w:szCs w:val="18"/>
              </w:rPr>
              <w:t>2022 г</w:t>
            </w:r>
            <w:r w:rsidRPr="009D5B83">
              <w:rPr>
                <w:b/>
                <w:bCs/>
                <w:spacing w:val="-8"/>
                <w:sz w:val="18"/>
                <w:szCs w:val="18"/>
              </w:rPr>
              <w:t>.</w:t>
            </w:r>
            <w:r w:rsidRPr="002F412C">
              <w:rPr>
                <w:b/>
                <w:bCs/>
                <w:spacing w:val="-8"/>
                <w:sz w:val="18"/>
                <w:szCs w:val="18"/>
              </w:rPr>
              <w:br/>
              <w:t>(роспись на 1.09.2022)</w:t>
            </w:r>
          </w:p>
        </w:tc>
        <w:tc>
          <w:tcPr>
            <w:tcW w:w="1145" w:type="pct"/>
            <w:gridSpan w:val="3"/>
            <w:shd w:val="clear" w:color="auto" w:fill="auto"/>
            <w:vAlign w:val="center"/>
          </w:tcPr>
          <w:p w14:paraId="54A8DB59" w14:textId="52CF138E" w:rsidR="00B54516" w:rsidRPr="002F412C" w:rsidRDefault="00B54516" w:rsidP="00B54516">
            <w:pPr>
              <w:ind w:left="-51" w:hanging="4"/>
              <w:jc w:val="center"/>
              <w:rPr>
                <w:b/>
                <w:bCs/>
                <w:color w:val="000000"/>
                <w:sz w:val="18"/>
                <w:szCs w:val="18"/>
              </w:rPr>
            </w:pPr>
            <w:r w:rsidRPr="002F412C">
              <w:rPr>
                <w:b/>
                <w:bCs/>
                <w:sz w:val="18"/>
                <w:szCs w:val="18"/>
              </w:rPr>
              <w:t>2023 г</w:t>
            </w:r>
            <w:r w:rsidRPr="009D5B83">
              <w:rPr>
                <w:b/>
                <w:bCs/>
                <w:sz w:val="18"/>
                <w:szCs w:val="18"/>
              </w:rPr>
              <w:t>.</w:t>
            </w:r>
          </w:p>
        </w:tc>
        <w:tc>
          <w:tcPr>
            <w:tcW w:w="1173" w:type="pct"/>
            <w:gridSpan w:val="3"/>
            <w:vAlign w:val="center"/>
          </w:tcPr>
          <w:p w14:paraId="6CF3C5FD" w14:textId="6D2E06C6" w:rsidR="00B54516" w:rsidRPr="002F412C" w:rsidRDefault="00B54516" w:rsidP="00B54516">
            <w:pPr>
              <w:ind w:hanging="55"/>
              <w:jc w:val="center"/>
              <w:rPr>
                <w:b/>
                <w:bCs/>
                <w:color w:val="000000"/>
                <w:sz w:val="18"/>
                <w:szCs w:val="18"/>
              </w:rPr>
            </w:pPr>
            <w:r w:rsidRPr="002F412C">
              <w:rPr>
                <w:b/>
                <w:bCs/>
                <w:sz w:val="18"/>
                <w:szCs w:val="18"/>
              </w:rPr>
              <w:t>2024 г</w:t>
            </w:r>
            <w:r w:rsidRPr="009D5B83">
              <w:rPr>
                <w:b/>
                <w:bCs/>
                <w:sz w:val="18"/>
                <w:szCs w:val="18"/>
              </w:rPr>
              <w:t>.</w:t>
            </w:r>
          </w:p>
        </w:tc>
        <w:tc>
          <w:tcPr>
            <w:tcW w:w="1323" w:type="pct"/>
            <w:gridSpan w:val="3"/>
          </w:tcPr>
          <w:p w14:paraId="5EFF60E3" w14:textId="19C6D21E" w:rsidR="00B54516" w:rsidRPr="002F412C" w:rsidRDefault="00B54516" w:rsidP="00B54516">
            <w:pPr>
              <w:ind w:hanging="55"/>
              <w:jc w:val="center"/>
              <w:rPr>
                <w:b/>
                <w:bCs/>
                <w:color w:val="000000"/>
                <w:sz w:val="18"/>
                <w:szCs w:val="18"/>
              </w:rPr>
            </w:pPr>
            <w:r w:rsidRPr="002F412C">
              <w:rPr>
                <w:b/>
                <w:bCs/>
                <w:sz w:val="18"/>
                <w:szCs w:val="18"/>
              </w:rPr>
              <w:t>2025 г</w:t>
            </w:r>
            <w:r w:rsidRPr="009D5B83">
              <w:rPr>
                <w:b/>
                <w:bCs/>
                <w:sz w:val="18"/>
                <w:szCs w:val="18"/>
              </w:rPr>
              <w:t>.</w:t>
            </w:r>
          </w:p>
        </w:tc>
      </w:tr>
      <w:tr w:rsidR="00B54516" w:rsidRPr="009D5B83" w14:paraId="481F59A0" w14:textId="77777777" w:rsidTr="006C084D">
        <w:trPr>
          <w:trHeight w:val="188"/>
          <w:tblHeader/>
        </w:trPr>
        <w:tc>
          <w:tcPr>
            <w:tcW w:w="906" w:type="pct"/>
            <w:vMerge/>
            <w:shd w:val="clear" w:color="auto" w:fill="auto"/>
            <w:vAlign w:val="center"/>
          </w:tcPr>
          <w:p w14:paraId="31B1B9C8" w14:textId="77777777" w:rsidR="00B54516" w:rsidRPr="009D5B83" w:rsidRDefault="00B54516" w:rsidP="00B54516">
            <w:pPr>
              <w:rPr>
                <w:sz w:val="18"/>
                <w:szCs w:val="18"/>
              </w:rPr>
            </w:pPr>
          </w:p>
        </w:tc>
        <w:tc>
          <w:tcPr>
            <w:tcW w:w="453" w:type="pct"/>
            <w:vMerge/>
            <w:shd w:val="clear" w:color="auto" w:fill="auto"/>
            <w:vAlign w:val="center"/>
          </w:tcPr>
          <w:p w14:paraId="0A310E18" w14:textId="77777777" w:rsidR="00B54516" w:rsidRPr="009D5B83" w:rsidRDefault="00B54516" w:rsidP="00B54516">
            <w:pPr>
              <w:jc w:val="center"/>
              <w:rPr>
                <w:sz w:val="18"/>
                <w:szCs w:val="18"/>
              </w:rPr>
            </w:pPr>
          </w:p>
        </w:tc>
        <w:tc>
          <w:tcPr>
            <w:tcW w:w="452" w:type="pct"/>
            <w:shd w:val="clear" w:color="auto" w:fill="auto"/>
            <w:tcMar>
              <w:left w:w="28" w:type="dxa"/>
              <w:right w:w="28" w:type="dxa"/>
            </w:tcMar>
            <w:vAlign w:val="center"/>
          </w:tcPr>
          <w:p w14:paraId="16F6596E" w14:textId="46180196" w:rsidR="00B54516" w:rsidRPr="002F412C" w:rsidRDefault="00B54516" w:rsidP="00B54516">
            <w:pPr>
              <w:jc w:val="center"/>
              <w:rPr>
                <w:b/>
                <w:bCs/>
                <w:spacing w:val="-8"/>
                <w:sz w:val="18"/>
                <w:szCs w:val="18"/>
              </w:rPr>
            </w:pPr>
            <w:r w:rsidRPr="009D5B83">
              <w:rPr>
                <w:b/>
                <w:bCs/>
                <w:color w:val="000000"/>
                <w:spacing w:val="-8"/>
                <w:kern w:val="24"/>
                <w:sz w:val="18"/>
                <w:szCs w:val="18"/>
              </w:rPr>
              <w:t>Закон №</w:t>
            </w:r>
            <w:r w:rsidRPr="002F412C">
              <w:rPr>
                <w:b/>
                <w:bCs/>
                <w:color w:val="000000"/>
                <w:spacing w:val="-8"/>
                <w:kern w:val="24"/>
                <w:sz w:val="18"/>
                <w:szCs w:val="18"/>
              </w:rPr>
              <w:t>390-ФЗ</w:t>
            </w:r>
          </w:p>
        </w:tc>
        <w:tc>
          <w:tcPr>
            <w:tcW w:w="377" w:type="pct"/>
            <w:shd w:val="clear" w:color="auto" w:fill="auto"/>
            <w:tcMar>
              <w:left w:w="28" w:type="dxa"/>
              <w:right w:w="28" w:type="dxa"/>
            </w:tcMar>
            <w:vAlign w:val="center"/>
          </w:tcPr>
          <w:p w14:paraId="03D198F9" w14:textId="77777777" w:rsidR="00B54516" w:rsidRPr="002F412C" w:rsidRDefault="00B54516" w:rsidP="00B54516">
            <w:pPr>
              <w:jc w:val="center"/>
              <w:rPr>
                <w:b/>
                <w:bCs/>
                <w:spacing w:val="-8"/>
                <w:sz w:val="18"/>
                <w:szCs w:val="18"/>
              </w:rPr>
            </w:pPr>
            <w:proofErr w:type="spellStart"/>
            <w:proofErr w:type="gramStart"/>
            <w:r w:rsidRPr="002F412C">
              <w:rPr>
                <w:b/>
                <w:bCs/>
                <w:color w:val="000000"/>
                <w:spacing w:val="-8"/>
                <w:kern w:val="24"/>
                <w:sz w:val="18"/>
                <w:szCs w:val="18"/>
              </w:rPr>
              <w:t>Законо</w:t>
            </w:r>
            <w:proofErr w:type="spellEnd"/>
            <w:r w:rsidRPr="002F412C">
              <w:rPr>
                <w:b/>
                <w:bCs/>
                <w:color w:val="000000"/>
                <w:spacing w:val="-8"/>
                <w:kern w:val="24"/>
                <w:sz w:val="18"/>
                <w:szCs w:val="18"/>
              </w:rPr>
              <w:t>-проект</w:t>
            </w:r>
            <w:proofErr w:type="gramEnd"/>
          </w:p>
        </w:tc>
        <w:tc>
          <w:tcPr>
            <w:tcW w:w="316" w:type="pct"/>
            <w:tcMar>
              <w:left w:w="28" w:type="dxa"/>
              <w:right w:w="28" w:type="dxa"/>
            </w:tcMar>
            <w:vAlign w:val="center"/>
          </w:tcPr>
          <w:p w14:paraId="1AE62AED" w14:textId="77777777" w:rsidR="00B54516" w:rsidRPr="002F412C" w:rsidRDefault="00B54516" w:rsidP="00B54516">
            <w:pPr>
              <w:jc w:val="center"/>
              <w:rPr>
                <w:b/>
                <w:bCs/>
                <w:spacing w:val="-8"/>
                <w:sz w:val="18"/>
                <w:szCs w:val="18"/>
              </w:rPr>
            </w:pPr>
            <w:r w:rsidRPr="002F412C">
              <w:rPr>
                <w:b/>
                <w:bCs/>
                <w:spacing w:val="-8"/>
                <w:sz w:val="18"/>
                <w:szCs w:val="18"/>
              </w:rPr>
              <w:t>Δ к закону, %</w:t>
            </w:r>
          </w:p>
        </w:tc>
        <w:tc>
          <w:tcPr>
            <w:tcW w:w="437" w:type="pct"/>
            <w:tcMar>
              <w:left w:w="28" w:type="dxa"/>
              <w:right w:w="28" w:type="dxa"/>
            </w:tcMar>
            <w:vAlign w:val="center"/>
          </w:tcPr>
          <w:p w14:paraId="0B098EDB" w14:textId="71296121" w:rsidR="00B54516" w:rsidRPr="002F412C" w:rsidRDefault="00B54516" w:rsidP="00B54516">
            <w:pPr>
              <w:jc w:val="center"/>
              <w:rPr>
                <w:b/>
                <w:bCs/>
                <w:spacing w:val="-8"/>
                <w:sz w:val="18"/>
                <w:szCs w:val="18"/>
              </w:rPr>
            </w:pPr>
            <w:r w:rsidRPr="009D5B83">
              <w:rPr>
                <w:b/>
                <w:bCs/>
                <w:color w:val="000000"/>
                <w:spacing w:val="-8"/>
                <w:kern w:val="24"/>
                <w:sz w:val="18"/>
                <w:szCs w:val="18"/>
              </w:rPr>
              <w:t>Закон №</w:t>
            </w:r>
            <w:r w:rsidRPr="002F412C">
              <w:rPr>
                <w:b/>
                <w:bCs/>
                <w:color w:val="000000"/>
                <w:spacing w:val="-8"/>
                <w:kern w:val="24"/>
                <w:sz w:val="18"/>
                <w:szCs w:val="18"/>
              </w:rPr>
              <w:t>390-ФЗ</w:t>
            </w:r>
          </w:p>
        </w:tc>
        <w:tc>
          <w:tcPr>
            <w:tcW w:w="377" w:type="pct"/>
            <w:shd w:val="clear" w:color="auto" w:fill="auto"/>
            <w:tcMar>
              <w:left w:w="28" w:type="dxa"/>
              <w:right w:w="28" w:type="dxa"/>
            </w:tcMar>
            <w:vAlign w:val="center"/>
          </w:tcPr>
          <w:p w14:paraId="08BA2959" w14:textId="77777777" w:rsidR="00B54516" w:rsidRPr="002F412C" w:rsidRDefault="00B54516" w:rsidP="00B54516">
            <w:pPr>
              <w:jc w:val="center"/>
              <w:rPr>
                <w:b/>
                <w:bCs/>
                <w:spacing w:val="-8"/>
                <w:sz w:val="18"/>
                <w:szCs w:val="18"/>
              </w:rPr>
            </w:pPr>
            <w:proofErr w:type="spellStart"/>
            <w:proofErr w:type="gramStart"/>
            <w:r w:rsidRPr="002F412C">
              <w:rPr>
                <w:b/>
                <w:bCs/>
                <w:color w:val="000000"/>
                <w:spacing w:val="-8"/>
                <w:kern w:val="24"/>
                <w:sz w:val="18"/>
                <w:szCs w:val="18"/>
              </w:rPr>
              <w:t>Законо</w:t>
            </w:r>
            <w:proofErr w:type="spellEnd"/>
            <w:r w:rsidRPr="002F412C">
              <w:rPr>
                <w:b/>
                <w:bCs/>
                <w:color w:val="000000"/>
                <w:spacing w:val="-8"/>
                <w:kern w:val="24"/>
                <w:sz w:val="18"/>
                <w:szCs w:val="18"/>
              </w:rPr>
              <w:t>-проект</w:t>
            </w:r>
            <w:proofErr w:type="gramEnd"/>
          </w:p>
        </w:tc>
        <w:tc>
          <w:tcPr>
            <w:tcW w:w="359" w:type="pct"/>
            <w:tcMar>
              <w:left w:w="28" w:type="dxa"/>
              <w:right w:w="28" w:type="dxa"/>
            </w:tcMar>
            <w:vAlign w:val="center"/>
          </w:tcPr>
          <w:p w14:paraId="68D1013D" w14:textId="77777777" w:rsidR="00B54516" w:rsidRPr="002F412C" w:rsidRDefault="00B54516" w:rsidP="00B54516">
            <w:pPr>
              <w:jc w:val="center"/>
              <w:rPr>
                <w:b/>
                <w:bCs/>
                <w:spacing w:val="-8"/>
                <w:sz w:val="18"/>
                <w:szCs w:val="18"/>
              </w:rPr>
            </w:pPr>
            <w:r w:rsidRPr="002F412C">
              <w:rPr>
                <w:b/>
                <w:bCs/>
                <w:spacing w:val="-8"/>
                <w:sz w:val="18"/>
                <w:szCs w:val="18"/>
              </w:rPr>
              <w:t>Δ к закону, %</w:t>
            </w:r>
          </w:p>
        </w:tc>
        <w:tc>
          <w:tcPr>
            <w:tcW w:w="396" w:type="pct"/>
            <w:tcMar>
              <w:left w:w="28" w:type="dxa"/>
              <w:right w:w="28" w:type="dxa"/>
            </w:tcMar>
            <w:vAlign w:val="center"/>
          </w:tcPr>
          <w:p w14:paraId="35296D0F" w14:textId="77777777" w:rsidR="00B54516" w:rsidRPr="002F412C" w:rsidRDefault="00B54516" w:rsidP="00B54516">
            <w:pPr>
              <w:jc w:val="center"/>
              <w:rPr>
                <w:b/>
                <w:bCs/>
                <w:color w:val="000000"/>
                <w:spacing w:val="-8"/>
                <w:kern w:val="24"/>
                <w:sz w:val="18"/>
                <w:szCs w:val="18"/>
              </w:rPr>
            </w:pPr>
            <w:proofErr w:type="gramStart"/>
            <w:r w:rsidRPr="002F412C">
              <w:rPr>
                <w:b/>
                <w:bCs/>
                <w:color w:val="000000"/>
                <w:spacing w:val="-8"/>
                <w:kern w:val="24"/>
                <w:sz w:val="18"/>
                <w:szCs w:val="18"/>
              </w:rPr>
              <w:t>Бюджет-</w:t>
            </w:r>
            <w:proofErr w:type="spellStart"/>
            <w:r w:rsidRPr="002F412C">
              <w:rPr>
                <w:b/>
                <w:bCs/>
                <w:color w:val="000000"/>
                <w:spacing w:val="-8"/>
                <w:kern w:val="24"/>
                <w:sz w:val="18"/>
                <w:szCs w:val="18"/>
              </w:rPr>
              <w:t>ный</w:t>
            </w:r>
            <w:proofErr w:type="spellEnd"/>
            <w:proofErr w:type="gramEnd"/>
            <w:r w:rsidRPr="002F412C">
              <w:rPr>
                <w:b/>
                <w:bCs/>
                <w:color w:val="000000"/>
                <w:spacing w:val="-8"/>
                <w:kern w:val="24"/>
                <w:sz w:val="18"/>
                <w:szCs w:val="18"/>
              </w:rPr>
              <w:t xml:space="preserve"> прогноз</w:t>
            </w:r>
          </w:p>
        </w:tc>
        <w:tc>
          <w:tcPr>
            <w:tcW w:w="404" w:type="pct"/>
            <w:shd w:val="clear" w:color="auto" w:fill="auto"/>
            <w:tcMar>
              <w:left w:w="28" w:type="dxa"/>
              <w:right w:w="28" w:type="dxa"/>
            </w:tcMar>
            <w:vAlign w:val="center"/>
          </w:tcPr>
          <w:p w14:paraId="1149A182" w14:textId="77777777" w:rsidR="00B54516" w:rsidRPr="002F412C" w:rsidRDefault="00B54516" w:rsidP="00B54516">
            <w:pPr>
              <w:jc w:val="center"/>
              <w:rPr>
                <w:b/>
                <w:bCs/>
                <w:color w:val="000000"/>
                <w:spacing w:val="-8"/>
                <w:kern w:val="24"/>
                <w:sz w:val="18"/>
                <w:szCs w:val="18"/>
              </w:rPr>
            </w:pPr>
            <w:proofErr w:type="spellStart"/>
            <w:r w:rsidRPr="002F412C">
              <w:rPr>
                <w:b/>
                <w:bCs/>
                <w:color w:val="000000"/>
                <w:spacing w:val="-8"/>
                <w:kern w:val="24"/>
                <w:sz w:val="18"/>
                <w:szCs w:val="18"/>
              </w:rPr>
              <w:t>Законо</w:t>
            </w:r>
            <w:proofErr w:type="spellEnd"/>
            <w:r w:rsidRPr="002F412C">
              <w:rPr>
                <w:b/>
                <w:bCs/>
                <w:color w:val="000000"/>
                <w:spacing w:val="-8"/>
                <w:kern w:val="24"/>
                <w:sz w:val="18"/>
                <w:szCs w:val="18"/>
              </w:rPr>
              <w:t>-</w:t>
            </w:r>
          </w:p>
          <w:p w14:paraId="50C5AF86" w14:textId="77777777" w:rsidR="00B54516" w:rsidRPr="002F412C" w:rsidRDefault="00B54516" w:rsidP="00B54516">
            <w:pPr>
              <w:jc w:val="center"/>
              <w:rPr>
                <w:b/>
                <w:bCs/>
                <w:spacing w:val="-8"/>
                <w:sz w:val="18"/>
                <w:szCs w:val="18"/>
              </w:rPr>
            </w:pPr>
            <w:r w:rsidRPr="002F412C">
              <w:rPr>
                <w:b/>
                <w:bCs/>
                <w:color w:val="000000"/>
                <w:spacing w:val="-8"/>
                <w:kern w:val="24"/>
                <w:sz w:val="18"/>
                <w:szCs w:val="18"/>
              </w:rPr>
              <w:t>проект</w:t>
            </w:r>
          </w:p>
        </w:tc>
        <w:tc>
          <w:tcPr>
            <w:tcW w:w="523" w:type="pct"/>
            <w:tcMar>
              <w:left w:w="28" w:type="dxa"/>
              <w:right w:w="28" w:type="dxa"/>
            </w:tcMar>
            <w:vAlign w:val="center"/>
          </w:tcPr>
          <w:p w14:paraId="4AEB8377" w14:textId="77777777" w:rsidR="00B54516" w:rsidRPr="002F412C" w:rsidRDefault="00B54516" w:rsidP="00B54516">
            <w:pPr>
              <w:jc w:val="center"/>
              <w:rPr>
                <w:b/>
                <w:bCs/>
                <w:spacing w:val="-8"/>
                <w:sz w:val="18"/>
                <w:szCs w:val="18"/>
              </w:rPr>
            </w:pPr>
            <w:r w:rsidRPr="002F412C">
              <w:rPr>
                <w:b/>
                <w:bCs/>
                <w:spacing w:val="-8"/>
                <w:sz w:val="18"/>
                <w:szCs w:val="18"/>
              </w:rPr>
              <w:t>Δ к Бюджетному прогнозу, %</w:t>
            </w:r>
          </w:p>
        </w:tc>
      </w:tr>
      <w:tr w:rsidR="00B54516" w:rsidRPr="009D5B83" w14:paraId="327400BB" w14:textId="77777777" w:rsidTr="006C084D">
        <w:trPr>
          <w:trHeight w:val="188"/>
        </w:trPr>
        <w:tc>
          <w:tcPr>
            <w:tcW w:w="906" w:type="pct"/>
            <w:shd w:val="clear" w:color="auto" w:fill="auto"/>
            <w:vAlign w:val="center"/>
          </w:tcPr>
          <w:p w14:paraId="75BE3074" w14:textId="77777777" w:rsidR="00B54516" w:rsidRPr="009D5B83" w:rsidRDefault="00B54516" w:rsidP="00B54516">
            <w:pPr>
              <w:rPr>
                <w:sz w:val="20"/>
                <w:szCs w:val="20"/>
              </w:rPr>
            </w:pPr>
            <w:r w:rsidRPr="009D5B83">
              <w:rPr>
                <w:color w:val="000000"/>
                <w:kern w:val="24"/>
                <w:sz w:val="20"/>
                <w:szCs w:val="20"/>
              </w:rPr>
              <w:t xml:space="preserve">Социальная политика </w:t>
            </w:r>
          </w:p>
        </w:tc>
        <w:tc>
          <w:tcPr>
            <w:tcW w:w="453" w:type="pct"/>
            <w:shd w:val="clear" w:color="auto" w:fill="auto"/>
            <w:tcMar>
              <w:left w:w="57" w:type="dxa"/>
              <w:right w:w="57" w:type="dxa"/>
            </w:tcMar>
            <w:vAlign w:val="center"/>
          </w:tcPr>
          <w:p w14:paraId="1C55D079" w14:textId="77777777" w:rsidR="00B54516" w:rsidRPr="009D5B83" w:rsidRDefault="00B54516" w:rsidP="00B54516">
            <w:pPr>
              <w:ind w:left="-54" w:right="-77"/>
              <w:jc w:val="center"/>
              <w:rPr>
                <w:sz w:val="20"/>
                <w:szCs w:val="20"/>
              </w:rPr>
            </w:pPr>
            <w:r w:rsidRPr="009D5B83">
              <w:rPr>
                <w:color w:val="000000"/>
                <w:sz w:val="20"/>
                <w:szCs w:val="20"/>
              </w:rPr>
              <w:t>6 453,3</w:t>
            </w:r>
          </w:p>
        </w:tc>
        <w:tc>
          <w:tcPr>
            <w:tcW w:w="452" w:type="pct"/>
            <w:shd w:val="clear" w:color="auto" w:fill="auto"/>
            <w:tcMar>
              <w:left w:w="57" w:type="dxa"/>
              <w:right w:w="57" w:type="dxa"/>
            </w:tcMar>
            <w:vAlign w:val="center"/>
          </w:tcPr>
          <w:p w14:paraId="232B6F07" w14:textId="77777777" w:rsidR="00B54516" w:rsidRPr="009D5B83" w:rsidRDefault="00B54516" w:rsidP="00B54516">
            <w:pPr>
              <w:ind w:left="-43" w:right="-57"/>
              <w:jc w:val="center"/>
              <w:rPr>
                <w:sz w:val="20"/>
                <w:szCs w:val="20"/>
              </w:rPr>
            </w:pPr>
            <w:r w:rsidRPr="009D5B83">
              <w:rPr>
                <w:color w:val="000000"/>
                <w:sz w:val="20"/>
                <w:szCs w:val="20"/>
              </w:rPr>
              <w:t>6 284,9</w:t>
            </w:r>
          </w:p>
        </w:tc>
        <w:tc>
          <w:tcPr>
            <w:tcW w:w="377" w:type="pct"/>
            <w:shd w:val="clear" w:color="auto" w:fill="auto"/>
            <w:tcMar>
              <w:left w:w="57" w:type="dxa"/>
              <w:right w:w="57" w:type="dxa"/>
            </w:tcMar>
            <w:vAlign w:val="center"/>
          </w:tcPr>
          <w:p w14:paraId="544F1471" w14:textId="77777777" w:rsidR="00B54516" w:rsidRPr="009D5B83" w:rsidRDefault="00B54516" w:rsidP="00B54516">
            <w:pPr>
              <w:ind w:left="-53" w:right="-58"/>
              <w:jc w:val="center"/>
              <w:rPr>
                <w:sz w:val="20"/>
                <w:szCs w:val="20"/>
              </w:rPr>
            </w:pPr>
            <w:r w:rsidRPr="009D5B83">
              <w:rPr>
                <w:color w:val="000000"/>
                <w:sz w:val="20"/>
                <w:szCs w:val="20"/>
              </w:rPr>
              <w:t>7 343,1</w:t>
            </w:r>
          </w:p>
        </w:tc>
        <w:tc>
          <w:tcPr>
            <w:tcW w:w="316" w:type="pct"/>
            <w:tcMar>
              <w:left w:w="57" w:type="dxa"/>
              <w:right w:w="57" w:type="dxa"/>
            </w:tcMar>
            <w:vAlign w:val="center"/>
          </w:tcPr>
          <w:p w14:paraId="78D01607" w14:textId="77777777" w:rsidR="00B54516" w:rsidRPr="009D5B83" w:rsidRDefault="00B54516" w:rsidP="00B54516">
            <w:pPr>
              <w:jc w:val="center"/>
              <w:rPr>
                <w:sz w:val="20"/>
                <w:szCs w:val="20"/>
              </w:rPr>
            </w:pPr>
            <w:r w:rsidRPr="009D5B83">
              <w:rPr>
                <w:i/>
                <w:iCs/>
                <w:color w:val="000000"/>
                <w:sz w:val="20"/>
                <w:szCs w:val="20"/>
              </w:rPr>
              <w:t>116,8</w:t>
            </w:r>
          </w:p>
        </w:tc>
        <w:tc>
          <w:tcPr>
            <w:tcW w:w="437" w:type="pct"/>
            <w:tcMar>
              <w:left w:w="57" w:type="dxa"/>
              <w:right w:w="57" w:type="dxa"/>
            </w:tcMar>
            <w:vAlign w:val="center"/>
          </w:tcPr>
          <w:p w14:paraId="61EA08B8" w14:textId="77777777" w:rsidR="00B54516" w:rsidRPr="009D5B83" w:rsidRDefault="00B54516" w:rsidP="00B54516">
            <w:pPr>
              <w:ind w:left="-75" w:right="-85"/>
              <w:jc w:val="center"/>
              <w:rPr>
                <w:sz w:val="20"/>
                <w:szCs w:val="20"/>
              </w:rPr>
            </w:pPr>
            <w:r w:rsidRPr="009D5B83">
              <w:rPr>
                <w:color w:val="000000"/>
                <w:sz w:val="20"/>
                <w:szCs w:val="20"/>
              </w:rPr>
              <w:t>6 351,1</w:t>
            </w:r>
          </w:p>
        </w:tc>
        <w:tc>
          <w:tcPr>
            <w:tcW w:w="377" w:type="pct"/>
            <w:shd w:val="clear" w:color="auto" w:fill="auto"/>
            <w:tcMar>
              <w:left w:w="57" w:type="dxa"/>
              <w:right w:w="57" w:type="dxa"/>
            </w:tcMar>
            <w:vAlign w:val="center"/>
          </w:tcPr>
          <w:p w14:paraId="6A5D768C" w14:textId="77777777" w:rsidR="00B54516" w:rsidRPr="009D5B83" w:rsidRDefault="00B54516" w:rsidP="00B54516">
            <w:pPr>
              <w:ind w:left="-55" w:right="-56"/>
              <w:jc w:val="center"/>
              <w:rPr>
                <w:sz w:val="20"/>
                <w:szCs w:val="20"/>
              </w:rPr>
            </w:pPr>
            <w:r w:rsidRPr="009D5B83">
              <w:rPr>
                <w:color w:val="000000"/>
                <w:sz w:val="20"/>
                <w:szCs w:val="20"/>
              </w:rPr>
              <w:t>7 299,4</w:t>
            </w:r>
          </w:p>
        </w:tc>
        <w:tc>
          <w:tcPr>
            <w:tcW w:w="359" w:type="pct"/>
            <w:tcMar>
              <w:left w:w="57" w:type="dxa"/>
              <w:right w:w="57" w:type="dxa"/>
            </w:tcMar>
            <w:vAlign w:val="center"/>
          </w:tcPr>
          <w:p w14:paraId="1E99D4CB" w14:textId="77777777" w:rsidR="00B54516" w:rsidRPr="009D5B83" w:rsidRDefault="00B54516" w:rsidP="00B54516">
            <w:pPr>
              <w:jc w:val="center"/>
              <w:rPr>
                <w:sz w:val="20"/>
                <w:szCs w:val="20"/>
              </w:rPr>
            </w:pPr>
            <w:r w:rsidRPr="009D5B83">
              <w:rPr>
                <w:i/>
                <w:iCs/>
                <w:color w:val="000000"/>
                <w:sz w:val="20"/>
                <w:szCs w:val="20"/>
              </w:rPr>
              <w:t>114,9</w:t>
            </w:r>
          </w:p>
        </w:tc>
        <w:tc>
          <w:tcPr>
            <w:tcW w:w="396" w:type="pct"/>
            <w:tcMar>
              <w:left w:w="57" w:type="dxa"/>
              <w:right w:w="57" w:type="dxa"/>
            </w:tcMar>
            <w:vAlign w:val="center"/>
          </w:tcPr>
          <w:p w14:paraId="0E8533DC" w14:textId="77777777" w:rsidR="00B54516" w:rsidRPr="009D5B83" w:rsidRDefault="00B54516" w:rsidP="00B54516">
            <w:pPr>
              <w:ind w:left="-77" w:right="-43"/>
              <w:jc w:val="center"/>
              <w:rPr>
                <w:color w:val="000000"/>
                <w:sz w:val="20"/>
                <w:szCs w:val="20"/>
              </w:rPr>
            </w:pPr>
            <w:r w:rsidRPr="009D5B83">
              <w:rPr>
                <w:color w:val="000000"/>
                <w:sz w:val="20"/>
                <w:szCs w:val="20"/>
              </w:rPr>
              <w:t>6 597,1</w:t>
            </w:r>
          </w:p>
        </w:tc>
        <w:tc>
          <w:tcPr>
            <w:tcW w:w="404" w:type="pct"/>
            <w:shd w:val="clear" w:color="auto" w:fill="auto"/>
            <w:tcMar>
              <w:left w:w="57" w:type="dxa"/>
              <w:right w:w="57" w:type="dxa"/>
            </w:tcMar>
            <w:vAlign w:val="center"/>
          </w:tcPr>
          <w:p w14:paraId="272336AC" w14:textId="77777777" w:rsidR="00B54516" w:rsidRPr="009D5B83" w:rsidRDefault="00B54516" w:rsidP="00B54516">
            <w:pPr>
              <w:jc w:val="center"/>
              <w:rPr>
                <w:sz w:val="20"/>
                <w:szCs w:val="20"/>
              </w:rPr>
            </w:pPr>
            <w:r w:rsidRPr="009D5B83">
              <w:rPr>
                <w:color w:val="000000"/>
                <w:sz w:val="20"/>
                <w:szCs w:val="20"/>
              </w:rPr>
              <w:t>7 152,8</w:t>
            </w:r>
          </w:p>
        </w:tc>
        <w:tc>
          <w:tcPr>
            <w:tcW w:w="523" w:type="pct"/>
            <w:tcMar>
              <w:left w:w="57" w:type="dxa"/>
              <w:right w:w="57" w:type="dxa"/>
            </w:tcMar>
            <w:vAlign w:val="center"/>
          </w:tcPr>
          <w:p w14:paraId="0CF51D5C" w14:textId="77777777" w:rsidR="00B54516" w:rsidRPr="009D5B83" w:rsidRDefault="00B54516" w:rsidP="00B54516">
            <w:pPr>
              <w:jc w:val="center"/>
              <w:rPr>
                <w:sz w:val="20"/>
                <w:szCs w:val="20"/>
              </w:rPr>
            </w:pPr>
            <w:r w:rsidRPr="009D5B83">
              <w:rPr>
                <w:i/>
                <w:iCs/>
                <w:color w:val="000000"/>
                <w:sz w:val="20"/>
                <w:szCs w:val="20"/>
              </w:rPr>
              <w:t>108,4</w:t>
            </w:r>
          </w:p>
        </w:tc>
      </w:tr>
      <w:tr w:rsidR="00B54516" w:rsidRPr="009D5B83" w14:paraId="785B45CB" w14:textId="77777777" w:rsidTr="006C084D">
        <w:trPr>
          <w:trHeight w:val="188"/>
        </w:trPr>
        <w:tc>
          <w:tcPr>
            <w:tcW w:w="906" w:type="pct"/>
            <w:shd w:val="clear" w:color="auto" w:fill="auto"/>
            <w:vAlign w:val="center"/>
          </w:tcPr>
          <w:p w14:paraId="274CC327" w14:textId="77777777" w:rsidR="00B54516" w:rsidRPr="009D5B83" w:rsidRDefault="00B54516" w:rsidP="00B54516">
            <w:pPr>
              <w:rPr>
                <w:sz w:val="18"/>
                <w:szCs w:val="18"/>
              </w:rPr>
            </w:pPr>
            <w:r w:rsidRPr="009D5B83">
              <w:rPr>
                <w:i/>
                <w:color w:val="000000"/>
                <w:kern w:val="24"/>
                <w:sz w:val="18"/>
                <w:szCs w:val="18"/>
              </w:rPr>
              <w:t>%% к ВВП</w:t>
            </w:r>
          </w:p>
        </w:tc>
        <w:tc>
          <w:tcPr>
            <w:tcW w:w="453" w:type="pct"/>
            <w:shd w:val="clear" w:color="auto" w:fill="auto"/>
            <w:tcMar>
              <w:left w:w="57" w:type="dxa"/>
              <w:right w:w="57" w:type="dxa"/>
            </w:tcMar>
            <w:vAlign w:val="center"/>
          </w:tcPr>
          <w:p w14:paraId="46E77201" w14:textId="77777777" w:rsidR="00B54516" w:rsidRPr="002F412C" w:rsidRDefault="00B54516" w:rsidP="00B54516">
            <w:pPr>
              <w:jc w:val="center"/>
              <w:rPr>
                <w:color w:val="000000"/>
                <w:sz w:val="18"/>
                <w:szCs w:val="18"/>
              </w:rPr>
            </w:pPr>
            <w:r w:rsidRPr="002F412C">
              <w:rPr>
                <w:i/>
                <w:iCs/>
                <w:color w:val="000000"/>
                <w:sz w:val="18"/>
                <w:szCs w:val="18"/>
              </w:rPr>
              <w:t>4,4</w:t>
            </w:r>
          </w:p>
        </w:tc>
        <w:tc>
          <w:tcPr>
            <w:tcW w:w="452" w:type="pct"/>
            <w:shd w:val="clear" w:color="auto" w:fill="auto"/>
            <w:tcMar>
              <w:left w:w="57" w:type="dxa"/>
              <w:right w:w="57" w:type="dxa"/>
            </w:tcMar>
            <w:vAlign w:val="center"/>
          </w:tcPr>
          <w:p w14:paraId="380D6B1A" w14:textId="77777777" w:rsidR="00B54516" w:rsidRPr="002F412C" w:rsidRDefault="00B54516" w:rsidP="00B54516">
            <w:pPr>
              <w:jc w:val="center"/>
              <w:rPr>
                <w:color w:val="000000"/>
                <w:sz w:val="18"/>
                <w:szCs w:val="18"/>
              </w:rPr>
            </w:pPr>
            <w:r w:rsidRPr="002F412C">
              <w:rPr>
                <w:i/>
                <w:iCs/>
                <w:color w:val="000000"/>
                <w:sz w:val="18"/>
                <w:szCs w:val="18"/>
              </w:rPr>
              <w:t>4,4</w:t>
            </w:r>
          </w:p>
        </w:tc>
        <w:tc>
          <w:tcPr>
            <w:tcW w:w="377" w:type="pct"/>
            <w:shd w:val="clear" w:color="auto" w:fill="auto"/>
            <w:tcMar>
              <w:left w:w="57" w:type="dxa"/>
              <w:right w:w="57" w:type="dxa"/>
            </w:tcMar>
            <w:vAlign w:val="center"/>
          </w:tcPr>
          <w:p w14:paraId="75D29D02" w14:textId="77777777" w:rsidR="00B54516" w:rsidRPr="002F412C" w:rsidRDefault="00B54516" w:rsidP="00B54516">
            <w:pPr>
              <w:jc w:val="center"/>
              <w:rPr>
                <w:color w:val="000000"/>
                <w:sz w:val="18"/>
                <w:szCs w:val="18"/>
              </w:rPr>
            </w:pPr>
            <w:r w:rsidRPr="002F412C">
              <w:rPr>
                <w:i/>
                <w:iCs/>
                <w:color w:val="000000"/>
                <w:sz w:val="18"/>
                <w:szCs w:val="18"/>
              </w:rPr>
              <w:t>4,9</w:t>
            </w:r>
          </w:p>
        </w:tc>
        <w:tc>
          <w:tcPr>
            <w:tcW w:w="316" w:type="pct"/>
            <w:tcMar>
              <w:left w:w="57" w:type="dxa"/>
              <w:right w:w="57" w:type="dxa"/>
            </w:tcMar>
            <w:vAlign w:val="center"/>
          </w:tcPr>
          <w:p w14:paraId="2BDE4A64" w14:textId="77777777" w:rsidR="00B54516" w:rsidRPr="002F412C" w:rsidRDefault="00B54516" w:rsidP="00B54516">
            <w:pPr>
              <w:jc w:val="center"/>
              <w:rPr>
                <w:i/>
                <w:iCs/>
                <w:color w:val="000000"/>
                <w:sz w:val="18"/>
                <w:szCs w:val="18"/>
              </w:rPr>
            </w:pPr>
            <w:r w:rsidRPr="002F412C">
              <w:rPr>
                <w:i/>
                <w:iCs/>
                <w:color w:val="000000"/>
                <w:sz w:val="18"/>
                <w:szCs w:val="18"/>
              </w:rPr>
              <w:t> </w:t>
            </w:r>
          </w:p>
        </w:tc>
        <w:tc>
          <w:tcPr>
            <w:tcW w:w="437" w:type="pct"/>
            <w:tcMar>
              <w:left w:w="57" w:type="dxa"/>
              <w:right w:w="57" w:type="dxa"/>
            </w:tcMar>
            <w:vAlign w:val="center"/>
          </w:tcPr>
          <w:p w14:paraId="09D8B121" w14:textId="77777777" w:rsidR="00B54516" w:rsidRPr="002F412C" w:rsidRDefault="00B54516" w:rsidP="00B54516">
            <w:pPr>
              <w:jc w:val="center"/>
              <w:rPr>
                <w:color w:val="000000"/>
                <w:sz w:val="18"/>
                <w:szCs w:val="18"/>
              </w:rPr>
            </w:pPr>
            <w:r w:rsidRPr="002F412C">
              <w:rPr>
                <w:i/>
                <w:iCs/>
                <w:color w:val="000000"/>
                <w:sz w:val="18"/>
                <w:szCs w:val="18"/>
              </w:rPr>
              <w:t>4,2</w:t>
            </w:r>
          </w:p>
        </w:tc>
        <w:tc>
          <w:tcPr>
            <w:tcW w:w="377" w:type="pct"/>
            <w:shd w:val="clear" w:color="auto" w:fill="auto"/>
            <w:tcMar>
              <w:left w:w="57" w:type="dxa"/>
              <w:right w:w="57" w:type="dxa"/>
            </w:tcMar>
            <w:vAlign w:val="center"/>
          </w:tcPr>
          <w:p w14:paraId="590FE773" w14:textId="77777777" w:rsidR="00B54516" w:rsidRPr="002F412C" w:rsidRDefault="00B54516" w:rsidP="00B54516">
            <w:pPr>
              <w:jc w:val="center"/>
              <w:rPr>
                <w:color w:val="000000"/>
                <w:sz w:val="18"/>
                <w:szCs w:val="18"/>
              </w:rPr>
            </w:pPr>
            <w:r w:rsidRPr="002F412C">
              <w:rPr>
                <w:i/>
                <w:iCs/>
                <w:color w:val="000000"/>
                <w:sz w:val="18"/>
                <w:szCs w:val="18"/>
              </w:rPr>
              <w:t>4,6</w:t>
            </w:r>
          </w:p>
        </w:tc>
        <w:tc>
          <w:tcPr>
            <w:tcW w:w="359" w:type="pct"/>
            <w:tcMar>
              <w:left w:w="57" w:type="dxa"/>
              <w:right w:w="57" w:type="dxa"/>
            </w:tcMar>
            <w:vAlign w:val="center"/>
          </w:tcPr>
          <w:p w14:paraId="522F03EA" w14:textId="77777777" w:rsidR="00B54516" w:rsidRPr="002F412C" w:rsidRDefault="00B54516" w:rsidP="00B54516">
            <w:pPr>
              <w:jc w:val="center"/>
              <w:rPr>
                <w:i/>
                <w:iCs/>
                <w:color w:val="000000"/>
                <w:sz w:val="18"/>
                <w:szCs w:val="18"/>
              </w:rPr>
            </w:pPr>
            <w:r w:rsidRPr="002F412C">
              <w:rPr>
                <w:i/>
                <w:iCs/>
                <w:color w:val="000000"/>
                <w:sz w:val="18"/>
                <w:szCs w:val="18"/>
              </w:rPr>
              <w:t> </w:t>
            </w:r>
          </w:p>
        </w:tc>
        <w:tc>
          <w:tcPr>
            <w:tcW w:w="396" w:type="pct"/>
            <w:tcMar>
              <w:left w:w="57" w:type="dxa"/>
              <w:right w:w="57" w:type="dxa"/>
            </w:tcMar>
            <w:vAlign w:val="center"/>
          </w:tcPr>
          <w:p w14:paraId="70B5F961" w14:textId="77777777" w:rsidR="00B54516" w:rsidRPr="002F412C" w:rsidRDefault="00B54516" w:rsidP="00B54516">
            <w:pPr>
              <w:jc w:val="center"/>
              <w:rPr>
                <w:color w:val="000000"/>
                <w:sz w:val="18"/>
                <w:szCs w:val="18"/>
              </w:rPr>
            </w:pPr>
            <w:r w:rsidRPr="002F412C">
              <w:rPr>
                <w:i/>
                <w:iCs/>
                <w:color w:val="000000"/>
                <w:sz w:val="18"/>
                <w:szCs w:val="18"/>
              </w:rPr>
              <w:t>4,1</w:t>
            </w:r>
          </w:p>
        </w:tc>
        <w:tc>
          <w:tcPr>
            <w:tcW w:w="404" w:type="pct"/>
            <w:shd w:val="clear" w:color="auto" w:fill="auto"/>
            <w:tcMar>
              <w:left w:w="57" w:type="dxa"/>
              <w:right w:w="57" w:type="dxa"/>
            </w:tcMar>
            <w:vAlign w:val="center"/>
          </w:tcPr>
          <w:p w14:paraId="102CE21F" w14:textId="77777777" w:rsidR="00B54516" w:rsidRPr="002F412C" w:rsidRDefault="00B54516" w:rsidP="00B54516">
            <w:pPr>
              <w:jc w:val="center"/>
              <w:rPr>
                <w:color w:val="000000"/>
                <w:sz w:val="18"/>
                <w:szCs w:val="18"/>
              </w:rPr>
            </w:pPr>
            <w:r w:rsidRPr="002F412C">
              <w:rPr>
                <w:i/>
                <w:iCs/>
                <w:color w:val="000000"/>
                <w:sz w:val="18"/>
                <w:szCs w:val="18"/>
              </w:rPr>
              <w:t>4,2</w:t>
            </w:r>
          </w:p>
        </w:tc>
        <w:tc>
          <w:tcPr>
            <w:tcW w:w="523" w:type="pct"/>
            <w:tcMar>
              <w:left w:w="57" w:type="dxa"/>
              <w:right w:w="57" w:type="dxa"/>
            </w:tcMar>
            <w:vAlign w:val="center"/>
          </w:tcPr>
          <w:p w14:paraId="24EB77AF" w14:textId="77777777" w:rsidR="00B54516" w:rsidRPr="009D5B83" w:rsidRDefault="00B54516" w:rsidP="00B54516">
            <w:pPr>
              <w:jc w:val="center"/>
              <w:rPr>
                <w:b/>
                <w:bCs/>
                <w:i/>
                <w:iCs/>
                <w:color w:val="000000"/>
                <w:sz w:val="16"/>
                <w:szCs w:val="16"/>
              </w:rPr>
            </w:pPr>
            <w:r w:rsidRPr="009D5B83">
              <w:rPr>
                <w:i/>
                <w:iCs/>
                <w:color w:val="000000"/>
                <w:sz w:val="16"/>
                <w:szCs w:val="16"/>
              </w:rPr>
              <w:t> </w:t>
            </w:r>
          </w:p>
        </w:tc>
      </w:tr>
      <w:tr w:rsidR="00B54516" w:rsidRPr="009D5B83" w14:paraId="26208FFB" w14:textId="77777777" w:rsidTr="006C084D">
        <w:trPr>
          <w:trHeight w:val="188"/>
        </w:trPr>
        <w:tc>
          <w:tcPr>
            <w:tcW w:w="906" w:type="pct"/>
            <w:shd w:val="clear" w:color="auto" w:fill="auto"/>
            <w:vAlign w:val="center"/>
          </w:tcPr>
          <w:p w14:paraId="6091790D" w14:textId="77777777" w:rsidR="00B54516" w:rsidRPr="009D5B83" w:rsidRDefault="00B54516" w:rsidP="00B54516">
            <w:pPr>
              <w:ind w:right="-108"/>
              <w:rPr>
                <w:sz w:val="18"/>
                <w:szCs w:val="18"/>
              </w:rPr>
            </w:pPr>
            <w:r w:rsidRPr="009D5B83">
              <w:rPr>
                <w:i/>
                <w:sz w:val="18"/>
                <w:szCs w:val="18"/>
              </w:rPr>
              <w:t>доля в общем объеме расходов, %</w:t>
            </w:r>
          </w:p>
        </w:tc>
        <w:tc>
          <w:tcPr>
            <w:tcW w:w="453" w:type="pct"/>
            <w:shd w:val="clear" w:color="auto" w:fill="auto"/>
            <w:tcMar>
              <w:left w:w="57" w:type="dxa"/>
              <w:right w:w="57" w:type="dxa"/>
            </w:tcMar>
            <w:vAlign w:val="center"/>
          </w:tcPr>
          <w:p w14:paraId="47DDCEC0" w14:textId="77777777" w:rsidR="00B54516" w:rsidRPr="002F412C" w:rsidRDefault="00B54516" w:rsidP="00B54516">
            <w:pPr>
              <w:jc w:val="center"/>
              <w:rPr>
                <w:color w:val="000000"/>
                <w:sz w:val="18"/>
                <w:szCs w:val="18"/>
              </w:rPr>
            </w:pPr>
            <w:r w:rsidRPr="002F412C">
              <w:rPr>
                <w:i/>
                <w:iCs/>
                <w:color w:val="000000"/>
                <w:sz w:val="18"/>
                <w:szCs w:val="18"/>
              </w:rPr>
              <w:t>23,4</w:t>
            </w:r>
          </w:p>
        </w:tc>
        <w:tc>
          <w:tcPr>
            <w:tcW w:w="452" w:type="pct"/>
            <w:shd w:val="clear" w:color="auto" w:fill="auto"/>
            <w:tcMar>
              <w:left w:w="57" w:type="dxa"/>
              <w:right w:w="57" w:type="dxa"/>
            </w:tcMar>
            <w:vAlign w:val="center"/>
          </w:tcPr>
          <w:p w14:paraId="23516C3A" w14:textId="77777777" w:rsidR="00B54516" w:rsidRPr="002F412C" w:rsidRDefault="00B54516" w:rsidP="00B54516">
            <w:pPr>
              <w:jc w:val="center"/>
              <w:rPr>
                <w:color w:val="000000"/>
                <w:sz w:val="18"/>
                <w:szCs w:val="18"/>
              </w:rPr>
            </w:pPr>
            <w:r w:rsidRPr="002F412C">
              <w:rPr>
                <w:i/>
                <w:iCs/>
                <w:color w:val="000000"/>
                <w:sz w:val="18"/>
                <w:szCs w:val="18"/>
              </w:rPr>
              <w:t>25,5</w:t>
            </w:r>
          </w:p>
        </w:tc>
        <w:tc>
          <w:tcPr>
            <w:tcW w:w="377" w:type="pct"/>
            <w:shd w:val="clear" w:color="auto" w:fill="auto"/>
            <w:tcMar>
              <w:left w:w="57" w:type="dxa"/>
              <w:right w:w="57" w:type="dxa"/>
            </w:tcMar>
            <w:vAlign w:val="center"/>
          </w:tcPr>
          <w:p w14:paraId="05B1A3B2" w14:textId="77777777" w:rsidR="00B54516" w:rsidRPr="002F412C" w:rsidRDefault="00B54516" w:rsidP="00B54516">
            <w:pPr>
              <w:jc w:val="center"/>
              <w:rPr>
                <w:color w:val="000000"/>
                <w:sz w:val="18"/>
                <w:szCs w:val="18"/>
              </w:rPr>
            </w:pPr>
            <w:r w:rsidRPr="002F412C">
              <w:rPr>
                <w:i/>
                <w:iCs/>
                <w:color w:val="000000"/>
                <w:sz w:val="18"/>
                <w:szCs w:val="18"/>
              </w:rPr>
              <w:t>25,3</w:t>
            </w:r>
          </w:p>
        </w:tc>
        <w:tc>
          <w:tcPr>
            <w:tcW w:w="316" w:type="pct"/>
            <w:tcMar>
              <w:left w:w="57" w:type="dxa"/>
              <w:right w:w="57" w:type="dxa"/>
            </w:tcMar>
            <w:vAlign w:val="center"/>
          </w:tcPr>
          <w:p w14:paraId="0AE1A71A" w14:textId="77777777" w:rsidR="00B54516" w:rsidRPr="002F412C" w:rsidRDefault="00B54516" w:rsidP="00B54516">
            <w:pPr>
              <w:jc w:val="center"/>
              <w:rPr>
                <w:i/>
                <w:iCs/>
                <w:color w:val="000000"/>
                <w:sz w:val="18"/>
                <w:szCs w:val="18"/>
              </w:rPr>
            </w:pPr>
            <w:r w:rsidRPr="002F412C">
              <w:rPr>
                <w:i/>
                <w:iCs/>
                <w:color w:val="000000"/>
                <w:sz w:val="18"/>
                <w:szCs w:val="18"/>
              </w:rPr>
              <w:t> </w:t>
            </w:r>
          </w:p>
        </w:tc>
        <w:tc>
          <w:tcPr>
            <w:tcW w:w="437" w:type="pct"/>
            <w:tcMar>
              <w:left w:w="57" w:type="dxa"/>
              <w:right w:w="57" w:type="dxa"/>
            </w:tcMar>
            <w:vAlign w:val="center"/>
          </w:tcPr>
          <w:p w14:paraId="0DD45635" w14:textId="77777777" w:rsidR="00B54516" w:rsidRPr="002F412C" w:rsidRDefault="00B54516" w:rsidP="00B54516">
            <w:pPr>
              <w:jc w:val="center"/>
              <w:rPr>
                <w:color w:val="000000"/>
                <w:sz w:val="18"/>
                <w:szCs w:val="18"/>
              </w:rPr>
            </w:pPr>
            <w:r w:rsidRPr="002F412C">
              <w:rPr>
                <w:i/>
                <w:iCs/>
                <w:color w:val="000000"/>
                <w:sz w:val="18"/>
                <w:szCs w:val="18"/>
              </w:rPr>
              <w:t>25,4</w:t>
            </w:r>
          </w:p>
        </w:tc>
        <w:tc>
          <w:tcPr>
            <w:tcW w:w="377" w:type="pct"/>
            <w:shd w:val="clear" w:color="auto" w:fill="auto"/>
            <w:tcMar>
              <w:left w:w="57" w:type="dxa"/>
              <w:right w:w="57" w:type="dxa"/>
            </w:tcMar>
            <w:vAlign w:val="center"/>
          </w:tcPr>
          <w:p w14:paraId="25FBE6DA" w14:textId="77777777" w:rsidR="00B54516" w:rsidRPr="002F412C" w:rsidRDefault="00B54516" w:rsidP="00B54516">
            <w:pPr>
              <w:jc w:val="center"/>
              <w:rPr>
                <w:color w:val="000000"/>
                <w:sz w:val="18"/>
                <w:szCs w:val="18"/>
              </w:rPr>
            </w:pPr>
            <w:r w:rsidRPr="002F412C">
              <w:rPr>
                <w:i/>
                <w:iCs/>
                <w:color w:val="000000"/>
                <w:sz w:val="18"/>
                <w:szCs w:val="18"/>
              </w:rPr>
              <w:t>25,4</w:t>
            </w:r>
          </w:p>
        </w:tc>
        <w:tc>
          <w:tcPr>
            <w:tcW w:w="359" w:type="pct"/>
            <w:tcMar>
              <w:left w:w="57" w:type="dxa"/>
              <w:right w:w="57" w:type="dxa"/>
            </w:tcMar>
            <w:vAlign w:val="center"/>
          </w:tcPr>
          <w:p w14:paraId="4BD40A7E" w14:textId="77777777" w:rsidR="00B54516" w:rsidRPr="002F412C" w:rsidRDefault="00B54516" w:rsidP="00B54516">
            <w:pPr>
              <w:jc w:val="center"/>
              <w:rPr>
                <w:i/>
                <w:iCs/>
                <w:color w:val="000000"/>
                <w:sz w:val="18"/>
                <w:szCs w:val="18"/>
              </w:rPr>
            </w:pPr>
            <w:r w:rsidRPr="002F412C">
              <w:rPr>
                <w:i/>
                <w:iCs/>
                <w:color w:val="000000"/>
                <w:sz w:val="18"/>
                <w:szCs w:val="18"/>
              </w:rPr>
              <w:t> </w:t>
            </w:r>
          </w:p>
        </w:tc>
        <w:tc>
          <w:tcPr>
            <w:tcW w:w="396" w:type="pct"/>
            <w:tcMar>
              <w:left w:w="57" w:type="dxa"/>
              <w:right w:w="57" w:type="dxa"/>
            </w:tcMar>
            <w:vAlign w:val="center"/>
          </w:tcPr>
          <w:p w14:paraId="20A360B0" w14:textId="77777777" w:rsidR="00B54516" w:rsidRPr="002F412C" w:rsidRDefault="00B54516" w:rsidP="00B54516">
            <w:pPr>
              <w:jc w:val="center"/>
              <w:rPr>
                <w:color w:val="000000"/>
                <w:sz w:val="18"/>
                <w:szCs w:val="18"/>
              </w:rPr>
            </w:pPr>
            <w:r w:rsidRPr="002F412C">
              <w:rPr>
                <w:i/>
                <w:iCs/>
                <w:color w:val="000000"/>
                <w:sz w:val="18"/>
                <w:szCs w:val="18"/>
              </w:rPr>
              <w:t>25,3</w:t>
            </w:r>
          </w:p>
        </w:tc>
        <w:tc>
          <w:tcPr>
            <w:tcW w:w="404" w:type="pct"/>
            <w:shd w:val="clear" w:color="auto" w:fill="auto"/>
            <w:tcMar>
              <w:left w:w="57" w:type="dxa"/>
              <w:right w:w="57" w:type="dxa"/>
            </w:tcMar>
            <w:vAlign w:val="center"/>
          </w:tcPr>
          <w:p w14:paraId="36C0FC68" w14:textId="77777777" w:rsidR="00B54516" w:rsidRPr="002F412C" w:rsidRDefault="00B54516" w:rsidP="00B54516">
            <w:pPr>
              <w:jc w:val="center"/>
              <w:rPr>
                <w:color w:val="000000"/>
                <w:sz w:val="18"/>
                <w:szCs w:val="18"/>
              </w:rPr>
            </w:pPr>
            <w:r w:rsidRPr="002F412C">
              <w:rPr>
                <w:i/>
                <w:iCs/>
                <w:color w:val="000000"/>
                <w:sz w:val="18"/>
                <w:szCs w:val="18"/>
              </w:rPr>
              <w:t>25,7</w:t>
            </w:r>
          </w:p>
        </w:tc>
        <w:tc>
          <w:tcPr>
            <w:tcW w:w="523" w:type="pct"/>
            <w:tcMar>
              <w:left w:w="57" w:type="dxa"/>
              <w:right w:w="57" w:type="dxa"/>
            </w:tcMar>
            <w:vAlign w:val="center"/>
          </w:tcPr>
          <w:p w14:paraId="249FEBAA" w14:textId="77777777" w:rsidR="00B54516" w:rsidRPr="009D5B83" w:rsidRDefault="00B54516" w:rsidP="00B54516">
            <w:pPr>
              <w:jc w:val="center"/>
              <w:rPr>
                <w:b/>
                <w:bCs/>
                <w:i/>
                <w:iCs/>
                <w:color w:val="000000"/>
                <w:sz w:val="16"/>
                <w:szCs w:val="16"/>
              </w:rPr>
            </w:pPr>
            <w:r w:rsidRPr="009D5B83">
              <w:rPr>
                <w:i/>
                <w:iCs/>
                <w:color w:val="000000"/>
                <w:sz w:val="16"/>
                <w:szCs w:val="16"/>
              </w:rPr>
              <w:t> </w:t>
            </w:r>
          </w:p>
        </w:tc>
      </w:tr>
    </w:tbl>
    <w:p w14:paraId="4A406501" w14:textId="77777777" w:rsidR="00B54516" w:rsidRPr="009D5B83" w:rsidRDefault="00B54516" w:rsidP="00B54516">
      <w:pPr>
        <w:spacing w:after="60"/>
        <w:ind w:firstLine="709"/>
        <w:jc w:val="both"/>
        <w:rPr>
          <w:sz w:val="20"/>
          <w:szCs w:val="20"/>
        </w:rPr>
      </w:pPr>
      <w:r w:rsidRPr="009D5B83">
        <w:rPr>
          <w:i/>
          <w:iCs/>
          <w:sz w:val="20"/>
          <w:szCs w:val="20"/>
        </w:rPr>
        <w:t xml:space="preserve">Источник: </w:t>
      </w:r>
      <w:r w:rsidRPr="009D5B83">
        <w:rPr>
          <w:sz w:val="20"/>
          <w:szCs w:val="20"/>
        </w:rPr>
        <w:t>Законопроект, Росстат, расчеты авторов</w:t>
      </w:r>
    </w:p>
    <w:p w14:paraId="236FA285" w14:textId="77777777" w:rsidR="00B54516" w:rsidRPr="009D5B83" w:rsidRDefault="00B54516" w:rsidP="00B54516">
      <w:pPr>
        <w:spacing w:after="60"/>
        <w:ind w:firstLine="709"/>
        <w:jc w:val="both"/>
        <w:rPr>
          <w:color w:val="2F5496"/>
        </w:rPr>
      </w:pPr>
    </w:p>
    <w:p w14:paraId="0CBA82EA" w14:textId="4B2594B3" w:rsidR="00B54516" w:rsidRPr="00E103B9" w:rsidRDefault="00B54516" w:rsidP="00B54516">
      <w:pPr>
        <w:spacing w:after="60"/>
        <w:ind w:firstLine="709"/>
        <w:jc w:val="both"/>
        <w:rPr>
          <w:sz w:val="28"/>
        </w:rPr>
      </w:pPr>
      <w:r w:rsidRPr="00E103B9">
        <w:rPr>
          <w:sz w:val="28"/>
        </w:rPr>
        <w:t xml:space="preserve">В 2023-2025 гг. расходы по данному функциональному разделу могут существенно превысить расходы текущего года. Увеличение объема расходов запланировано по всем подразделам, за исключением расходов на прикладные научные исследования, объем которых ежегодно снижается. В </w:t>
      </w:r>
      <w:proofErr w:type="gramStart"/>
      <w:r w:rsidRPr="00E103B9">
        <w:rPr>
          <w:sz w:val="28"/>
        </w:rPr>
        <w:t>основном</w:t>
      </w:r>
      <w:proofErr w:type="gramEnd"/>
      <w:r w:rsidRPr="00E103B9">
        <w:rPr>
          <w:sz w:val="28"/>
        </w:rPr>
        <w:t xml:space="preserve"> рост расходов обеспечивается за счет существенного увеличения расходов на охрану семьи и детства и на пенсионное обеспечение (</w:t>
      </w:r>
      <w:r w:rsidRPr="00E103B9">
        <w:rPr>
          <w:i/>
          <w:iCs/>
          <w:sz w:val="28"/>
        </w:rPr>
        <w:t>таблица 2</w:t>
      </w:r>
      <w:r w:rsidR="007931B0" w:rsidRPr="00E103B9">
        <w:rPr>
          <w:i/>
          <w:iCs/>
          <w:sz w:val="28"/>
        </w:rPr>
        <w:t>9</w:t>
      </w:r>
      <w:r w:rsidRPr="00E103B9">
        <w:rPr>
          <w:sz w:val="28"/>
        </w:rPr>
        <w:t>).</w:t>
      </w:r>
    </w:p>
    <w:p w14:paraId="6A3D0021" w14:textId="13258CB5" w:rsidR="00B54516" w:rsidRPr="009D5B83" w:rsidRDefault="00B54516" w:rsidP="00B54516">
      <w:pPr>
        <w:spacing w:before="120"/>
        <w:jc w:val="right"/>
        <w:rPr>
          <w:bCs/>
          <w:i/>
        </w:rPr>
      </w:pPr>
      <w:r w:rsidRPr="009D5B83">
        <w:rPr>
          <w:bCs/>
          <w:i/>
          <w:szCs w:val="20"/>
        </w:rPr>
        <w:t>Таблица 2</w:t>
      </w:r>
      <w:r w:rsidR="007931B0" w:rsidRPr="009D5B83">
        <w:rPr>
          <w:bCs/>
          <w:i/>
          <w:szCs w:val="20"/>
        </w:rPr>
        <w:t>9</w:t>
      </w:r>
    </w:p>
    <w:p w14:paraId="413AE9E0" w14:textId="77777777" w:rsidR="00B54516" w:rsidRPr="009D5B83" w:rsidRDefault="00B54516" w:rsidP="00B54516">
      <w:pPr>
        <w:spacing w:before="60" w:after="120"/>
        <w:jc w:val="center"/>
        <w:rPr>
          <w:b/>
        </w:rPr>
      </w:pPr>
      <w:r w:rsidRPr="009D5B83">
        <w:rPr>
          <w:b/>
        </w:rPr>
        <w:t xml:space="preserve">Структура раздела «Социальная политика» в 2021-2025 гг., </w:t>
      </w:r>
      <w:proofErr w:type="gramStart"/>
      <w:r w:rsidRPr="009D5B83">
        <w:rPr>
          <w:b/>
        </w:rPr>
        <w:t>млрд</w:t>
      </w:r>
      <w:proofErr w:type="gramEnd"/>
      <w:r w:rsidRPr="009D5B83">
        <w:rPr>
          <w:b/>
        </w:rPr>
        <w:t xml:space="preserve"> руб.</w:t>
      </w:r>
    </w:p>
    <w:p w14:paraId="0C2B01D5" w14:textId="77777777" w:rsidR="00B54516" w:rsidRPr="009D5B83" w:rsidRDefault="00B54516" w:rsidP="00B54516">
      <w:pPr>
        <w:spacing w:before="60" w:after="120"/>
        <w:jc w:val="center"/>
        <w:rPr>
          <w:bCs/>
          <w:iCs/>
          <w:color w:val="2F5496"/>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1135"/>
        <w:gridCol w:w="1136"/>
        <w:gridCol w:w="1136"/>
        <w:gridCol w:w="1136"/>
        <w:gridCol w:w="1136"/>
      </w:tblGrid>
      <w:tr w:rsidR="00B54516" w:rsidRPr="009D5B83" w14:paraId="61E9A6B2" w14:textId="77777777" w:rsidTr="00AA0954">
        <w:trPr>
          <w:trHeight w:val="830"/>
          <w:tblHeader/>
        </w:trPr>
        <w:tc>
          <w:tcPr>
            <w:tcW w:w="3672" w:type="dxa"/>
            <w:shd w:val="clear" w:color="auto" w:fill="auto"/>
            <w:noWrap/>
            <w:hideMark/>
          </w:tcPr>
          <w:p w14:paraId="68F1F87B" w14:textId="77777777" w:rsidR="00B54516" w:rsidRPr="009D5B83" w:rsidRDefault="00B54516" w:rsidP="00B54516">
            <w:pPr>
              <w:spacing w:after="60"/>
              <w:jc w:val="center"/>
              <w:rPr>
                <w:b/>
                <w:bCs/>
                <w:sz w:val="20"/>
                <w:szCs w:val="20"/>
              </w:rPr>
            </w:pPr>
          </w:p>
          <w:p w14:paraId="25D6780D" w14:textId="77777777" w:rsidR="00B54516" w:rsidRPr="009D5B83" w:rsidRDefault="00B54516" w:rsidP="00B54516">
            <w:pPr>
              <w:spacing w:after="60"/>
              <w:jc w:val="center"/>
              <w:rPr>
                <w:b/>
                <w:bCs/>
                <w:sz w:val="20"/>
                <w:szCs w:val="20"/>
              </w:rPr>
            </w:pPr>
            <w:r w:rsidRPr="009D5B83">
              <w:rPr>
                <w:b/>
                <w:bCs/>
                <w:sz w:val="20"/>
                <w:szCs w:val="20"/>
              </w:rPr>
              <w:t>Наименование</w:t>
            </w:r>
          </w:p>
        </w:tc>
        <w:tc>
          <w:tcPr>
            <w:tcW w:w="1135" w:type="dxa"/>
            <w:shd w:val="clear" w:color="auto" w:fill="auto"/>
            <w:noWrap/>
            <w:hideMark/>
          </w:tcPr>
          <w:p w14:paraId="2FC85DBF" w14:textId="77777777" w:rsidR="00B54516" w:rsidRPr="009D5B83" w:rsidRDefault="00B54516" w:rsidP="00B54516">
            <w:pPr>
              <w:spacing w:after="60"/>
              <w:jc w:val="center"/>
              <w:rPr>
                <w:b/>
                <w:bCs/>
                <w:sz w:val="20"/>
                <w:szCs w:val="20"/>
              </w:rPr>
            </w:pPr>
            <w:r w:rsidRPr="009D5B83">
              <w:rPr>
                <w:b/>
                <w:bCs/>
                <w:sz w:val="20"/>
                <w:szCs w:val="20"/>
              </w:rPr>
              <w:t>2021 г.</w:t>
            </w:r>
          </w:p>
          <w:p w14:paraId="34C125C1" w14:textId="77777777" w:rsidR="00B54516" w:rsidRPr="009D5B83" w:rsidRDefault="00B54516" w:rsidP="00B54516">
            <w:pPr>
              <w:spacing w:after="60"/>
              <w:jc w:val="center"/>
              <w:rPr>
                <w:b/>
                <w:bCs/>
                <w:color w:val="2F5496"/>
                <w:sz w:val="20"/>
                <w:szCs w:val="20"/>
              </w:rPr>
            </w:pPr>
            <w:r w:rsidRPr="009D5B83">
              <w:rPr>
                <w:b/>
                <w:bCs/>
                <w:sz w:val="20"/>
                <w:szCs w:val="20"/>
              </w:rPr>
              <w:t>Факт</w:t>
            </w:r>
          </w:p>
        </w:tc>
        <w:tc>
          <w:tcPr>
            <w:tcW w:w="1136" w:type="dxa"/>
            <w:shd w:val="clear" w:color="auto" w:fill="auto"/>
            <w:noWrap/>
            <w:hideMark/>
          </w:tcPr>
          <w:p w14:paraId="70D22DE2" w14:textId="77777777" w:rsidR="00B54516" w:rsidRPr="009D5B83" w:rsidRDefault="00B54516" w:rsidP="00B54516">
            <w:pPr>
              <w:jc w:val="center"/>
              <w:rPr>
                <w:b/>
                <w:bCs/>
                <w:sz w:val="20"/>
                <w:szCs w:val="20"/>
              </w:rPr>
            </w:pPr>
            <w:r w:rsidRPr="009D5B83">
              <w:rPr>
                <w:b/>
                <w:bCs/>
                <w:sz w:val="20"/>
                <w:szCs w:val="20"/>
              </w:rPr>
              <w:t>2022 г.</w:t>
            </w:r>
          </w:p>
          <w:p w14:paraId="4A372FF6" w14:textId="77777777" w:rsidR="00B54516" w:rsidRPr="009D5B83" w:rsidRDefault="00B54516" w:rsidP="00B54516">
            <w:pPr>
              <w:jc w:val="center"/>
              <w:rPr>
                <w:b/>
                <w:bCs/>
                <w:sz w:val="20"/>
                <w:szCs w:val="20"/>
              </w:rPr>
            </w:pPr>
            <w:r w:rsidRPr="009D5B83">
              <w:rPr>
                <w:b/>
                <w:bCs/>
                <w:sz w:val="20"/>
                <w:szCs w:val="20"/>
              </w:rPr>
              <w:t>Закон (роспись)</w:t>
            </w:r>
          </w:p>
        </w:tc>
        <w:tc>
          <w:tcPr>
            <w:tcW w:w="1136" w:type="dxa"/>
            <w:shd w:val="clear" w:color="auto" w:fill="auto"/>
            <w:noWrap/>
            <w:hideMark/>
          </w:tcPr>
          <w:p w14:paraId="4237C9C2" w14:textId="77777777" w:rsidR="00B54516" w:rsidRPr="009D5B83" w:rsidRDefault="00B54516" w:rsidP="00B54516">
            <w:pPr>
              <w:jc w:val="center"/>
              <w:rPr>
                <w:b/>
                <w:bCs/>
                <w:sz w:val="20"/>
                <w:szCs w:val="20"/>
              </w:rPr>
            </w:pPr>
            <w:r w:rsidRPr="009D5B83">
              <w:rPr>
                <w:b/>
                <w:bCs/>
                <w:sz w:val="20"/>
                <w:szCs w:val="20"/>
              </w:rPr>
              <w:t>2023 г.</w:t>
            </w:r>
          </w:p>
          <w:p w14:paraId="7143E5B3" w14:textId="77777777" w:rsidR="00B54516" w:rsidRPr="009D5B83" w:rsidRDefault="00B54516" w:rsidP="00B54516">
            <w:pPr>
              <w:jc w:val="center"/>
              <w:rPr>
                <w:b/>
                <w:bCs/>
                <w:sz w:val="20"/>
                <w:szCs w:val="20"/>
              </w:rPr>
            </w:pPr>
            <w:r w:rsidRPr="009D5B83">
              <w:rPr>
                <w:b/>
                <w:sz w:val="20"/>
                <w:szCs w:val="20"/>
                <w:lang w:eastAsia="en-US"/>
              </w:rPr>
              <w:t>(</w:t>
            </w:r>
            <w:proofErr w:type="spellStart"/>
            <w:proofErr w:type="gramStart"/>
            <w:r w:rsidRPr="009D5B83">
              <w:rPr>
                <w:b/>
                <w:sz w:val="20"/>
                <w:szCs w:val="20"/>
                <w:lang w:eastAsia="en-US"/>
              </w:rPr>
              <w:t>Законо</w:t>
            </w:r>
            <w:proofErr w:type="spellEnd"/>
            <w:r w:rsidRPr="009D5B83">
              <w:rPr>
                <w:b/>
                <w:sz w:val="20"/>
                <w:szCs w:val="20"/>
                <w:lang w:eastAsia="en-US"/>
              </w:rPr>
              <w:t>-проект</w:t>
            </w:r>
            <w:proofErr w:type="gramEnd"/>
            <w:r w:rsidRPr="009D5B83">
              <w:rPr>
                <w:b/>
                <w:sz w:val="20"/>
                <w:szCs w:val="20"/>
                <w:lang w:eastAsia="en-US"/>
              </w:rPr>
              <w:t>)</w:t>
            </w:r>
          </w:p>
        </w:tc>
        <w:tc>
          <w:tcPr>
            <w:tcW w:w="1136" w:type="dxa"/>
            <w:shd w:val="clear" w:color="auto" w:fill="auto"/>
            <w:noWrap/>
            <w:hideMark/>
          </w:tcPr>
          <w:p w14:paraId="54CFF624" w14:textId="77777777" w:rsidR="00B54516" w:rsidRPr="009D5B83" w:rsidRDefault="00B54516" w:rsidP="00B54516">
            <w:pPr>
              <w:jc w:val="center"/>
              <w:rPr>
                <w:b/>
                <w:bCs/>
                <w:sz w:val="20"/>
                <w:szCs w:val="20"/>
              </w:rPr>
            </w:pPr>
            <w:r w:rsidRPr="009D5B83">
              <w:rPr>
                <w:b/>
                <w:bCs/>
                <w:sz w:val="20"/>
                <w:szCs w:val="20"/>
              </w:rPr>
              <w:t>2024 г.</w:t>
            </w:r>
          </w:p>
          <w:p w14:paraId="4922B57E" w14:textId="77777777" w:rsidR="00B54516" w:rsidRPr="009D5B83" w:rsidRDefault="00B54516" w:rsidP="00B54516">
            <w:pPr>
              <w:jc w:val="center"/>
              <w:rPr>
                <w:b/>
                <w:bCs/>
                <w:sz w:val="20"/>
                <w:szCs w:val="20"/>
              </w:rPr>
            </w:pPr>
            <w:r w:rsidRPr="009D5B83">
              <w:rPr>
                <w:b/>
                <w:sz w:val="20"/>
                <w:szCs w:val="20"/>
                <w:lang w:eastAsia="en-US"/>
              </w:rPr>
              <w:t>(</w:t>
            </w:r>
            <w:proofErr w:type="spellStart"/>
            <w:proofErr w:type="gramStart"/>
            <w:r w:rsidRPr="009D5B83">
              <w:rPr>
                <w:b/>
                <w:sz w:val="20"/>
                <w:szCs w:val="20"/>
                <w:lang w:eastAsia="en-US"/>
              </w:rPr>
              <w:t>Законо</w:t>
            </w:r>
            <w:proofErr w:type="spellEnd"/>
            <w:r w:rsidRPr="009D5B83">
              <w:rPr>
                <w:b/>
                <w:sz w:val="20"/>
                <w:szCs w:val="20"/>
                <w:lang w:eastAsia="en-US"/>
              </w:rPr>
              <w:t>-проект</w:t>
            </w:r>
            <w:proofErr w:type="gramEnd"/>
            <w:r w:rsidRPr="009D5B83">
              <w:rPr>
                <w:b/>
                <w:sz w:val="20"/>
                <w:szCs w:val="20"/>
                <w:lang w:eastAsia="en-US"/>
              </w:rPr>
              <w:t>)</w:t>
            </w:r>
          </w:p>
        </w:tc>
        <w:tc>
          <w:tcPr>
            <w:tcW w:w="1136" w:type="dxa"/>
            <w:shd w:val="clear" w:color="auto" w:fill="auto"/>
            <w:noWrap/>
            <w:hideMark/>
          </w:tcPr>
          <w:p w14:paraId="53998AA0" w14:textId="77777777" w:rsidR="00B54516" w:rsidRPr="009D5B83" w:rsidRDefault="00B54516" w:rsidP="00B54516">
            <w:pPr>
              <w:jc w:val="center"/>
              <w:rPr>
                <w:b/>
                <w:bCs/>
                <w:sz w:val="20"/>
                <w:szCs w:val="20"/>
              </w:rPr>
            </w:pPr>
            <w:r w:rsidRPr="009D5B83">
              <w:rPr>
                <w:b/>
                <w:bCs/>
                <w:sz w:val="20"/>
                <w:szCs w:val="20"/>
              </w:rPr>
              <w:t>2025 г.</w:t>
            </w:r>
          </w:p>
          <w:p w14:paraId="4467EC86" w14:textId="77777777" w:rsidR="00B54516" w:rsidRPr="009D5B83" w:rsidRDefault="00B54516" w:rsidP="00B54516">
            <w:pPr>
              <w:jc w:val="center"/>
              <w:rPr>
                <w:b/>
                <w:bCs/>
                <w:sz w:val="20"/>
                <w:szCs w:val="20"/>
              </w:rPr>
            </w:pPr>
            <w:r w:rsidRPr="009D5B83">
              <w:rPr>
                <w:b/>
                <w:sz w:val="20"/>
                <w:szCs w:val="20"/>
                <w:lang w:eastAsia="en-US"/>
              </w:rPr>
              <w:t>(</w:t>
            </w:r>
            <w:proofErr w:type="spellStart"/>
            <w:proofErr w:type="gramStart"/>
            <w:r w:rsidRPr="009D5B83">
              <w:rPr>
                <w:b/>
                <w:sz w:val="20"/>
                <w:szCs w:val="20"/>
                <w:lang w:eastAsia="en-US"/>
              </w:rPr>
              <w:t>Законо</w:t>
            </w:r>
            <w:proofErr w:type="spellEnd"/>
            <w:r w:rsidRPr="009D5B83">
              <w:rPr>
                <w:b/>
                <w:sz w:val="20"/>
                <w:szCs w:val="20"/>
                <w:lang w:eastAsia="en-US"/>
              </w:rPr>
              <w:t>-проект</w:t>
            </w:r>
            <w:proofErr w:type="gramEnd"/>
            <w:r w:rsidRPr="009D5B83">
              <w:rPr>
                <w:b/>
                <w:sz w:val="20"/>
                <w:szCs w:val="20"/>
                <w:lang w:eastAsia="en-US"/>
              </w:rPr>
              <w:t>)</w:t>
            </w:r>
          </w:p>
        </w:tc>
      </w:tr>
      <w:tr w:rsidR="00B54516" w:rsidRPr="009D5B83" w14:paraId="191AC23E" w14:textId="77777777" w:rsidTr="00B54516">
        <w:trPr>
          <w:trHeight w:val="407"/>
        </w:trPr>
        <w:tc>
          <w:tcPr>
            <w:tcW w:w="3672" w:type="dxa"/>
            <w:shd w:val="clear" w:color="auto" w:fill="auto"/>
            <w:noWrap/>
            <w:vAlign w:val="center"/>
            <w:hideMark/>
          </w:tcPr>
          <w:p w14:paraId="5BACE895" w14:textId="7B7789DC" w:rsidR="00B54516" w:rsidRPr="009D5B83" w:rsidRDefault="00B54516" w:rsidP="00B54516">
            <w:pPr>
              <w:spacing w:after="60"/>
              <w:rPr>
                <w:b/>
                <w:bCs/>
                <w:iCs/>
                <w:sz w:val="20"/>
                <w:szCs w:val="20"/>
              </w:rPr>
            </w:pPr>
            <w:r w:rsidRPr="009D5B83">
              <w:rPr>
                <w:b/>
                <w:bCs/>
                <w:iCs/>
                <w:sz w:val="20"/>
                <w:szCs w:val="20"/>
              </w:rPr>
              <w:t xml:space="preserve">Социальная политика, </w:t>
            </w:r>
            <w:r w:rsidR="002606E9">
              <w:rPr>
                <w:b/>
                <w:bCs/>
                <w:iCs/>
                <w:sz w:val="20"/>
                <w:szCs w:val="20"/>
              </w:rPr>
              <w:t>ВСЕГО</w:t>
            </w:r>
          </w:p>
        </w:tc>
        <w:tc>
          <w:tcPr>
            <w:tcW w:w="1135" w:type="dxa"/>
            <w:shd w:val="clear" w:color="auto" w:fill="auto"/>
            <w:noWrap/>
            <w:vAlign w:val="center"/>
            <w:hideMark/>
          </w:tcPr>
          <w:p w14:paraId="136387E1" w14:textId="77777777" w:rsidR="00B54516" w:rsidRPr="009D5B83" w:rsidRDefault="00B54516" w:rsidP="00B54516">
            <w:pPr>
              <w:spacing w:after="60"/>
              <w:jc w:val="center"/>
              <w:rPr>
                <w:b/>
                <w:bCs/>
                <w:iCs/>
                <w:color w:val="2F5496"/>
                <w:sz w:val="20"/>
                <w:szCs w:val="20"/>
              </w:rPr>
            </w:pPr>
            <w:r w:rsidRPr="009D5B83">
              <w:rPr>
                <w:b/>
                <w:bCs/>
                <w:iCs/>
                <w:sz w:val="20"/>
                <w:szCs w:val="20"/>
              </w:rPr>
              <w:t>6 675,8</w:t>
            </w:r>
          </w:p>
        </w:tc>
        <w:tc>
          <w:tcPr>
            <w:tcW w:w="1136" w:type="dxa"/>
            <w:shd w:val="clear" w:color="auto" w:fill="auto"/>
            <w:noWrap/>
            <w:vAlign w:val="center"/>
            <w:hideMark/>
          </w:tcPr>
          <w:p w14:paraId="6C607DDB" w14:textId="77777777" w:rsidR="00B54516" w:rsidRPr="009D5B83" w:rsidRDefault="00B54516" w:rsidP="00B54516">
            <w:pPr>
              <w:spacing w:after="60"/>
              <w:jc w:val="center"/>
              <w:rPr>
                <w:b/>
                <w:bCs/>
                <w:iCs/>
                <w:color w:val="2F5496"/>
                <w:sz w:val="20"/>
                <w:szCs w:val="20"/>
              </w:rPr>
            </w:pPr>
            <w:r w:rsidRPr="009D5B83">
              <w:rPr>
                <w:b/>
                <w:bCs/>
                <w:iCs/>
                <w:sz w:val="20"/>
                <w:szCs w:val="20"/>
              </w:rPr>
              <w:t>6 453,3</w:t>
            </w:r>
          </w:p>
        </w:tc>
        <w:tc>
          <w:tcPr>
            <w:tcW w:w="1136" w:type="dxa"/>
            <w:shd w:val="clear" w:color="auto" w:fill="auto"/>
            <w:noWrap/>
            <w:vAlign w:val="center"/>
            <w:hideMark/>
          </w:tcPr>
          <w:p w14:paraId="4CC92076" w14:textId="77777777" w:rsidR="00B54516" w:rsidRPr="009D5B83" w:rsidRDefault="00B54516" w:rsidP="00B54516">
            <w:pPr>
              <w:spacing w:after="60"/>
              <w:jc w:val="center"/>
              <w:rPr>
                <w:b/>
                <w:bCs/>
                <w:iCs/>
                <w:color w:val="2F5496"/>
                <w:sz w:val="20"/>
                <w:szCs w:val="20"/>
              </w:rPr>
            </w:pPr>
            <w:r w:rsidRPr="009D5B83">
              <w:rPr>
                <w:b/>
                <w:bCs/>
                <w:iCs/>
                <w:sz w:val="20"/>
                <w:szCs w:val="20"/>
              </w:rPr>
              <w:t>7 343,1</w:t>
            </w:r>
          </w:p>
        </w:tc>
        <w:tc>
          <w:tcPr>
            <w:tcW w:w="1136" w:type="dxa"/>
            <w:shd w:val="clear" w:color="auto" w:fill="auto"/>
            <w:noWrap/>
            <w:vAlign w:val="center"/>
            <w:hideMark/>
          </w:tcPr>
          <w:p w14:paraId="5AEF29E7" w14:textId="77777777" w:rsidR="00B54516" w:rsidRPr="009D5B83" w:rsidRDefault="00B54516" w:rsidP="00B54516">
            <w:pPr>
              <w:spacing w:after="60"/>
              <w:jc w:val="center"/>
              <w:rPr>
                <w:b/>
                <w:bCs/>
                <w:iCs/>
                <w:color w:val="2F5496"/>
                <w:sz w:val="20"/>
                <w:szCs w:val="20"/>
              </w:rPr>
            </w:pPr>
            <w:r w:rsidRPr="009D5B83">
              <w:rPr>
                <w:b/>
                <w:bCs/>
                <w:iCs/>
                <w:sz w:val="20"/>
                <w:szCs w:val="20"/>
              </w:rPr>
              <w:t>7 299,4</w:t>
            </w:r>
          </w:p>
        </w:tc>
        <w:tc>
          <w:tcPr>
            <w:tcW w:w="1136" w:type="dxa"/>
            <w:shd w:val="clear" w:color="auto" w:fill="auto"/>
            <w:noWrap/>
            <w:vAlign w:val="center"/>
            <w:hideMark/>
          </w:tcPr>
          <w:p w14:paraId="2427775C" w14:textId="77777777" w:rsidR="00B54516" w:rsidRPr="009D5B83" w:rsidRDefault="00B54516" w:rsidP="00B54516">
            <w:pPr>
              <w:spacing w:after="60"/>
              <w:jc w:val="center"/>
              <w:rPr>
                <w:b/>
                <w:bCs/>
                <w:iCs/>
                <w:sz w:val="20"/>
                <w:szCs w:val="20"/>
              </w:rPr>
            </w:pPr>
            <w:r w:rsidRPr="009D5B83">
              <w:rPr>
                <w:b/>
                <w:bCs/>
                <w:iCs/>
                <w:sz w:val="20"/>
                <w:szCs w:val="20"/>
              </w:rPr>
              <w:t>7 152,8</w:t>
            </w:r>
          </w:p>
        </w:tc>
      </w:tr>
      <w:tr w:rsidR="00B54516" w:rsidRPr="009D5B83" w14:paraId="675474A9" w14:textId="77777777" w:rsidTr="00B54516">
        <w:trPr>
          <w:trHeight w:val="346"/>
        </w:trPr>
        <w:tc>
          <w:tcPr>
            <w:tcW w:w="3672" w:type="dxa"/>
            <w:shd w:val="clear" w:color="auto" w:fill="auto"/>
            <w:noWrap/>
            <w:vAlign w:val="center"/>
            <w:hideMark/>
          </w:tcPr>
          <w:p w14:paraId="329A7261" w14:textId="77777777" w:rsidR="00B54516" w:rsidRPr="009D5B83" w:rsidRDefault="00B54516" w:rsidP="00B54516">
            <w:pPr>
              <w:spacing w:after="60"/>
              <w:ind w:left="174"/>
              <w:rPr>
                <w:sz w:val="20"/>
                <w:szCs w:val="20"/>
              </w:rPr>
            </w:pPr>
            <w:r w:rsidRPr="009D5B83">
              <w:rPr>
                <w:sz w:val="20"/>
                <w:szCs w:val="20"/>
              </w:rPr>
              <w:t xml:space="preserve">Пенсионное обеспечение </w:t>
            </w:r>
          </w:p>
        </w:tc>
        <w:tc>
          <w:tcPr>
            <w:tcW w:w="1135" w:type="dxa"/>
            <w:shd w:val="clear" w:color="auto" w:fill="auto"/>
            <w:noWrap/>
            <w:vAlign w:val="center"/>
            <w:hideMark/>
          </w:tcPr>
          <w:p w14:paraId="6A22D35E" w14:textId="77777777" w:rsidR="00B54516" w:rsidRPr="009D5B83" w:rsidRDefault="00B54516" w:rsidP="00B54516">
            <w:pPr>
              <w:spacing w:after="60"/>
              <w:jc w:val="center"/>
              <w:rPr>
                <w:iCs/>
                <w:color w:val="2F5496"/>
                <w:sz w:val="20"/>
                <w:szCs w:val="20"/>
              </w:rPr>
            </w:pPr>
            <w:r w:rsidRPr="009D5B83">
              <w:rPr>
                <w:iCs/>
                <w:sz w:val="20"/>
                <w:szCs w:val="20"/>
              </w:rPr>
              <w:t>3 520,1</w:t>
            </w:r>
          </w:p>
        </w:tc>
        <w:tc>
          <w:tcPr>
            <w:tcW w:w="1136" w:type="dxa"/>
            <w:shd w:val="clear" w:color="auto" w:fill="auto"/>
            <w:noWrap/>
            <w:vAlign w:val="center"/>
            <w:hideMark/>
          </w:tcPr>
          <w:p w14:paraId="5513BF13" w14:textId="77777777" w:rsidR="00B54516" w:rsidRPr="009D5B83" w:rsidRDefault="00B54516" w:rsidP="00B54516">
            <w:pPr>
              <w:spacing w:after="60"/>
              <w:jc w:val="center"/>
              <w:rPr>
                <w:iCs/>
                <w:color w:val="2F5496"/>
                <w:sz w:val="20"/>
                <w:szCs w:val="20"/>
              </w:rPr>
            </w:pPr>
            <w:r w:rsidRPr="009D5B83">
              <w:rPr>
                <w:iCs/>
                <w:sz w:val="20"/>
                <w:szCs w:val="20"/>
              </w:rPr>
              <w:t xml:space="preserve">3 371,1 </w:t>
            </w:r>
          </w:p>
        </w:tc>
        <w:tc>
          <w:tcPr>
            <w:tcW w:w="1136" w:type="dxa"/>
            <w:shd w:val="clear" w:color="auto" w:fill="auto"/>
            <w:noWrap/>
            <w:vAlign w:val="center"/>
            <w:hideMark/>
          </w:tcPr>
          <w:p w14:paraId="71961464" w14:textId="77777777" w:rsidR="00B54516" w:rsidRPr="009D5B83" w:rsidRDefault="00B54516" w:rsidP="00B54516">
            <w:pPr>
              <w:spacing w:after="60"/>
              <w:jc w:val="center"/>
              <w:rPr>
                <w:iCs/>
                <w:color w:val="2F5496"/>
                <w:sz w:val="20"/>
                <w:szCs w:val="20"/>
              </w:rPr>
            </w:pPr>
            <w:r w:rsidRPr="009D5B83">
              <w:rPr>
                <w:iCs/>
                <w:sz w:val="20"/>
                <w:szCs w:val="20"/>
              </w:rPr>
              <w:t>3 789,4</w:t>
            </w:r>
          </w:p>
        </w:tc>
        <w:tc>
          <w:tcPr>
            <w:tcW w:w="1136" w:type="dxa"/>
            <w:shd w:val="clear" w:color="auto" w:fill="auto"/>
            <w:noWrap/>
            <w:vAlign w:val="center"/>
            <w:hideMark/>
          </w:tcPr>
          <w:p w14:paraId="25992E06" w14:textId="77777777" w:rsidR="00B54516" w:rsidRPr="009D5B83" w:rsidRDefault="00B54516" w:rsidP="00B54516">
            <w:pPr>
              <w:spacing w:after="60"/>
              <w:jc w:val="center"/>
              <w:rPr>
                <w:iCs/>
                <w:color w:val="2F5496"/>
                <w:sz w:val="20"/>
                <w:szCs w:val="20"/>
              </w:rPr>
            </w:pPr>
            <w:r w:rsidRPr="009D5B83">
              <w:rPr>
                <w:iCs/>
                <w:sz w:val="20"/>
                <w:szCs w:val="20"/>
              </w:rPr>
              <w:t>3 754,4</w:t>
            </w:r>
          </w:p>
        </w:tc>
        <w:tc>
          <w:tcPr>
            <w:tcW w:w="1136" w:type="dxa"/>
            <w:shd w:val="clear" w:color="auto" w:fill="auto"/>
            <w:noWrap/>
            <w:vAlign w:val="center"/>
            <w:hideMark/>
          </w:tcPr>
          <w:p w14:paraId="00877307" w14:textId="77777777" w:rsidR="00B54516" w:rsidRPr="009D5B83" w:rsidRDefault="00B54516" w:rsidP="00B54516">
            <w:pPr>
              <w:spacing w:after="60"/>
              <w:jc w:val="center"/>
              <w:rPr>
                <w:iCs/>
                <w:color w:val="2F5496"/>
                <w:sz w:val="20"/>
                <w:szCs w:val="20"/>
              </w:rPr>
            </w:pPr>
            <w:r w:rsidRPr="009D5B83">
              <w:rPr>
                <w:iCs/>
                <w:sz w:val="20"/>
                <w:szCs w:val="20"/>
              </w:rPr>
              <w:t>3 518,3</w:t>
            </w:r>
          </w:p>
        </w:tc>
      </w:tr>
      <w:tr w:rsidR="00B54516" w:rsidRPr="009D5B83" w14:paraId="28274A58" w14:textId="77777777" w:rsidTr="00B54516">
        <w:trPr>
          <w:trHeight w:val="346"/>
        </w:trPr>
        <w:tc>
          <w:tcPr>
            <w:tcW w:w="3672" w:type="dxa"/>
            <w:shd w:val="clear" w:color="auto" w:fill="auto"/>
            <w:noWrap/>
            <w:vAlign w:val="center"/>
            <w:hideMark/>
          </w:tcPr>
          <w:p w14:paraId="2E0C5C2D" w14:textId="77777777" w:rsidR="00B54516" w:rsidRPr="009D5B83" w:rsidRDefault="00B54516" w:rsidP="00B54516">
            <w:pPr>
              <w:spacing w:after="60"/>
              <w:ind w:left="174"/>
              <w:rPr>
                <w:sz w:val="20"/>
                <w:szCs w:val="20"/>
              </w:rPr>
            </w:pPr>
            <w:r w:rsidRPr="009D5B83">
              <w:rPr>
                <w:sz w:val="20"/>
                <w:szCs w:val="20"/>
              </w:rPr>
              <w:t>Социальное обслуживание населения</w:t>
            </w:r>
          </w:p>
        </w:tc>
        <w:tc>
          <w:tcPr>
            <w:tcW w:w="1135" w:type="dxa"/>
            <w:shd w:val="clear" w:color="auto" w:fill="auto"/>
            <w:noWrap/>
            <w:vAlign w:val="center"/>
            <w:hideMark/>
          </w:tcPr>
          <w:p w14:paraId="2B38F50E" w14:textId="77777777" w:rsidR="00B54516" w:rsidRPr="009D5B83" w:rsidRDefault="00B54516" w:rsidP="00B54516">
            <w:pPr>
              <w:spacing w:after="60"/>
              <w:jc w:val="center"/>
              <w:rPr>
                <w:iCs/>
                <w:color w:val="2F5496"/>
                <w:sz w:val="20"/>
                <w:szCs w:val="20"/>
              </w:rPr>
            </w:pPr>
            <w:r w:rsidRPr="009D5B83">
              <w:rPr>
                <w:iCs/>
                <w:sz w:val="20"/>
                <w:szCs w:val="20"/>
              </w:rPr>
              <w:t>21,2</w:t>
            </w:r>
          </w:p>
        </w:tc>
        <w:tc>
          <w:tcPr>
            <w:tcW w:w="1136" w:type="dxa"/>
            <w:shd w:val="clear" w:color="auto" w:fill="auto"/>
            <w:noWrap/>
            <w:vAlign w:val="center"/>
            <w:hideMark/>
          </w:tcPr>
          <w:p w14:paraId="431DD13C" w14:textId="77777777" w:rsidR="00B54516" w:rsidRPr="009D5B83" w:rsidRDefault="00B54516" w:rsidP="00B54516">
            <w:pPr>
              <w:spacing w:after="60"/>
              <w:jc w:val="center"/>
              <w:rPr>
                <w:iCs/>
                <w:color w:val="2F5496"/>
                <w:sz w:val="20"/>
                <w:szCs w:val="20"/>
              </w:rPr>
            </w:pPr>
            <w:r w:rsidRPr="009D5B83">
              <w:rPr>
                <w:iCs/>
                <w:sz w:val="20"/>
                <w:szCs w:val="20"/>
              </w:rPr>
              <w:t>19,1</w:t>
            </w:r>
          </w:p>
        </w:tc>
        <w:tc>
          <w:tcPr>
            <w:tcW w:w="1136" w:type="dxa"/>
            <w:shd w:val="clear" w:color="auto" w:fill="auto"/>
            <w:noWrap/>
            <w:vAlign w:val="center"/>
            <w:hideMark/>
          </w:tcPr>
          <w:p w14:paraId="69F0B8A5" w14:textId="77777777" w:rsidR="00B54516" w:rsidRPr="009D5B83" w:rsidRDefault="00B54516" w:rsidP="00B54516">
            <w:pPr>
              <w:spacing w:after="60"/>
              <w:jc w:val="center"/>
              <w:rPr>
                <w:iCs/>
                <w:color w:val="2F5496"/>
                <w:sz w:val="20"/>
                <w:szCs w:val="20"/>
              </w:rPr>
            </w:pPr>
            <w:r w:rsidRPr="009D5B83">
              <w:rPr>
                <w:iCs/>
                <w:sz w:val="20"/>
                <w:szCs w:val="20"/>
              </w:rPr>
              <w:t>21,4</w:t>
            </w:r>
          </w:p>
        </w:tc>
        <w:tc>
          <w:tcPr>
            <w:tcW w:w="1136" w:type="dxa"/>
            <w:shd w:val="clear" w:color="auto" w:fill="auto"/>
            <w:noWrap/>
            <w:vAlign w:val="center"/>
            <w:hideMark/>
          </w:tcPr>
          <w:p w14:paraId="52E88794" w14:textId="77777777" w:rsidR="00B54516" w:rsidRPr="009D5B83" w:rsidRDefault="00B54516" w:rsidP="00B54516">
            <w:pPr>
              <w:spacing w:after="60"/>
              <w:jc w:val="center"/>
              <w:rPr>
                <w:iCs/>
                <w:color w:val="2F5496"/>
                <w:sz w:val="20"/>
                <w:szCs w:val="20"/>
              </w:rPr>
            </w:pPr>
            <w:r w:rsidRPr="009D5B83">
              <w:rPr>
                <w:iCs/>
                <w:sz w:val="20"/>
                <w:szCs w:val="20"/>
              </w:rPr>
              <w:t>22,2</w:t>
            </w:r>
          </w:p>
        </w:tc>
        <w:tc>
          <w:tcPr>
            <w:tcW w:w="1136" w:type="dxa"/>
            <w:shd w:val="clear" w:color="auto" w:fill="auto"/>
            <w:noWrap/>
            <w:vAlign w:val="center"/>
            <w:hideMark/>
          </w:tcPr>
          <w:p w14:paraId="3DA61959" w14:textId="77777777" w:rsidR="00B54516" w:rsidRPr="009D5B83" w:rsidRDefault="00B54516" w:rsidP="00B54516">
            <w:pPr>
              <w:spacing w:after="60"/>
              <w:jc w:val="center"/>
              <w:rPr>
                <w:iCs/>
                <w:color w:val="2F5496"/>
                <w:sz w:val="20"/>
                <w:szCs w:val="20"/>
              </w:rPr>
            </w:pPr>
            <w:r w:rsidRPr="009D5B83">
              <w:rPr>
                <w:iCs/>
                <w:sz w:val="20"/>
                <w:szCs w:val="20"/>
              </w:rPr>
              <w:t>21,4</w:t>
            </w:r>
          </w:p>
        </w:tc>
      </w:tr>
      <w:tr w:rsidR="00B54516" w:rsidRPr="009D5B83" w14:paraId="20BB09B6" w14:textId="77777777" w:rsidTr="00B54516">
        <w:trPr>
          <w:trHeight w:val="346"/>
        </w:trPr>
        <w:tc>
          <w:tcPr>
            <w:tcW w:w="3672" w:type="dxa"/>
            <w:shd w:val="clear" w:color="auto" w:fill="auto"/>
            <w:noWrap/>
            <w:vAlign w:val="center"/>
            <w:hideMark/>
          </w:tcPr>
          <w:p w14:paraId="065BD1BD" w14:textId="77777777" w:rsidR="00B54516" w:rsidRPr="009D5B83" w:rsidRDefault="00B54516" w:rsidP="00B54516">
            <w:pPr>
              <w:spacing w:after="60"/>
              <w:ind w:left="174"/>
              <w:rPr>
                <w:sz w:val="20"/>
                <w:szCs w:val="20"/>
              </w:rPr>
            </w:pPr>
            <w:r w:rsidRPr="009D5B83">
              <w:rPr>
                <w:sz w:val="20"/>
                <w:szCs w:val="20"/>
              </w:rPr>
              <w:t xml:space="preserve">Социальное обеспечение населения </w:t>
            </w:r>
          </w:p>
        </w:tc>
        <w:tc>
          <w:tcPr>
            <w:tcW w:w="1135" w:type="dxa"/>
            <w:shd w:val="clear" w:color="auto" w:fill="auto"/>
            <w:noWrap/>
            <w:vAlign w:val="center"/>
            <w:hideMark/>
          </w:tcPr>
          <w:p w14:paraId="0B89E2E1" w14:textId="77777777" w:rsidR="00B54516" w:rsidRPr="009D5B83" w:rsidRDefault="00B54516" w:rsidP="00B54516">
            <w:pPr>
              <w:spacing w:after="60"/>
              <w:jc w:val="center"/>
              <w:rPr>
                <w:iCs/>
                <w:color w:val="2F5496"/>
                <w:sz w:val="20"/>
                <w:szCs w:val="20"/>
              </w:rPr>
            </w:pPr>
            <w:r w:rsidRPr="009D5B83">
              <w:rPr>
                <w:iCs/>
                <w:sz w:val="20"/>
                <w:szCs w:val="20"/>
              </w:rPr>
              <w:t>1 854,3</w:t>
            </w:r>
          </w:p>
        </w:tc>
        <w:tc>
          <w:tcPr>
            <w:tcW w:w="1136" w:type="dxa"/>
            <w:shd w:val="clear" w:color="auto" w:fill="auto"/>
            <w:noWrap/>
            <w:vAlign w:val="center"/>
            <w:hideMark/>
          </w:tcPr>
          <w:p w14:paraId="43D19373" w14:textId="77777777" w:rsidR="00B54516" w:rsidRPr="009D5B83" w:rsidRDefault="00B54516" w:rsidP="00B54516">
            <w:pPr>
              <w:spacing w:after="60"/>
              <w:jc w:val="center"/>
              <w:rPr>
                <w:iCs/>
                <w:color w:val="2F5496"/>
                <w:sz w:val="20"/>
                <w:szCs w:val="20"/>
              </w:rPr>
            </w:pPr>
            <w:r w:rsidRPr="009D5B83">
              <w:rPr>
                <w:iCs/>
                <w:sz w:val="20"/>
                <w:szCs w:val="20"/>
              </w:rPr>
              <w:t>1 438,2</w:t>
            </w:r>
          </w:p>
        </w:tc>
        <w:tc>
          <w:tcPr>
            <w:tcW w:w="1136" w:type="dxa"/>
            <w:shd w:val="clear" w:color="auto" w:fill="auto"/>
            <w:noWrap/>
            <w:vAlign w:val="center"/>
            <w:hideMark/>
          </w:tcPr>
          <w:p w14:paraId="5A128814" w14:textId="77777777" w:rsidR="00B54516" w:rsidRPr="009D5B83" w:rsidRDefault="00B54516" w:rsidP="00B54516">
            <w:pPr>
              <w:spacing w:after="60"/>
              <w:jc w:val="center"/>
              <w:rPr>
                <w:iCs/>
                <w:sz w:val="20"/>
                <w:szCs w:val="20"/>
              </w:rPr>
            </w:pPr>
            <w:r w:rsidRPr="009D5B83">
              <w:rPr>
                <w:iCs/>
                <w:sz w:val="20"/>
                <w:szCs w:val="20"/>
              </w:rPr>
              <w:t>1 474,9</w:t>
            </w:r>
          </w:p>
        </w:tc>
        <w:tc>
          <w:tcPr>
            <w:tcW w:w="1136" w:type="dxa"/>
            <w:shd w:val="clear" w:color="auto" w:fill="auto"/>
            <w:noWrap/>
            <w:vAlign w:val="center"/>
            <w:hideMark/>
          </w:tcPr>
          <w:p w14:paraId="13FB5749" w14:textId="77777777" w:rsidR="00B54516" w:rsidRPr="009D5B83" w:rsidRDefault="00B54516" w:rsidP="00B54516">
            <w:pPr>
              <w:spacing w:after="60"/>
              <w:jc w:val="center"/>
              <w:rPr>
                <w:iCs/>
                <w:sz w:val="20"/>
                <w:szCs w:val="20"/>
              </w:rPr>
            </w:pPr>
            <w:r w:rsidRPr="009D5B83">
              <w:rPr>
                <w:iCs/>
                <w:sz w:val="20"/>
                <w:szCs w:val="20"/>
              </w:rPr>
              <w:t>1 442,7</w:t>
            </w:r>
          </w:p>
        </w:tc>
        <w:tc>
          <w:tcPr>
            <w:tcW w:w="1136" w:type="dxa"/>
            <w:shd w:val="clear" w:color="auto" w:fill="auto"/>
            <w:noWrap/>
            <w:vAlign w:val="center"/>
            <w:hideMark/>
          </w:tcPr>
          <w:p w14:paraId="2C505434" w14:textId="77777777" w:rsidR="00B54516" w:rsidRPr="009D5B83" w:rsidRDefault="00B54516" w:rsidP="00B54516">
            <w:pPr>
              <w:spacing w:after="60"/>
              <w:jc w:val="center"/>
              <w:rPr>
                <w:iCs/>
                <w:color w:val="2F5496"/>
                <w:sz w:val="20"/>
                <w:szCs w:val="20"/>
              </w:rPr>
            </w:pPr>
            <w:r w:rsidRPr="009D5B83">
              <w:rPr>
                <w:iCs/>
                <w:sz w:val="20"/>
                <w:szCs w:val="20"/>
              </w:rPr>
              <w:t>1 484,0</w:t>
            </w:r>
          </w:p>
        </w:tc>
      </w:tr>
      <w:tr w:rsidR="00B54516" w:rsidRPr="009D5B83" w14:paraId="38029395" w14:textId="77777777" w:rsidTr="00B54516">
        <w:trPr>
          <w:trHeight w:val="346"/>
        </w:trPr>
        <w:tc>
          <w:tcPr>
            <w:tcW w:w="3672" w:type="dxa"/>
            <w:shd w:val="clear" w:color="auto" w:fill="auto"/>
            <w:noWrap/>
            <w:vAlign w:val="center"/>
            <w:hideMark/>
          </w:tcPr>
          <w:p w14:paraId="42705526" w14:textId="77777777" w:rsidR="00B54516" w:rsidRPr="009D5B83" w:rsidRDefault="00B54516" w:rsidP="00B54516">
            <w:pPr>
              <w:spacing w:after="60"/>
              <w:ind w:left="174"/>
              <w:rPr>
                <w:sz w:val="20"/>
                <w:szCs w:val="20"/>
              </w:rPr>
            </w:pPr>
            <w:r w:rsidRPr="009D5B83">
              <w:rPr>
                <w:sz w:val="20"/>
                <w:szCs w:val="20"/>
              </w:rPr>
              <w:t xml:space="preserve">Охрана семьи и детства </w:t>
            </w:r>
          </w:p>
        </w:tc>
        <w:tc>
          <w:tcPr>
            <w:tcW w:w="1135" w:type="dxa"/>
            <w:shd w:val="clear" w:color="auto" w:fill="auto"/>
            <w:noWrap/>
            <w:vAlign w:val="center"/>
            <w:hideMark/>
          </w:tcPr>
          <w:p w14:paraId="6A7F57F6" w14:textId="77777777" w:rsidR="00B54516" w:rsidRPr="009D5B83" w:rsidRDefault="00B54516" w:rsidP="00B54516">
            <w:pPr>
              <w:spacing w:after="60"/>
              <w:jc w:val="center"/>
              <w:rPr>
                <w:iCs/>
                <w:color w:val="2F5496"/>
                <w:sz w:val="20"/>
                <w:szCs w:val="20"/>
              </w:rPr>
            </w:pPr>
            <w:r w:rsidRPr="009D5B83">
              <w:rPr>
                <w:iCs/>
                <w:sz w:val="20"/>
                <w:szCs w:val="20"/>
              </w:rPr>
              <w:t>1 244,4</w:t>
            </w:r>
          </w:p>
        </w:tc>
        <w:tc>
          <w:tcPr>
            <w:tcW w:w="1136" w:type="dxa"/>
            <w:shd w:val="clear" w:color="auto" w:fill="auto"/>
            <w:noWrap/>
            <w:vAlign w:val="center"/>
            <w:hideMark/>
          </w:tcPr>
          <w:p w14:paraId="325E6B4F" w14:textId="77777777" w:rsidR="00B54516" w:rsidRPr="009D5B83" w:rsidRDefault="00B54516" w:rsidP="00B54516">
            <w:pPr>
              <w:spacing w:after="60"/>
              <w:jc w:val="center"/>
              <w:rPr>
                <w:iCs/>
                <w:color w:val="2F5496"/>
                <w:sz w:val="20"/>
                <w:szCs w:val="20"/>
              </w:rPr>
            </w:pPr>
            <w:r w:rsidRPr="009D5B83">
              <w:rPr>
                <w:iCs/>
                <w:sz w:val="20"/>
                <w:szCs w:val="20"/>
              </w:rPr>
              <w:t>1 576,7</w:t>
            </w:r>
          </w:p>
        </w:tc>
        <w:tc>
          <w:tcPr>
            <w:tcW w:w="1136" w:type="dxa"/>
            <w:shd w:val="clear" w:color="auto" w:fill="auto"/>
            <w:noWrap/>
            <w:vAlign w:val="center"/>
            <w:hideMark/>
          </w:tcPr>
          <w:p w14:paraId="6B478199" w14:textId="77777777" w:rsidR="00B54516" w:rsidRPr="009D5B83" w:rsidRDefault="00B54516" w:rsidP="00B54516">
            <w:pPr>
              <w:spacing w:after="60"/>
              <w:jc w:val="center"/>
              <w:rPr>
                <w:iCs/>
                <w:sz w:val="20"/>
                <w:szCs w:val="20"/>
              </w:rPr>
            </w:pPr>
            <w:r w:rsidRPr="009D5B83">
              <w:rPr>
                <w:iCs/>
                <w:sz w:val="20"/>
                <w:szCs w:val="20"/>
              </w:rPr>
              <w:t>2 001,6</w:t>
            </w:r>
          </w:p>
        </w:tc>
        <w:tc>
          <w:tcPr>
            <w:tcW w:w="1136" w:type="dxa"/>
            <w:shd w:val="clear" w:color="auto" w:fill="auto"/>
            <w:noWrap/>
            <w:vAlign w:val="center"/>
            <w:hideMark/>
          </w:tcPr>
          <w:p w14:paraId="3143CADC" w14:textId="77777777" w:rsidR="00B54516" w:rsidRPr="009D5B83" w:rsidRDefault="00B54516" w:rsidP="00B54516">
            <w:pPr>
              <w:spacing w:after="60"/>
              <w:jc w:val="center"/>
              <w:rPr>
                <w:iCs/>
                <w:color w:val="2F5496"/>
                <w:sz w:val="20"/>
                <w:szCs w:val="20"/>
              </w:rPr>
            </w:pPr>
            <w:r w:rsidRPr="009D5B83">
              <w:rPr>
                <w:iCs/>
                <w:sz w:val="20"/>
                <w:szCs w:val="20"/>
              </w:rPr>
              <w:t>2 022,1</w:t>
            </w:r>
          </w:p>
        </w:tc>
        <w:tc>
          <w:tcPr>
            <w:tcW w:w="1136" w:type="dxa"/>
            <w:shd w:val="clear" w:color="auto" w:fill="auto"/>
            <w:noWrap/>
            <w:vAlign w:val="center"/>
            <w:hideMark/>
          </w:tcPr>
          <w:p w14:paraId="10CA3291" w14:textId="77777777" w:rsidR="00B54516" w:rsidRPr="009D5B83" w:rsidRDefault="00B54516" w:rsidP="00B54516">
            <w:pPr>
              <w:spacing w:after="60"/>
              <w:jc w:val="center"/>
              <w:rPr>
                <w:iCs/>
                <w:color w:val="2F5496"/>
                <w:sz w:val="20"/>
                <w:szCs w:val="20"/>
              </w:rPr>
            </w:pPr>
            <w:r w:rsidRPr="009D5B83">
              <w:rPr>
                <w:iCs/>
                <w:sz w:val="20"/>
                <w:szCs w:val="20"/>
              </w:rPr>
              <w:t>2 092,0</w:t>
            </w:r>
          </w:p>
        </w:tc>
      </w:tr>
      <w:tr w:rsidR="00B54516" w:rsidRPr="009D5B83" w14:paraId="2EDE7D4C" w14:textId="77777777" w:rsidTr="00B54516">
        <w:trPr>
          <w:trHeight w:val="346"/>
        </w:trPr>
        <w:tc>
          <w:tcPr>
            <w:tcW w:w="3672" w:type="dxa"/>
            <w:shd w:val="clear" w:color="auto" w:fill="auto"/>
            <w:noWrap/>
            <w:vAlign w:val="center"/>
            <w:hideMark/>
          </w:tcPr>
          <w:p w14:paraId="55E489BA" w14:textId="77777777" w:rsidR="00B54516" w:rsidRPr="009D5B83" w:rsidRDefault="00B54516" w:rsidP="00B54516">
            <w:pPr>
              <w:spacing w:after="60"/>
              <w:ind w:left="174"/>
              <w:rPr>
                <w:sz w:val="20"/>
                <w:szCs w:val="20"/>
              </w:rPr>
            </w:pPr>
            <w:r w:rsidRPr="009D5B83">
              <w:rPr>
                <w:sz w:val="20"/>
                <w:szCs w:val="20"/>
              </w:rPr>
              <w:t>Прикладные научные исследования</w:t>
            </w:r>
          </w:p>
        </w:tc>
        <w:tc>
          <w:tcPr>
            <w:tcW w:w="1135" w:type="dxa"/>
            <w:shd w:val="clear" w:color="auto" w:fill="auto"/>
            <w:noWrap/>
            <w:vAlign w:val="center"/>
            <w:hideMark/>
          </w:tcPr>
          <w:p w14:paraId="3B84932A" w14:textId="77777777" w:rsidR="00B54516" w:rsidRPr="009D5B83" w:rsidRDefault="00B54516" w:rsidP="00B54516">
            <w:pPr>
              <w:spacing w:after="60"/>
              <w:jc w:val="center"/>
              <w:rPr>
                <w:iCs/>
                <w:sz w:val="20"/>
                <w:szCs w:val="20"/>
              </w:rPr>
            </w:pPr>
            <w:r w:rsidRPr="009D5B83">
              <w:rPr>
                <w:iCs/>
                <w:sz w:val="20"/>
                <w:szCs w:val="20"/>
              </w:rPr>
              <w:t>0,5</w:t>
            </w:r>
          </w:p>
        </w:tc>
        <w:tc>
          <w:tcPr>
            <w:tcW w:w="1136" w:type="dxa"/>
            <w:shd w:val="clear" w:color="auto" w:fill="auto"/>
            <w:noWrap/>
            <w:vAlign w:val="center"/>
            <w:hideMark/>
          </w:tcPr>
          <w:p w14:paraId="680E8FFE" w14:textId="77777777" w:rsidR="00B54516" w:rsidRPr="009D5B83" w:rsidRDefault="00B54516" w:rsidP="00B54516">
            <w:pPr>
              <w:spacing w:after="60"/>
              <w:jc w:val="center"/>
              <w:rPr>
                <w:iCs/>
                <w:color w:val="2F5496"/>
                <w:sz w:val="20"/>
                <w:szCs w:val="20"/>
              </w:rPr>
            </w:pPr>
            <w:r w:rsidRPr="009D5B83">
              <w:rPr>
                <w:iCs/>
                <w:sz w:val="20"/>
                <w:szCs w:val="20"/>
              </w:rPr>
              <w:t>0,9</w:t>
            </w:r>
          </w:p>
        </w:tc>
        <w:tc>
          <w:tcPr>
            <w:tcW w:w="1136" w:type="dxa"/>
            <w:shd w:val="clear" w:color="auto" w:fill="auto"/>
            <w:noWrap/>
            <w:vAlign w:val="center"/>
            <w:hideMark/>
          </w:tcPr>
          <w:p w14:paraId="11B6E608" w14:textId="77777777" w:rsidR="00B54516" w:rsidRPr="009D5B83" w:rsidRDefault="00B54516" w:rsidP="00B54516">
            <w:pPr>
              <w:spacing w:after="60"/>
              <w:jc w:val="center"/>
              <w:rPr>
                <w:iCs/>
                <w:color w:val="2F5496"/>
                <w:sz w:val="20"/>
                <w:szCs w:val="20"/>
              </w:rPr>
            </w:pPr>
            <w:r w:rsidRPr="009D5B83">
              <w:rPr>
                <w:iCs/>
                <w:sz w:val="20"/>
                <w:szCs w:val="20"/>
              </w:rPr>
              <w:t>0,6</w:t>
            </w:r>
          </w:p>
        </w:tc>
        <w:tc>
          <w:tcPr>
            <w:tcW w:w="1136" w:type="dxa"/>
            <w:shd w:val="clear" w:color="auto" w:fill="auto"/>
            <w:noWrap/>
            <w:vAlign w:val="center"/>
            <w:hideMark/>
          </w:tcPr>
          <w:p w14:paraId="30A383D2" w14:textId="77777777" w:rsidR="00B54516" w:rsidRPr="009D5B83" w:rsidRDefault="00B54516" w:rsidP="00B54516">
            <w:pPr>
              <w:spacing w:after="60"/>
              <w:jc w:val="center"/>
              <w:rPr>
                <w:iCs/>
                <w:color w:val="2F5496"/>
                <w:sz w:val="20"/>
                <w:szCs w:val="20"/>
              </w:rPr>
            </w:pPr>
            <w:r w:rsidRPr="009D5B83">
              <w:rPr>
                <w:iCs/>
                <w:sz w:val="20"/>
                <w:szCs w:val="20"/>
              </w:rPr>
              <w:t>0,4</w:t>
            </w:r>
          </w:p>
        </w:tc>
        <w:tc>
          <w:tcPr>
            <w:tcW w:w="1136" w:type="dxa"/>
            <w:shd w:val="clear" w:color="auto" w:fill="auto"/>
            <w:noWrap/>
            <w:vAlign w:val="center"/>
            <w:hideMark/>
          </w:tcPr>
          <w:p w14:paraId="0C04CAA3" w14:textId="77777777" w:rsidR="00B54516" w:rsidRPr="009D5B83" w:rsidRDefault="00B54516" w:rsidP="00B54516">
            <w:pPr>
              <w:spacing w:after="60"/>
              <w:jc w:val="center"/>
              <w:rPr>
                <w:iCs/>
                <w:sz w:val="20"/>
                <w:szCs w:val="20"/>
              </w:rPr>
            </w:pPr>
            <w:r w:rsidRPr="009D5B83">
              <w:rPr>
                <w:iCs/>
                <w:sz w:val="20"/>
                <w:szCs w:val="20"/>
              </w:rPr>
              <w:t>0,2</w:t>
            </w:r>
          </w:p>
        </w:tc>
      </w:tr>
      <w:tr w:rsidR="00B54516" w:rsidRPr="009D5B83" w14:paraId="719CE276" w14:textId="77777777" w:rsidTr="00B54516">
        <w:trPr>
          <w:trHeight w:val="346"/>
        </w:trPr>
        <w:tc>
          <w:tcPr>
            <w:tcW w:w="3672" w:type="dxa"/>
            <w:shd w:val="clear" w:color="auto" w:fill="auto"/>
            <w:noWrap/>
            <w:vAlign w:val="center"/>
            <w:hideMark/>
          </w:tcPr>
          <w:p w14:paraId="28799B49" w14:textId="77777777" w:rsidR="00B54516" w:rsidRPr="009D5B83" w:rsidRDefault="00B54516" w:rsidP="00B54516">
            <w:pPr>
              <w:spacing w:after="60"/>
              <w:ind w:left="174"/>
              <w:rPr>
                <w:sz w:val="20"/>
                <w:szCs w:val="20"/>
              </w:rPr>
            </w:pPr>
            <w:r w:rsidRPr="009D5B83">
              <w:rPr>
                <w:sz w:val="20"/>
                <w:szCs w:val="20"/>
              </w:rPr>
              <w:t>Другие вопросы в области социальной политики</w:t>
            </w:r>
          </w:p>
        </w:tc>
        <w:tc>
          <w:tcPr>
            <w:tcW w:w="1135" w:type="dxa"/>
            <w:shd w:val="clear" w:color="auto" w:fill="auto"/>
            <w:noWrap/>
            <w:vAlign w:val="center"/>
            <w:hideMark/>
          </w:tcPr>
          <w:p w14:paraId="5C470EB8" w14:textId="77777777" w:rsidR="00B54516" w:rsidRPr="009D5B83" w:rsidRDefault="00B54516" w:rsidP="00B54516">
            <w:pPr>
              <w:spacing w:after="60"/>
              <w:jc w:val="center"/>
              <w:rPr>
                <w:iCs/>
                <w:sz w:val="20"/>
                <w:szCs w:val="20"/>
              </w:rPr>
            </w:pPr>
            <w:r w:rsidRPr="009D5B83">
              <w:rPr>
                <w:iCs/>
                <w:sz w:val="20"/>
                <w:szCs w:val="20"/>
              </w:rPr>
              <w:t>35,3</w:t>
            </w:r>
          </w:p>
        </w:tc>
        <w:tc>
          <w:tcPr>
            <w:tcW w:w="1136" w:type="dxa"/>
            <w:shd w:val="clear" w:color="auto" w:fill="auto"/>
            <w:noWrap/>
            <w:vAlign w:val="center"/>
            <w:hideMark/>
          </w:tcPr>
          <w:p w14:paraId="2D0C8276" w14:textId="77777777" w:rsidR="00B54516" w:rsidRPr="009D5B83" w:rsidRDefault="00B54516" w:rsidP="00B54516">
            <w:pPr>
              <w:spacing w:after="60"/>
              <w:jc w:val="center"/>
              <w:rPr>
                <w:iCs/>
                <w:color w:val="2F5496"/>
                <w:sz w:val="20"/>
                <w:szCs w:val="20"/>
              </w:rPr>
            </w:pPr>
            <w:r w:rsidRPr="009D5B83">
              <w:rPr>
                <w:iCs/>
                <w:sz w:val="20"/>
                <w:szCs w:val="20"/>
              </w:rPr>
              <w:t>47,4</w:t>
            </w:r>
          </w:p>
        </w:tc>
        <w:tc>
          <w:tcPr>
            <w:tcW w:w="1136" w:type="dxa"/>
            <w:shd w:val="clear" w:color="auto" w:fill="auto"/>
            <w:noWrap/>
            <w:vAlign w:val="center"/>
            <w:hideMark/>
          </w:tcPr>
          <w:p w14:paraId="53F5A5A2" w14:textId="77777777" w:rsidR="00B54516" w:rsidRPr="009D5B83" w:rsidRDefault="00B54516" w:rsidP="00B54516">
            <w:pPr>
              <w:spacing w:after="60"/>
              <w:jc w:val="center"/>
              <w:rPr>
                <w:iCs/>
                <w:color w:val="2F5496"/>
                <w:sz w:val="20"/>
                <w:szCs w:val="20"/>
              </w:rPr>
            </w:pPr>
            <w:r w:rsidRPr="009D5B83">
              <w:rPr>
                <w:iCs/>
                <w:sz w:val="20"/>
                <w:szCs w:val="20"/>
              </w:rPr>
              <w:t>55,2</w:t>
            </w:r>
          </w:p>
        </w:tc>
        <w:tc>
          <w:tcPr>
            <w:tcW w:w="1136" w:type="dxa"/>
            <w:shd w:val="clear" w:color="auto" w:fill="auto"/>
            <w:noWrap/>
            <w:vAlign w:val="center"/>
            <w:hideMark/>
          </w:tcPr>
          <w:p w14:paraId="11E01D9B" w14:textId="77777777" w:rsidR="00B54516" w:rsidRPr="009D5B83" w:rsidRDefault="00B54516" w:rsidP="00B54516">
            <w:pPr>
              <w:spacing w:after="60"/>
              <w:jc w:val="center"/>
              <w:rPr>
                <w:iCs/>
                <w:color w:val="2F5496"/>
                <w:sz w:val="20"/>
                <w:szCs w:val="20"/>
              </w:rPr>
            </w:pPr>
            <w:r w:rsidRPr="009D5B83">
              <w:rPr>
                <w:iCs/>
                <w:sz w:val="20"/>
                <w:szCs w:val="20"/>
              </w:rPr>
              <w:t>57,5</w:t>
            </w:r>
          </w:p>
        </w:tc>
        <w:tc>
          <w:tcPr>
            <w:tcW w:w="1136" w:type="dxa"/>
            <w:shd w:val="clear" w:color="auto" w:fill="auto"/>
            <w:noWrap/>
            <w:vAlign w:val="center"/>
            <w:hideMark/>
          </w:tcPr>
          <w:p w14:paraId="5DDC9069" w14:textId="77777777" w:rsidR="00B54516" w:rsidRPr="009D5B83" w:rsidRDefault="00B54516" w:rsidP="00B54516">
            <w:pPr>
              <w:spacing w:after="60"/>
              <w:jc w:val="center"/>
              <w:rPr>
                <w:iCs/>
                <w:sz w:val="20"/>
                <w:szCs w:val="20"/>
              </w:rPr>
            </w:pPr>
            <w:r w:rsidRPr="009D5B83">
              <w:rPr>
                <w:iCs/>
                <w:sz w:val="20"/>
                <w:szCs w:val="20"/>
              </w:rPr>
              <w:t>36,9</w:t>
            </w:r>
          </w:p>
        </w:tc>
      </w:tr>
    </w:tbl>
    <w:p w14:paraId="2AA8AC4C" w14:textId="026ECC2B" w:rsidR="00B54516" w:rsidRPr="009D5B83" w:rsidRDefault="00B54516" w:rsidP="00E21F34">
      <w:pPr>
        <w:spacing w:after="120"/>
        <w:ind w:firstLine="709"/>
        <w:jc w:val="both"/>
        <w:rPr>
          <w:sz w:val="20"/>
          <w:szCs w:val="20"/>
        </w:rPr>
      </w:pPr>
      <w:r w:rsidRPr="009D5B83">
        <w:rPr>
          <w:i/>
          <w:sz w:val="20"/>
          <w:szCs w:val="20"/>
        </w:rPr>
        <w:t>Источник:</w:t>
      </w:r>
      <w:r w:rsidRPr="009D5B83">
        <w:rPr>
          <w:sz w:val="20"/>
          <w:szCs w:val="20"/>
        </w:rPr>
        <w:t xml:space="preserve"> Законопроект, budget.gov.ru, Федеральный закон «Об исполнении федерального бюджета за 2021 год»</w:t>
      </w:r>
      <w:r w:rsidR="00E21F34" w:rsidRPr="009D5B83">
        <w:rPr>
          <w:sz w:val="20"/>
          <w:szCs w:val="20"/>
        </w:rPr>
        <w:t xml:space="preserve"> от 14.07.2022 N 249-ФЗ</w:t>
      </w:r>
      <w:r w:rsidRPr="009D5B83">
        <w:rPr>
          <w:sz w:val="20"/>
          <w:szCs w:val="20"/>
        </w:rPr>
        <w:t>.</w:t>
      </w:r>
    </w:p>
    <w:p w14:paraId="23E6BAF3" w14:textId="77777777" w:rsidR="00B54516" w:rsidRPr="00E103B9" w:rsidRDefault="00B54516" w:rsidP="00B54516">
      <w:pPr>
        <w:spacing w:after="60"/>
        <w:ind w:firstLine="709"/>
        <w:jc w:val="both"/>
        <w:rPr>
          <w:sz w:val="28"/>
        </w:rPr>
      </w:pPr>
      <w:r w:rsidRPr="00E103B9">
        <w:rPr>
          <w:sz w:val="28"/>
        </w:rPr>
        <w:t xml:space="preserve">Как и в предыдущие годы, почти половина всех расходов раздела приходится на пенсионное обеспечение. </w:t>
      </w:r>
      <w:proofErr w:type="gramStart"/>
      <w:r w:rsidRPr="00E103B9">
        <w:rPr>
          <w:sz w:val="28"/>
        </w:rPr>
        <w:t xml:space="preserve">Однако доля этих расходов в </w:t>
      </w:r>
      <w:r w:rsidRPr="00E103B9">
        <w:rPr>
          <w:sz w:val="28"/>
        </w:rPr>
        <w:lastRenderedPageBreak/>
        <w:t>структуре раздела немного снижается (с 52,2% в 2022 г. до 49,2% в 2025 г.), так же, как и доля расходов на социальное обеспечение населения (с 22,3% в 2022 г. до 20,7% в 2025 г.).</w:t>
      </w:r>
      <w:proofErr w:type="gramEnd"/>
      <w:r w:rsidRPr="00E103B9">
        <w:rPr>
          <w:sz w:val="28"/>
        </w:rPr>
        <w:t xml:space="preserve"> При этом доля расходов на охрану семьи и детства в 2025 г. составит 29,4% (в 2022 г. – 24,4%).</w:t>
      </w:r>
    </w:p>
    <w:p w14:paraId="659EBFDC" w14:textId="0547D809" w:rsidR="00B54516" w:rsidRPr="00E103B9" w:rsidRDefault="00B54516" w:rsidP="00B54516">
      <w:pPr>
        <w:spacing w:after="60"/>
        <w:ind w:firstLine="709"/>
        <w:jc w:val="both"/>
        <w:rPr>
          <w:sz w:val="28"/>
        </w:rPr>
      </w:pPr>
      <w:proofErr w:type="gramStart"/>
      <w:r w:rsidRPr="00E103B9">
        <w:rPr>
          <w:sz w:val="28"/>
        </w:rPr>
        <w:t xml:space="preserve">На рост расходов на пенсионное обеспечение </w:t>
      </w:r>
      <w:bookmarkStart w:id="37" w:name="_Hlk115818046"/>
      <w:r w:rsidRPr="00E103B9">
        <w:rPr>
          <w:sz w:val="28"/>
        </w:rPr>
        <w:t xml:space="preserve">по сравнению с </w:t>
      </w:r>
      <w:r w:rsidR="00E21F34" w:rsidRPr="00E103B9">
        <w:rPr>
          <w:sz w:val="28"/>
        </w:rPr>
        <w:t>Законом №</w:t>
      </w:r>
      <w:r w:rsidRPr="00E103B9">
        <w:rPr>
          <w:sz w:val="28"/>
        </w:rPr>
        <w:t>390-ФЗ</w:t>
      </w:r>
      <w:bookmarkEnd w:id="37"/>
      <w:r w:rsidRPr="00E103B9">
        <w:rPr>
          <w:sz w:val="28"/>
        </w:rPr>
        <w:t xml:space="preserve"> в основном оказывает влияние запланированное увеличение объемов финансирования пенсионного обеспечения граждан, уволенных с военной и приравненной к ней службы, и выплаты пенсий по государственному пенсионному обеспечению в связи с изменением численности получателей, выплаты федеральной и региональной доплат к пенсии в связи с пересчетом величины прожиточного минимума пенсионера в субъектах</w:t>
      </w:r>
      <w:proofErr w:type="gramEnd"/>
      <w:r w:rsidRPr="00E103B9">
        <w:rPr>
          <w:sz w:val="28"/>
        </w:rPr>
        <w:t xml:space="preserve"> </w:t>
      </w:r>
      <w:r w:rsidR="00E21F34" w:rsidRPr="00E103B9">
        <w:rPr>
          <w:sz w:val="28"/>
        </w:rPr>
        <w:t>РФ.</w:t>
      </w:r>
    </w:p>
    <w:p w14:paraId="163354FC" w14:textId="3CBB0657" w:rsidR="00B54516" w:rsidRPr="00E103B9" w:rsidRDefault="00B54516" w:rsidP="00B54516">
      <w:pPr>
        <w:spacing w:after="60"/>
        <w:ind w:firstLine="709"/>
        <w:jc w:val="both"/>
        <w:rPr>
          <w:sz w:val="28"/>
        </w:rPr>
      </w:pPr>
      <w:proofErr w:type="gramStart"/>
      <w:r w:rsidRPr="00E103B9">
        <w:rPr>
          <w:sz w:val="28"/>
        </w:rPr>
        <w:t xml:space="preserve">Существенный рост расходов на охрану семьи и детства по сравнению с </w:t>
      </w:r>
      <w:r w:rsidR="00E21F34" w:rsidRPr="00E103B9">
        <w:rPr>
          <w:sz w:val="28"/>
        </w:rPr>
        <w:t>Законом №</w:t>
      </w:r>
      <w:r w:rsidRPr="00E103B9">
        <w:rPr>
          <w:sz w:val="28"/>
        </w:rPr>
        <w:t>390-ФЗ связан с введением с 1 января 2023 г</w:t>
      </w:r>
      <w:r w:rsidR="00E21F34" w:rsidRPr="00E103B9">
        <w:rPr>
          <w:sz w:val="28"/>
        </w:rPr>
        <w:t>.</w:t>
      </w:r>
      <w:r w:rsidRPr="00E103B9">
        <w:rPr>
          <w:sz w:val="28"/>
        </w:rPr>
        <w:t xml:space="preserve"> в рамках исполнения поручения Президента </w:t>
      </w:r>
      <w:r w:rsidR="00E21F34" w:rsidRPr="00E103B9">
        <w:rPr>
          <w:sz w:val="28"/>
        </w:rPr>
        <w:t>РФ</w:t>
      </w:r>
      <w:r w:rsidRPr="00E103B9">
        <w:rPr>
          <w:sz w:val="28"/>
        </w:rPr>
        <w:t xml:space="preserve"> от 2 мая 2021 г</w:t>
      </w:r>
      <w:r w:rsidR="00E21F34" w:rsidRPr="00E103B9">
        <w:rPr>
          <w:sz w:val="28"/>
        </w:rPr>
        <w:t>.</w:t>
      </w:r>
      <w:r w:rsidRPr="00E103B9">
        <w:rPr>
          <w:sz w:val="28"/>
        </w:rPr>
        <w:t xml:space="preserve"> № Пр-753 универсального ежемесячного пособия малообеспеченным семьям с детьми до 17 лет и беременным женщинам (далее – универсальное пособие), а также финансовым обеспечением ежемесячной денежной выплаты на ребенка в возрасте</w:t>
      </w:r>
      <w:proofErr w:type="gramEnd"/>
      <w:r w:rsidRPr="00E103B9">
        <w:rPr>
          <w:sz w:val="28"/>
        </w:rPr>
        <w:t xml:space="preserve"> от 8 до 17 лет, </w:t>
      </w:r>
      <w:proofErr w:type="gramStart"/>
      <w:r w:rsidRPr="00E103B9">
        <w:rPr>
          <w:sz w:val="28"/>
        </w:rPr>
        <w:t>введенной</w:t>
      </w:r>
      <w:proofErr w:type="gramEnd"/>
      <w:r w:rsidRPr="00E103B9">
        <w:rPr>
          <w:sz w:val="28"/>
        </w:rPr>
        <w:t xml:space="preserve"> с 1 апреля 2022 г.</w:t>
      </w:r>
    </w:p>
    <w:p w14:paraId="4A4FF6E7" w14:textId="7A950A0F" w:rsidR="00B54516" w:rsidRPr="00E103B9" w:rsidRDefault="00B54516" w:rsidP="00B54516">
      <w:pPr>
        <w:spacing w:after="60"/>
        <w:ind w:firstLine="709"/>
        <w:jc w:val="both"/>
        <w:rPr>
          <w:rFonts w:eastAsia="Calibri"/>
          <w:sz w:val="28"/>
        </w:rPr>
      </w:pPr>
      <w:r w:rsidRPr="00E103B9">
        <w:rPr>
          <w:rFonts w:eastAsia="Calibri"/>
          <w:sz w:val="28"/>
        </w:rPr>
        <w:t xml:space="preserve">По НП «Демография» по сравнению с </w:t>
      </w:r>
      <w:r w:rsidR="00E21F34" w:rsidRPr="00E103B9">
        <w:rPr>
          <w:rFonts w:eastAsia="Calibri"/>
          <w:sz w:val="28"/>
        </w:rPr>
        <w:t>Законом №</w:t>
      </w:r>
      <w:r w:rsidRPr="00E103B9">
        <w:rPr>
          <w:rFonts w:eastAsia="Calibri"/>
          <w:sz w:val="28"/>
        </w:rPr>
        <w:t>390-ФЗ предусмотрено увеличение расходов в 2023 г. и снижение в 2024 г. Такое изменение параметров национального проекта в основном обусловлено изменениями в ФП «Финансовая поддержка семей при рождении детей». Увеличение расходов в 2023 г. в первую очередь связано с увеличением в 2023-2024 гг. объема субсидии АО «ДОМ</w:t>
      </w:r>
      <w:proofErr w:type="gramStart"/>
      <w:r w:rsidRPr="00E103B9">
        <w:rPr>
          <w:rFonts w:eastAsia="Calibri"/>
          <w:sz w:val="28"/>
        </w:rPr>
        <w:t>.Р</w:t>
      </w:r>
      <w:proofErr w:type="gramEnd"/>
      <w:r w:rsidRPr="00E103B9">
        <w:rPr>
          <w:rFonts w:eastAsia="Calibri"/>
          <w:sz w:val="28"/>
        </w:rPr>
        <w:t>Ф» в виде вкладов в имущество, не увеличивающих его уставный капитал, для возмещения недополученных доходов по выданным (приобретенным) жилищным (ипотечным) кредитам (займам), предоставленным гражданам Российской Федерации, имеющим детей, что обусловлено продлением срока действия программы и расширением ее условий. Кроме того, в 2023-2024 гг. будут увеличены расходы на предоставление материнского (семейного) капитала по сравнению с объемами, утвержденными </w:t>
      </w:r>
      <w:r w:rsidR="00E21F34" w:rsidRPr="00E103B9">
        <w:rPr>
          <w:rFonts w:eastAsia="Calibri"/>
          <w:sz w:val="28"/>
        </w:rPr>
        <w:t>Законом №</w:t>
      </w:r>
      <w:r w:rsidRPr="00E103B9">
        <w:rPr>
          <w:rFonts w:eastAsia="Calibri"/>
          <w:sz w:val="28"/>
        </w:rPr>
        <w:t>390-ФЗ в связи с уточнением численности получателей, а также отдельных показателей Прогноза.</w:t>
      </w:r>
    </w:p>
    <w:p w14:paraId="78BFCDF6" w14:textId="6DEF11D1" w:rsidR="00B54516" w:rsidRPr="00E103B9" w:rsidRDefault="00B54516" w:rsidP="00B54516">
      <w:pPr>
        <w:spacing w:after="60"/>
        <w:ind w:firstLine="709"/>
        <w:jc w:val="both"/>
        <w:rPr>
          <w:rFonts w:eastAsia="Calibri"/>
          <w:sz w:val="28"/>
        </w:rPr>
      </w:pPr>
      <w:r w:rsidRPr="00E103B9">
        <w:rPr>
          <w:rFonts w:eastAsia="Calibri"/>
          <w:sz w:val="28"/>
        </w:rPr>
        <w:t>Вместе с тем, с учетом введения универсального пособия в 2023-2024 гг., будут снижены объемы субвенции на осуществление ежемесячной выплаты в связи с рождением (усыновлением) первого ребенка и 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Значительное сокращение этих расходов в 2024 г</w:t>
      </w:r>
      <w:r w:rsidR="00E21F34" w:rsidRPr="00E103B9">
        <w:rPr>
          <w:rFonts w:eastAsia="Calibri"/>
          <w:sz w:val="28"/>
        </w:rPr>
        <w:t>.</w:t>
      </w:r>
      <w:r w:rsidRPr="00E103B9">
        <w:rPr>
          <w:rFonts w:eastAsia="Calibri"/>
          <w:sz w:val="28"/>
        </w:rPr>
        <w:t xml:space="preserve"> является основной причиной снижения расходов по национальному проекту в целом.</w:t>
      </w:r>
    </w:p>
    <w:p w14:paraId="714D5298" w14:textId="742215BA" w:rsidR="00B54516" w:rsidRPr="00E103B9" w:rsidRDefault="00B54516" w:rsidP="00B54516">
      <w:pPr>
        <w:spacing w:after="60"/>
        <w:ind w:firstLine="709"/>
        <w:jc w:val="both"/>
        <w:rPr>
          <w:rFonts w:eastAsia="Calibri"/>
          <w:sz w:val="28"/>
        </w:rPr>
      </w:pPr>
      <w:proofErr w:type="gramStart"/>
      <w:r w:rsidRPr="00E103B9">
        <w:rPr>
          <w:rFonts w:eastAsia="Calibri"/>
          <w:sz w:val="28"/>
        </w:rPr>
        <w:t xml:space="preserve">На рост расходов национального проекта в 2023 г. повлияло также увеличение финансового обеспечения мероприятий, направленных на </w:t>
      </w:r>
      <w:r w:rsidRPr="00E103B9">
        <w:rPr>
          <w:rFonts w:eastAsia="Calibri"/>
          <w:sz w:val="28"/>
        </w:rPr>
        <w:lastRenderedPageBreak/>
        <w:t xml:space="preserve">поддержку рынка труда в условиях внешнего </w:t>
      </w:r>
      <w:proofErr w:type="spellStart"/>
      <w:r w:rsidRPr="00E103B9">
        <w:rPr>
          <w:rFonts w:eastAsia="Calibri"/>
          <w:sz w:val="28"/>
        </w:rPr>
        <w:t>санкционного</w:t>
      </w:r>
      <w:proofErr w:type="spellEnd"/>
      <w:r w:rsidRPr="00E103B9">
        <w:rPr>
          <w:rFonts w:eastAsia="Calibri"/>
          <w:sz w:val="28"/>
        </w:rPr>
        <w:t xml:space="preserve"> давления, в рамках ФП «Содействие занятости» в 2023 г</w:t>
      </w:r>
      <w:r w:rsidR="001729B1" w:rsidRPr="00E103B9">
        <w:rPr>
          <w:rFonts w:eastAsia="Calibri"/>
          <w:sz w:val="28"/>
        </w:rPr>
        <w:t>.</w:t>
      </w:r>
      <w:r w:rsidRPr="00E103B9">
        <w:rPr>
          <w:rFonts w:eastAsia="Calibri"/>
          <w:sz w:val="28"/>
        </w:rPr>
        <w:t xml:space="preserve"> по сравнению с объемами, утвержденными </w:t>
      </w:r>
      <w:r w:rsidR="00B01B1A" w:rsidRPr="00E103B9">
        <w:rPr>
          <w:rFonts w:eastAsia="Calibri"/>
          <w:sz w:val="28"/>
        </w:rPr>
        <w:t>Законом №</w:t>
      </w:r>
      <w:r w:rsidRPr="00E103B9">
        <w:rPr>
          <w:rFonts w:eastAsia="Calibri"/>
          <w:sz w:val="28"/>
        </w:rPr>
        <w:t>390-ФЗ, в том числе на организацию временного трудоустройства работников организаций, находящихся под риском увольнения;</w:t>
      </w:r>
      <w:proofErr w:type="gramEnd"/>
      <w:r w:rsidRPr="00E103B9">
        <w:rPr>
          <w:rFonts w:eastAsia="Calibri"/>
          <w:sz w:val="28"/>
        </w:rPr>
        <w:t xml:space="preserve"> организацию общественных работ для граждан, зарегистрированных в органах службы занятости в целях поиска подходящей работы, включая безработных граждан; организацию профессионального обучения и дополнительного профессионального образования работников промышленных предприятий; повышение мобильности трудовых ресурсов.</w:t>
      </w:r>
    </w:p>
    <w:p w14:paraId="3E6697B7" w14:textId="77777777" w:rsidR="00B54516" w:rsidRPr="00E103B9" w:rsidRDefault="00B54516" w:rsidP="00B54516">
      <w:pPr>
        <w:spacing w:after="60"/>
        <w:ind w:firstLine="709"/>
        <w:jc w:val="both"/>
        <w:rPr>
          <w:rFonts w:eastAsia="Calibri"/>
          <w:sz w:val="28"/>
        </w:rPr>
      </w:pPr>
      <w:r w:rsidRPr="00E103B9">
        <w:rPr>
          <w:rFonts w:eastAsia="Calibri"/>
          <w:sz w:val="28"/>
        </w:rPr>
        <w:t xml:space="preserve">В </w:t>
      </w:r>
      <w:proofErr w:type="gramStart"/>
      <w:r w:rsidRPr="00E103B9">
        <w:rPr>
          <w:rFonts w:eastAsia="Calibri"/>
          <w:sz w:val="28"/>
        </w:rPr>
        <w:t>рамках</w:t>
      </w:r>
      <w:proofErr w:type="gramEnd"/>
      <w:r w:rsidRPr="00E103B9">
        <w:rPr>
          <w:rFonts w:eastAsia="Calibri"/>
          <w:sz w:val="28"/>
        </w:rPr>
        <w:t xml:space="preserve"> ФП «Старшее поколение» в 2023-2024 гг. предусмотрено расширение пилотного проекта по внедрению системы долговременного ухода за гражданами пожилого возраста и инвалидами, нуждающимися в постороннем уходе, в пяти регионах обусловлено увеличением бюджетных ассигнований на создание системы долговременного ухода за гражданами пожилого возраста и инвалидами. </w:t>
      </w:r>
    </w:p>
    <w:p w14:paraId="00D7231F" w14:textId="078B7371" w:rsidR="00B54516" w:rsidRPr="00E103B9" w:rsidRDefault="00B54516" w:rsidP="00B54516">
      <w:pPr>
        <w:spacing w:after="60"/>
        <w:ind w:firstLine="709"/>
        <w:jc w:val="both"/>
        <w:rPr>
          <w:rFonts w:eastAsia="Calibri"/>
          <w:sz w:val="28"/>
        </w:rPr>
      </w:pPr>
      <w:bookmarkStart w:id="38" w:name="_Hlk84521036"/>
      <w:r w:rsidRPr="00E103B9">
        <w:rPr>
          <w:rFonts w:eastAsia="Calibri"/>
          <w:sz w:val="28"/>
        </w:rPr>
        <w:t xml:space="preserve">Расходы на реализацию ГП </w:t>
      </w:r>
      <w:bookmarkEnd w:id="38"/>
      <w:r w:rsidRPr="00E103B9">
        <w:rPr>
          <w:rFonts w:eastAsia="Calibri"/>
          <w:sz w:val="28"/>
        </w:rPr>
        <w:t xml:space="preserve">«Социальная поддержка граждан» демонстрируют ежегодный рост как относительно </w:t>
      </w:r>
      <w:r w:rsidR="00B01B1A" w:rsidRPr="00E103B9">
        <w:rPr>
          <w:rFonts w:eastAsia="Calibri"/>
          <w:sz w:val="28"/>
        </w:rPr>
        <w:t>Закона №</w:t>
      </w:r>
      <w:r w:rsidRPr="00E103B9">
        <w:rPr>
          <w:rFonts w:eastAsia="Calibri"/>
          <w:sz w:val="28"/>
        </w:rPr>
        <w:t xml:space="preserve">390-ФЗ, так и по сравнению с предыдущим годом. При этом расходы на федеральные проекты в рамках данной госпрограммы в целом ежегодно снижаются как относительно </w:t>
      </w:r>
      <w:r w:rsidR="00B01B1A" w:rsidRPr="00E103B9">
        <w:rPr>
          <w:rFonts w:eastAsia="Calibri"/>
          <w:sz w:val="28"/>
        </w:rPr>
        <w:t>Закона №</w:t>
      </w:r>
      <w:r w:rsidRPr="00E103B9">
        <w:rPr>
          <w:rFonts w:eastAsia="Calibri"/>
          <w:sz w:val="28"/>
        </w:rPr>
        <w:t xml:space="preserve">390-ФЗ, так и по сравнению с предыдущим годом. В </w:t>
      </w:r>
      <w:proofErr w:type="gramStart"/>
      <w:r w:rsidRPr="00E103B9">
        <w:rPr>
          <w:rFonts w:eastAsia="Calibri"/>
          <w:sz w:val="28"/>
        </w:rPr>
        <w:t>основном</w:t>
      </w:r>
      <w:proofErr w:type="gramEnd"/>
      <w:r w:rsidRPr="00E103B9">
        <w:rPr>
          <w:rFonts w:eastAsia="Calibri"/>
          <w:sz w:val="28"/>
        </w:rPr>
        <w:t xml:space="preserve"> это объясняется заменой ряда выплат семьям с детьми в рамках ФП «Содействие субъектам Российской Федерации в реализации адресной социальной поддержки граждан» и «Финансовая поддержка семей при рождении детей» на предоставление универсального пособия, которое включено в </w:t>
      </w:r>
      <w:r w:rsidR="00B01B1A" w:rsidRPr="00E103B9">
        <w:rPr>
          <w:rFonts w:eastAsia="Calibri"/>
          <w:sz w:val="28"/>
        </w:rPr>
        <w:t>КПМ</w:t>
      </w:r>
      <w:r w:rsidRPr="00E103B9">
        <w:rPr>
          <w:rFonts w:eastAsia="Calibri"/>
          <w:sz w:val="28"/>
        </w:rPr>
        <w:t xml:space="preserve"> «Предоставление мер государственной поддержки семьям с детьми».</w:t>
      </w:r>
    </w:p>
    <w:p w14:paraId="586B155B" w14:textId="0BD87AEA" w:rsidR="00B54516" w:rsidRPr="00E103B9" w:rsidRDefault="00B54516" w:rsidP="00B54516">
      <w:pPr>
        <w:spacing w:after="60"/>
        <w:ind w:firstLine="709"/>
        <w:jc w:val="both"/>
        <w:rPr>
          <w:rFonts w:eastAsia="Calibri"/>
          <w:sz w:val="28"/>
        </w:rPr>
      </w:pPr>
      <w:r w:rsidRPr="00E103B9">
        <w:rPr>
          <w:rFonts w:eastAsia="Calibri"/>
          <w:sz w:val="28"/>
        </w:rPr>
        <w:t xml:space="preserve">Кроме того, на рост расходов </w:t>
      </w:r>
      <w:r w:rsidR="00B01B1A" w:rsidRPr="00E103B9">
        <w:rPr>
          <w:rFonts w:eastAsia="Calibri"/>
          <w:sz w:val="28"/>
        </w:rPr>
        <w:t xml:space="preserve">указанной </w:t>
      </w:r>
      <w:r w:rsidRPr="00E103B9">
        <w:rPr>
          <w:rFonts w:eastAsia="Calibri"/>
          <w:sz w:val="28"/>
        </w:rPr>
        <w:t>госпрограммы повлияло увеличение ассигнований на предоставление ежемесячных денежных выплат отдельным категориям граждан (ветеранам, инвалидам и др.), обусловленное</w:t>
      </w:r>
      <w:r w:rsidRPr="00E103B9">
        <w:rPr>
          <w:sz w:val="28"/>
        </w:rPr>
        <w:t xml:space="preserve"> </w:t>
      </w:r>
      <w:r w:rsidRPr="00E103B9">
        <w:rPr>
          <w:rFonts w:eastAsia="Calibri"/>
          <w:sz w:val="28"/>
        </w:rPr>
        <w:t xml:space="preserve">уточнением численности получателей, а также федеральной и региональной доплат к пенсии в связи с пересчетом величины прожиточного минимума пенсионера в субъектах </w:t>
      </w:r>
      <w:r w:rsidR="00B01B1A" w:rsidRPr="00E103B9">
        <w:rPr>
          <w:rFonts w:eastAsia="Calibri"/>
          <w:sz w:val="28"/>
        </w:rPr>
        <w:t>РФ</w:t>
      </w:r>
      <w:r w:rsidRPr="00E103B9">
        <w:rPr>
          <w:rFonts w:eastAsia="Calibri"/>
          <w:sz w:val="28"/>
        </w:rPr>
        <w:t>.</w:t>
      </w:r>
    </w:p>
    <w:p w14:paraId="1F1F2DA3" w14:textId="77A068FF" w:rsidR="00B54516" w:rsidRPr="00E103B9" w:rsidRDefault="00B54516" w:rsidP="00B54516">
      <w:pPr>
        <w:spacing w:after="60"/>
        <w:ind w:firstLine="709"/>
        <w:jc w:val="both"/>
        <w:rPr>
          <w:rFonts w:eastAsia="Calibri"/>
          <w:sz w:val="28"/>
        </w:rPr>
      </w:pPr>
      <w:r w:rsidRPr="00E103B9">
        <w:rPr>
          <w:rFonts w:eastAsia="Calibri"/>
          <w:sz w:val="28"/>
        </w:rPr>
        <w:t xml:space="preserve">Расходы на реализацию ГП «Доступная среда» демонстрируют рост как относительно </w:t>
      </w:r>
      <w:bookmarkStart w:id="39" w:name="_Hlk84523503"/>
      <w:r w:rsidR="00B01B1A" w:rsidRPr="00E103B9">
        <w:rPr>
          <w:rFonts w:eastAsia="Calibri"/>
          <w:sz w:val="28"/>
        </w:rPr>
        <w:t>Закона №</w:t>
      </w:r>
      <w:r w:rsidRPr="00E103B9">
        <w:rPr>
          <w:rFonts w:eastAsia="Calibri"/>
          <w:sz w:val="28"/>
        </w:rPr>
        <w:t>390-ФЗ</w:t>
      </w:r>
      <w:bookmarkEnd w:id="39"/>
      <w:r w:rsidRPr="00E103B9">
        <w:rPr>
          <w:rFonts w:eastAsia="Calibri"/>
          <w:sz w:val="28"/>
        </w:rPr>
        <w:t xml:space="preserve">, так и по сравнению с предыдущим годом. На рост расходов в основном повлияло увеличение объема ассигнований на обеспечение </w:t>
      </w:r>
      <w:proofErr w:type="gramStart"/>
      <w:r w:rsidRPr="00E103B9">
        <w:rPr>
          <w:rFonts w:eastAsia="Calibri"/>
          <w:sz w:val="28"/>
        </w:rPr>
        <w:t>инвалидов</w:t>
      </w:r>
      <w:proofErr w:type="gramEnd"/>
      <w:r w:rsidRPr="00E103B9">
        <w:rPr>
          <w:rFonts w:eastAsia="Calibri"/>
          <w:sz w:val="28"/>
        </w:rPr>
        <w:t xml:space="preserve"> техническими средствами реабилитации, включая изготовление и ремонт протезно-ортопедических изделий, на 12% в 2023 г., 17% в 2024-2025 гг., что будет способствовать повышению уровня обеспеченности инвалидов техническими средствами реабилитации.</w:t>
      </w:r>
    </w:p>
    <w:p w14:paraId="0A268289" w14:textId="2F68330C" w:rsidR="00B54516" w:rsidRPr="00E103B9" w:rsidRDefault="00B54516" w:rsidP="00B54516">
      <w:pPr>
        <w:spacing w:after="60"/>
        <w:ind w:firstLine="709"/>
        <w:jc w:val="both"/>
        <w:rPr>
          <w:rFonts w:eastAsia="Calibri"/>
          <w:sz w:val="28"/>
        </w:rPr>
      </w:pPr>
      <w:proofErr w:type="gramStart"/>
      <w:r w:rsidRPr="00E103B9">
        <w:rPr>
          <w:rFonts w:eastAsia="Calibri"/>
          <w:sz w:val="28"/>
        </w:rPr>
        <w:t xml:space="preserve">Расходы на реализацию ГП «Содействие занятости» демонстрируют ежегодное снижение объемов по отношению к предыдущему году и относительно </w:t>
      </w:r>
      <w:r w:rsidR="00B01B1A" w:rsidRPr="00E103B9">
        <w:rPr>
          <w:rFonts w:eastAsia="Calibri"/>
          <w:sz w:val="28"/>
        </w:rPr>
        <w:t>Закона №</w:t>
      </w:r>
      <w:r w:rsidRPr="00E103B9">
        <w:rPr>
          <w:rFonts w:eastAsia="Calibri"/>
          <w:sz w:val="28"/>
        </w:rPr>
        <w:t xml:space="preserve">390-ФЗ в 2024 г. и бюджетного прогноза в 2025 г. В </w:t>
      </w:r>
      <w:r w:rsidRPr="00E103B9">
        <w:rPr>
          <w:rFonts w:eastAsia="Calibri"/>
          <w:sz w:val="28"/>
        </w:rPr>
        <w:lastRenderedPageBreak/>
        <w:t>2025 г. не предусмотрены ассигнования на реализацию федеральных проектов в связи с наступлением 31 декабря 2024 г. установленного срока завершения реализации НП «Демография» и Национальной программы «Цифровая экономика Российской Федерации».</w:t>
      </w:r>
      <w:proofErr w:type="gramEnd"/>
    </w:p>
    <w:p w14:paraId="4A6594F2" w14:textId="632276A0" w:rsidR="00B54516" w:rsidRPr="00E103B9" w:rsidRDefault="00B54516" w:rsidP="00AA0954">
      <w:pPr>
        <w:spacing w:after="60"/>
        <w:ind w:firstLine="709"/>
        <w:jc w:val="both"/>
        <w:rPr>
          <w:rFonts w:eastAsia="Calibri"/>
          <w:sz w:val="28"/>
        </w:rPr>
      </w:pPr>
      <w:proofErr w:type="gramStart"/>
      <w:r w:rsidRPr="00E103B9">
        <w:rPr>
          <w:rFonts w:eastAsia="Calibri"/>
          <w:sz w:val="28"/>
        </w:rPr>
        <w:t xml:space="preserve">В 2023 г. расходы на госпрограмму увеличатся по сравнению с </w:t>
      </w:r>
      <w:r w:rsidR="00B01B1A" w:rsidRPr="00E103B9">
        <w:rPr>
          <w:rFonts w:eastAsia="Calibri"/>
          <w:sz w:val="28"/>
        </w:rPr>
        <w:t>Законом №</w:t>
      </w:r>
      <w:r w:rsidRPr="00E103B9">
        <w:rPr>
          <w:rFonts w:eastAsia="Calibri"/>
          <w:sz w:val="28"/>
        </w:rPr>
        <w:t>390-ФЗ в связи с существенным ростом расходов на реализацию ФП «Содействие занятости» (на 133,5%), в том числе на организацию временного трудоустройства работников организаций, находящихся под риском увольнения, и общественных работ для граждан, зарегистрированных в органах службы занятости в целях поиска подходящей работы, включая безработных граждан.</w:t>
      </w:r>
      <w:proofErr w:type="gramEnd"/>
      <w:r w:rsidRPr="00E103B9">
        <w:rPr>
          <w:rFonts w:eastAsia="Calibri"/>
          <w:sz w:val="28"/>
        </w:rPr>
        <w:t xml:space="preserve"> Вместе с тем расходы в 2023 г. существенно ниже, чем в 2022 г. (на 35,3%), что обусловлено снижением ассигнований на социальные выплаты безработным гражданам, что может привести к недостаточности средств на выплату пособий по безработице.</w:t>
      </w:r>
    </w:p>
    <w:p w14:paraId="3C2DB0B1" w14:textId="3FE0449A" w:rsidR="008637AE" w:rsidRPr="00E103B9" w:rsidRDefault="008637AE" w:rsidP="00AA0954">
      <w:pPr>
        <w:spacing w:after="60"/>
        <w:ind w:firstLine="709"/>
        <w:jc w:val="both"/>
        <w:rPr>
          <w:rFonts w:eastAsia="Calibri"/>
          <w:sz w:val="28"/>
        </w:rPr>
      </w:pPr>
    </w:p>
    <w:p w14:paraId="19B49AAB" w14:textId="77777777" w:rsidR="008637AE" w:rsidRDefault="008637AE" w:rsidP="00AA0954">
      <w:pPr>
        <w:spacing w:after="60"/>
        <w:ind w:firstLine="709"/>
        <w:jc w:val="both"/>
        <w:rPr>
          <w:rFonts w:eastAsia="Calibri"/>
          <w:sz w:val="28"/>
        </w:rPr>
      </w:pPr>
    </w:p>
    <w:p w14:paraId="1379B8AD" w14:textId="77777777" w:rsidR="00E103B9" w:rsidRPr="00E103B9" w:rsidRDefault="00E103B9" w:rsidP="00AA0954">
      <w:pPr>
        <w:spacing w:after="60"/>
        <w:ind w:firstLine="709"/>
        <w:jc w:val="both"/>
        <w:rPr>
          <w:rFonts w:eastAsia="Calibri"/>
          <w:sz w:val="28"/>
        </w:rPr>
      </w:pPr>
    </w:p>
    <w:p w14:paraId="360FDBFD" w14:textId="77777777" w:rsidR="00B54516" w:rsidRPr="00E103B9" w:rsidRDefault="00B54516" w:rsidP="00415CF0">
      <w:pPr>
        <w:tabs>
          <w:tab w:val="left" w:pos="709"/>
        </w:tabs>
        <w:spacing w:after="120"/>
        <w:ind w:firstLine="709"/>
        <w:rPr>
          <w:b/>
          <w:bCs/>
          <w:i/>
          <w:sz w:val="28"/>
        </w:rPr>
      </w:pPr>
      <w:r w:rsidRPr="00E103B9">
        <w:rPr>
          <w:b/>
          <w:bCs/>
          <w:i/>
          <w:sz w:val="28"/>
        </w:rPr>
        <w:t>Бюджет Фонда пенсионного и социального страхования</w:t>
      </w:r>
    </w:p>
    <w:p w14:paraId="487E6362" w14:textId="015B038A" w:rsidR="001729B1" w:rsidRPr="00E103B9" w:rsidRDefault="001729B1" w:rsidP="001729B1">
      <w:pPr>
        <w:spacing w:after="60"/>
        <w:ind w:firstLine="709"/>
        <w:jc w:val="both"/>
        <w:rPr>
          <w:sz w:val="28"/>
        </w:rPr>
      </w:pPr>
      <w:proofErr w:type="gramStart"/>
      <w:r w:rsidRPr="00E103B9">
        <w:rPr>
          <w:sz w:val="28"/>
        </w:rPr>
        <w:t>В бюджетном цикле 2023-2025 гг. впервые представлен бюджет объединенного Фонда пенсионного и социального страхования Российской Федерации (Фонд).</w:t>
      </w:r>
      <w:proofErr w:type="gramEnd"/>
      <w:r w:rsidRPr="00E103B9">
        <w:rPr>
          <w:sz w:val="28"/>
        </w:rPr>
        <w:t xml:space="preserve"> </w:t>
      </w:r>
      <w:proofErr w:type="gramStart"/>
      <w:r w:rsidRPr="00E103B9">
        <w:rPr>
          <w:sz w:val="28"/>
        </w:rPr>
        <w:t>Как следует из Пояснительной записки к проекту бюджета Фонда, доходы в части страховых взносов на обязательное пенсионное страхование (далее - ОПС), на обязательное социальное страхование на случай временной нетрудоспособности и в связи с материнством (далее - ОСС) на 2023 - 2025 г. сформированы исходя из единых тарифов страховых взносов в размере 30% в пределах установленной единой предельной величины базы для исчисления страховых взносов</w:t>
      </w:r>
      <w:proofErr w:type="gramEnd"/>
      <w:r w:rsidRPr="00E103B9">
        <w:rPr>
          <w:sz w:val="28"/>
        </w:rPr>
        <w:t xml:space="preserve"> и 15,1% с сумм выплат, превышающих единую предельную величину базы для исчисления страховых взносов, с учетом норматива в размере 72,8% на обязательное пенсионное страхование и в размере 8,9% на обязательное социальное страхование на случай временной нетрудоспособности и в связи с материнством. Для отдельных категорий плательщиков, определенных законодательством, применены единые пониженные тарифы страховых взносов с учетом установленных сроков их действия.</w:t>
      </w:r>
    </w:p>
    <w:p w14:paraId="0E3BE921" w14:textId="1BA70A36" w:rsidR="00B54516" w:rsidRPr="00E103B9" w:rsidRDefault="00B54516" w:rsidP="00B54516">
      <w:pPr>
        <w:spacing w:after="60"/>
        <w:ind w:firstLine="709"/>
        <w:jc w:val="both"/>
        <w:rPr>
          <w:sz w:val="28"/>
        </w:rPr>
      </w:pPr>
      <w:r w:rsidRPr="00E103B9">
        <w:rPr>
          <w:sz w:val="28"/>
        </w:rPr>
        <w:t xml:space="preserve">При формировании доходной части бюджета Фонда учтено сохранение на весь период </w:t>
      </w:r>
      <w:r w:rsidR="00CA7824" w:rsidRPr="00E103B9">
        <w:rPr>
          <w:sz w:val="28"/>
        </w:rPr>
        <w:t>«</w:t>
      </w:r>
      <w:r w:rsidRPr="00E103B9">
        <w:rPr>
          <w:sz w:val="28"/>
        </w:rPr>
        <w:t>моратория</w:t>
      </w:r>
      <w:r w:rsidR="00CA7824" w:rsidRPr="00E103B9">
        <w:rPr>
          <w:sz w:val="28"/>
        </w:rPr>
        <w:t>»</w:t>
      </w:r>
      <w:r w:rsidRPr="00E103B9">
        <w:rPr>
          <w:sz w:val="28"/>
        </w:rPr>
        <w:t xml:space="preserve"> на направление страховых взносов на финансирование накопительной пенсии.</w:t>
      </w:r>
    </w:p>
    <w:p w14:paraId="2B6B4931" w14:textId="3363EE7B" w:rsidR="00B54516" w:rsidRPr="00E103B9" w:rsidRDefault="00B54516" w:rsidP="00B54516">
      <w:pPr>
        <w:spacing w:after="60"/>
        <w:ind w:firstLine="709"/>
        <w:jc w:val="both"/>
        <w:rPr>
          <w:color w:val="2F5496"/>
          <w:sz w:val="28"/>
        </w:rPr>
      </w:pPr>
      <w:r w:rsidRPr="00E103B9">
        <w:rPr>
          <w:sz w:val="28"/>
        </w:rPr>
        <w:t xml:space="preserve">На 2023-2025 гг. запланирован </w:t>
      </w:r>
      <w:proofErr w:type="spellStart"/>
      <w:r w:rsidRPr="00E103B9">
        <w:rPr>
          <w:sz w:val="28"/>
        </w:rPr>
        <w:t>профицитный</w:t>
      </w:r>
      <w:proofErr w:type="spellEnd"/>
      <w:r w:rsidRPr="00E103B9">
        <w:rPr>
          <w:sz w:val="28"/>
        </w:rPr>
        <w:t xml:space="preserve"> бюджет Фонда с ежегодным ростом (в 2024 г. на 12,7%, в 2025 г на 133,5% по сравнению с предыдущим годом). В 2023 г. профицит бюджета обеспечивается за счет финансовых результатов по обязательному социальному страхованию на случай временной нетрудоспособности и в связи с материнством и </w:t>
      </w:r>
      <w:r w:rsidRPr="00E103B9">
        <w:rPr>
          <w:sz w:val="28"/>
        </w:rPr>
        <w:lastRenderedPageBreak/>
        <w:t xml:space="preserve">обязательному социальному страхованию от несчастных случаев на производстве и профессиональных заболеваний (далее - НС), а также по накопительной составляющей бюджета. </w:t>
      </w:r>
      <w:proofErr w:type="gramStart"/>
      <w:r w:rsidRPr="00E103B9">
        <w:rPr>
          <w:sz w:val="28"/>
        </w:rPr>
        <w:t>В 2024-2025 гг. профицит запланирован также за счет финансовых результатов по обязательному пенсионному страхованию.</w:t>
      </w:r>
      <w:proofErr w:type="gramEnd"/>
      <w:r w:rsidRPr="00E103B9">
        <w:rPr>
          <w:sz w:val="28"/>
        </w:rPr>
        <w:t xml:space="preserve"> Причем в 2025 г. профицит на 74,8% формируется за счет финансовых результатов по обязательному пенсионному страхованию (в 2024 г. – на 32,5%) (</w:t>
      </w:r>
      <w:r w:rsidRPr="00E103B9">
        <w:rPr>
          <w:i/>
          <w:iCs/>
          <w:sz w:val="28"/>
        </w:rPr>
        <w:t>таблица</w:t>
      </w:r>
      <w:r w:rsidR="00415CF0" w:rsidRPr="00E103B9">
        <w:rPr>
          <w:i/>
          <w:iCs/>
          <w:sz w:val="28"/>
        </w:rPr>
        <w:t xml:space="preserve"> </w:t>
      </w:r>
      <w:r w:rsidR="007931B0" w:rsidRPr="00E103B9">
        <w:rPr>
          <w:i/>
          <w:iCs/>
          <w:sz w:val="28"/>
        </w:rPr>
        <w:t>30</w:t>
      </w:r>
      <w:r w:rsidRPr="00E103B9">
        <w:rPr>
          <w:sz w:val="28"/>
        </w:rPr>
        <w:t xml:space="preserve">). </w:t>
      </w:r>
    </w:p>
    <w:p w14:paraId="4DE3AB1A" w14:textId="6F13B013" w:rsidR="00B54516" w:rsidRPr="009D5B83" w:rsidRDefault="00B54516" w:rsidP="00B54516">
      <w:pPr>
        <w:keepNext/>
        <w:spacing w:before="120"/>
        <w:jc w:val="right"/>
        <w:rPr>
          <w:bCs/>
          <w:i/>
        </w:rPr>
      </w:pPr>
      <w:r w:rsidRPr="009D5B83">
        <w:rPr>
          <w:bCs/>
          <w:i/>
          <w:szCs w:val="20"/>
        </w:rPr>
        <w:t xml:space="preserve">Таблица </w:t>
      </w:r>
      <w:r w:rsidR="007931B0" w:rsidRPr="009D5B83">
        <w:rPr>
          <w:bCs/>
          <w:i/>
          <w:szCs w:val="20"/>
        </w:rPr>
        <w:t>30</w:t>
      </w:r>
    </w:p>
    <w:p w14:paraId="3227D72B" w14:textId="77777777" w:rsidR="00B54516" w:rsidRPr="009D5B83" w:rsidRDefault="00B54516" w:rsidP="00B54516">
      <w:pPr>
        <w:keepNext/>
        <w:spacing w:before="60" w:after="120"/>
        <w:jc w:val="center"/>
        <w:rPr>
          <w:b/>
        </w:rPr>
      </w:pPr>
      <w:r w:rsidRPr="009D5B83">
        <w:rPr>
          <w:b/>
        </w:rPr>
        <w:t xml:space="preserve">Основные характеристики бюджета Фонда в 2023-2025 гг., </w:t>
      </w:r>
      <w:proofErr w:type="gramStart"/>
      <w:r w:rsidRPr="009D5B83">
        <w:rPr>
          <w:b/>
        </w:rPr>
        <w:t>млрд</w:t>
      </w:r>
      <w:proofErr w:type="gramEnd"/>
      <w:r w:rsidRPr="009D5B83">
        <w:rPr>
          <w:b/>
        </w:rPr>
        <w:t xml:space="preserve"> руб.</w:t>
      </w:r>
    </w:p>
    <w:tbl>
      <w:tblPr>
        <w:tblW w:w="5000" w:type="pct"/>
        <w:tblLayout w:type="fixed"/>
        <w:tblLook w:val="04A0" w:firstRow="1" w:lastRow="0" w:firstColumn="1" w:lastColumn="0" w:noHBand="0" w:noVBand="1"/>
      </w:tblPr>
      <w:tblGrid>
        <w:gridCol w:w="5364"/>
        <w:gridCol w:w="1486"/>
        <w:gridCol w:w="1782"/>
        <w:gridCol w:w="1790"/>
      </w:tblGrid>
      <w:tr w:rsidR="00B54516" w:rsidRPr="009D5B83" w14:paraId="6D403B50" w14:textId="77777777" w:rsidTr="00016DA9">
        <w:trPr>
          <w:tblHeader/>
        </w:trPr>
        <w:tc>
          <w:tcPr>
            <w:tcW w:w="4673" w:type="dxa"/>
            <w:vMerge w:val="restart"/>
            <w:tcBorders>
              <w:top w:val="single" w:sz="4" w:space="0" w:color="auto"/>
              <w:left w:val="single" w:sz="4" w:space="0" w:color="auto"/>
              <w:bottom w:val="single" w:sz="4" w:space="0" w:color="auto"/>
              <w:right w:val="single" w:sz="4" w:space="0" w:color="auto"/>
            </w:tcBorders>
            <w:vAlign w:val="center"/>
          </w:tcPr>
          <w:p w14:paraId="3D76547A" w14:textId="0D109C4E" w:rsidR="00B54516" w:rsidRPr="002F412C" w:rsidRDefault="00CA7824" w:rsidP="00B54516">
            <w:pPr>
              <w:spacing w:line="240" w:lineRule="atLeast"/>
              <w:jc w:val="center"/>
              <w:rPr>
                <w:rFonts w:eastAsia="Calibri"/>
                <w:b/>
                <w:bCs/>
                <w:sz w:val="20"/>
                <w:szCs w:val="20"/>
                <w:lang w:eastAsia="en-US"/>
              </w:rPr>
            </w:pPr>
            <w:r w:rsidRPr="009D5B83">
              <w:rPr>
                <w:rFonts w:eastAsia="Calibri"/>
                <w:b/>
                <w:bCs/>
                <w:sz w:val="20"/>
                <w:szCs w:val="20"/>
                <w:lang w:eastAsia="en-US"/>
              </w:rPr>
              <w:t>Показатель</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7F93AD93" w14:textId="723F7E66"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2023 г</w:t>
            </w:r>
            <w:r w:rsidR="00CA7824" w:rsidRPr="009D5B83">
              <w:rPr>
                <w:rFonts w:eastAsia="Calibri"/>
                <w:b/>
                <w:bCs/>
                <w:sz w:val="20"/>
                <w:szCs w:val="20"/>
                <w:lang w:eastAsia="en-US"/>
              </w:rPr>
              <w:t>.</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5F76D7C3"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Плановый период</w:t>
            </w:r>
          </w:p>
        </w:tc>
      </w:tr>
      <w:tr w:rsidR="00B54516" w:rsidRPr="009D5B83" w14:paraId="56499810" w14:textId="77777777" w:rsidTr="00016DA9">
        <w:trPr>
          <w:tblHeader/>
        </w:trPr>
        <w:tc>
          <w:tcPr>
            <w:tcW w:w="4673" w:type="dxa"/>
            <w:vMerge/>
            <w:tcBorders>
              <w:top w:val="single" w:sz="4" w:space="0" w:color="auto"/>
              <w:left w:val="single" w:sz="4" w:space="0" w:color="auto"/>
              <w:bottom w:val="single" w:sz="4" w:space="0" w:color="auto"/>
              <w:right w:val="single" w:sz="4" w:space="0" w:color="auto"/>
            </w:tcBorders>
            <w:vAlign w:val="center"/>
          </w:tcPr>
          <w:p w14:paraId="54306658" w14:textId="77777777" w:rsidR="00B54516" w:rsidRPr="002F412C" w:rsidRDefault="00B54516" w:rsidP="00B54516">
            <w:pPr>
              <w:spacing w:line="240" w:lineRule="atLeast"/>
              <w:jc w:val="center"/>
              <w:rPr>
                <w:rFonts w:eastAsia="Calibri"/>
                <w:b/>
                <w:bCs/>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tcPr>
          <w:p w14:paraId="5FD32897" w14:textId="77777777" w:rsidR="00B54516" w:rsidRPr="002F412C" w:rsidRDefault="00B54516" w:rsidP="00B54516">
            <w:pPr>
              <w:spacing w:line="240" w:lineRule="atLeast"/>
              <w:jc w:val="center"/>
              <w:rPr>
                <w:rFonts w:eastAsia="Calibri"/>
                <w:b/>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14:paraId="42C914E7" w14:textId="08E10585"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2024 г</w:t>
            </w:r>
            <w:r w:rsidR="00CA7824" w:rsidRPr="009D5B83">
              <w:rPr>
                <w:rFonts w:eastAsia="Calibri"/>
                <w:b/>
                <w:bCs/>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3733B8E9" w14:textId="3B9D7989"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2025 г</w:t>
            </w:r>
            <w:r w:rsidR="00CA7824" w:rsidRPr="009D5B83">
              <w:rPr>
                <w:rFonts w:eastAsia="Calibri"/>
                <w:b/>
                <w:bCs/>
                <w:sz w:val="20"/>
                <w:szCs w:val="20"/>
                <w:lang w:eastAsia="en-US"/>
              </w:rPr>
              <w:t>.</w:t>
            </w:r>
          </w:p>
        </w:tc>
      </w:tr>
      <w:tr w:rsidR="00B54516" w:rsidRPr="009D5B83" w14:paraId="77237852"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605B7A59" w14:textId="234C5BC8" w:rsidR="00B54516" w:rsidRPr="002F412C" w:rsidRDefault="00B54516" w:rsidP="00B54516">
            <w:pPr>
              <w:spacing w:line="240" w:lineRule="atLeast"/>
              <w:rPr>
                <w:rFonts w:eastAsia="Calibri"/>
                <w:b/>
                <w:bCs/>
                <w:sz w:val="20"/>
                <w:szCs w:val="20"/>
                <w:lang w:eastAsia="en-US"/>
              </w:rPr>
            </w:pPr>
            <w:r w:rsidRPr="002F412C">
              <w:rPr>
                <w:rFonts w:eastAsia="Calibri"/>
                <w:b/>
                <w:bCs/>
                <w:sz w:val="20"/>
                <w:szCs w:val="20"/>
                <w:lang w:eastAsia="en-US"/>
              </w:rPr>
              <w:t>Доходы</w:t>
            </w:r>
            <w:r w:rsidR="002606E9">
              <w:rPr>
                <w:rFonts w:eastAsia="Calibri"/>
                <w:b/>
                <w:bCs/>
                <w:sz w:val="20"/>
                <w:szCs w:val="20"/>
                <w:lang w:eastAsia="en-US"/>
              </w:rPr>
              <w:t>, ВСЕГО</w:t>
            </w:r>
          </w:p>
        </w:tc>
        <w:tc>
          <w:tcPr>
            <w:tcW w:w="1294" w:type="dxa"/>
            <w:tcBorders>
              <w:top w:val="single" w:sz="4" w:space="0" w:color="auto"/>
              <w:left w:val="single" w:sz="4" w:space="0" w:color="auto"/>
              <w:bottom w:val="single" w:sz="4" w:space="0" w:color="auto"/>
              <w:right w:val="single" w:sz="4" w:space="0" w:color="auto"/>
            </w:tcBorders>
            <w:vAlign w:val="center"/>
          </w:tcPr>
          <w:p w14:paraId="30718EAF"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13 711,22</w:t>
            </w:r>
          </w:p>
        </w:tc>
        <w:tc>
          <w:tcPr>
            <w:tcW w:w="1552" w:type="dxa"/>
            <w:tcBorders>
              <w:top w:val="single" w:sz="4" w:space="0" w:color="auto"/>
              <w:left w:val="single" w:sz="4" w:space="0" w:color="auto"/>
              <w:bottom w:val="single" w:sz="4" w:space="0" w:color="auto"/>
              <w:right w:val="single" w:sz="4" w:space="0" w:color="auto"/>
            </w:tcBorders>
            <w:vAlign w:val="center"/>
          </w:tcPr>
          <w:p w14:paraId="0F7BAE10"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14 495,34</w:t>
            </w:r>
          </w:p>
        </w:tc>
        <w:tc>
          <w:tcPr>
            <w:tcW w:w="1559" w:type="dxa"/>
            <w:tcBorders>
              <w:top w:val="single" w:sz="4" w:space="0" w:color="auto"/>
              <w:left w:val="single" w:sz="4" w:space="0" w:color="auto"/>
              <w:bottom w:val="single" w:sz="4" w:space="0" w:color="auto"/>
              <w:right w:val="single" w:sz="4" w:space="0" w:color="auto"/>
            </w:tcBorders>
            <w:vAlign w:val="center"/>
          </w:tcPr>
          <w:p w14:paraId="16D1512A"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15 422,13</w:t>
            </w:r>
          </w:p>
        </w:tc>
      </w:tr>
      <w:tr w:rsidR="00B54516" w:rsidRPr="009D5B83" w14:paraId="2BC70A7B"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26CBC73E" w14:textId="77777777" w:rsidR="00B54516" w:rsidRPr="009D5B83" w:rsidRDefault="00B54516" w:rsidP="00B54516">
            <w:pPr>
              <w:spacing w:line="240" w:lineRule="atLeast"/>
              <w:jc w:val="right"/>
              <w:rPr>
                <w:rFonts w:eastAsia="Calibri"/>
                <w:sz w:val="20"/>
                <w:szCs w:val="20"/>
                <w:lang w:eastAsia="en-US"/>
              </w:rPr>
            </w:pPr>
            <w:r w:rsidRPr="009D5B83">
              <w:rPr>
                <w:rFonts w:eastAsia="Calibri"/>
                <w:sz w:val="20"/>
                <w:szCs w:val="20"/>
                <w:lang w:eastAsia="en-US"/>
              </w:rPr>
              <w:t>в том числе:</w:t>
            </w:r>
          </w:p>
        </w:tc>
        <w:tc>
          <w:tcPr>
            <w:tcW w:w="1294" w:type="dxa"/>
            <w:tcBorders>
              <w:top w:val="single" w:sz="4" w:space="0" w:color="auto"/>
              <w:left w:val="single" w:sz="4" w:space="0" w:color="auto"/>
              <w:bottom w:val="single" w:sz="4" w:space="0" w:color="auto"/>
              <w:right w:val="single" w:sz="4" w:space="0" w:color="auto"/>
            </w:tcBorders>
            <w:vAlign w:val="center"/>
          </w:tcPr>
          <w:p w14:paraId="72A76D43" w14:textId="77777777" w:rsidR="00B54516" w:rsidRPr="009D5B83" w:rsidRDefault="00B54516" w:rsidP="00B54516">
            <w:pPr>
              <w:spacing w:line="240" w:lineRule="atLeast"/>
              <w:jc w:val="center"/>
              <w:rPr>
                <w:rFonts w:eastAsia="Calibri"/>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14:paraId="1C179815" w14:textId="77777777" w:rsidR="00B54516" w:rsidRPr="009D5B83" w:rsidRDefault="00B54516" w:rsidP="00B54516">
            <w:pPr>
              <w:spacing w:line="240" w:lineRule="atLeast"/>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032111B" w14:textId="77777777" w:rsidR="00B54516" w:rsidRPr="009D5B83" w:rsidRDefault="00B54516" w:rsidP="00B54516">
            <w:pPr>
              <w:spacing w:line="240" w:lineRule="atLeast"/>
              <w:jc w:val="center"/>
              <w:rPr>
                <w:rFonts w:eastAsia="Calibri"/>
                <w:sz w:val="20"/>
                <w:szCs w:val="20"/>
                <w:lang w:eastAsia="en-US"/>
              </w:rPr>
            </w:pPr>
          </w:p>
        </w:tc>
      </w:tr>
      <w:tr w:rsidR="00B54516" w:rsidRPr="009D5B83" w14:paraId="15A3A409"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0DE9EA14"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по распределительной составляющей бюджета</w:t>
            </w:r>
          </w:p>
        </w:tc>
        <w:tc>
          <w:tcPr>
            <w:tcW w:w="1294" w:type="dxa"/>
            <w:tcBorders>
              <w:top w:val="single" w:sz="4" w:space="0" w:color="auto"/>
              <w:left w:val="single" w:sz="4" w:space="0" w:color="auto"/>
              <w:bottom w:val="single" w:sz="4" w:space="0" w:color="auto"/>
              <w:right w:val="single" w:sz="4" w:space="0" w:color="auto"/>
            </w:tcBorders>
            <w:vAlign w:val="center"/>
          </w:tcPr>
          <w:p w14:paraId="61C5A920"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13 629,66</w:t>
            </w:r>
          </w:p>
        </w:tc>
        <w:tc>
          <w:tcPr>
            <w:tcW w:w="1552" w:type="dxa"/>
            <w:tcBorders>
              <w:top w:val="single" w:sz="4" w:space="0" w:color="auto"/>
              <w:left w:val="single" w:sz="4" w:space="0" w:color="auto"/>
              <w:bottom w:val="single" w:sz="4" w:space="0" w:color="auto"/>
              <w:right w:val="single" w:sz="4" w:space="0" w:color="auto"/>
            </w:tcBorders>
            <w:vAlign w:val="center"/>
          </w:tcPr>
          <w:p w14:paraId="76F622B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14 413,00</w:t>
            </w:r>
          </w:p>
        </w:tc>
        <w:tc>
          <w:tcPr>
            <w:tcW w:w="1559" w:type="dxa"/>
            <w:tcBorders>
              <w:top w:val="single" w:sz="4" w:space="0" w:color="auto"/>
              <w:left w:val="single" w:sz="4" w:space="0" w:color="auto"/>
              <w:bottom w:val="single" w:sz="4" w:space="0" w:color="auto"/>
              <w:right w:val="single" w:sz="4" w:space="0" w:color="auto"/>
            </w:tcBorders>
            <w:vAlign w:val="center"/>
          </w:tcPr>
          <w:p w14:paraId="5B9F9F00"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15 336,34</w:t>
            </w:r>
          </w:p>
        </w:tc>
      </w:tr>
      <w:tr w:rsidR="00B54516" w:rsidRPr="009D5B83" w14:paraId="647D2310"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41D8A95D" w14:textId="77777777" w:rsidR="00B54516" w:rsidRPr="009D5B83" w:rsidRDefault="00B54516" w:rsidP="00B54516">
            <w:pPr>
              <w:spacing w:line="240" w:lineRule="atLeast"/>
              <w:jc w:val="right"/>
              <w:rPr>
                <w:rFonts w:eastAsia="Calibri"/>
                <w:i/>
                <w:sz w:val="20"/>
                <w:szCs w:val="20"/>
                <w:lang w:eastAsia="en-US"/>
              </w:rPr>
            </w:pPr>
            <w:r w:rsidRPr="009D5B83">
              <w:rPr>
                <w:rFonts w:eastAsia="Calibri"/>
                <w:i/>
                <w:sz w:val="20"/>
                <w:szCs w:val="20"/>
                <w:lang w:eastAsia="en-US"/>
              </w:rPr>
              <w:t>из них:</w:t>
            </w:r>
          </w:p>
        </w:tc>
        <w:tc>
          <w:tcPr>
            <w:tcW w:w="1294" w:type="dxa"/>
            <w:tcBorders>
              <w:top w:val="single" w:sz="4" w:space="0" w:color="auto"/>
              <w:left w:val="single" w:sz="4" w:space="0" w:color="auto"/>
              <w:bottom w:val="single" w:sz="4" w:space="0" w:color="auto"/>
              <w:right w:val="single" w:sz="4" w:space="0" w:color="auto"/>
            </w:tcBorders>
            <w:vAlign w:val="center"/>
          </w:tcPr>
          <w:p w14:paraId="2FE62230" w14:textId="77777777" w:rsidR="00B54516" w:rsidRPr="009D5B83" w:rsidRDefault="00B54516" w:rsidP="00B54516">
            <w:pPr>
              <w:spacing w:line="240" w:lineRule="atLeast"/>
              <w:jc w:val="center"/>
              <w:rPr>
                <w:rFonts w:eastAsia="Calibri"/>
                <w:i/>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14:paraId="2ABA5744" w14:textId="77777777" w:rsidR="00B54516" w:rsidRPr="009D5B83" w:rsidRDefault="00B54516" w:rsidP="00B54516">
            <w:pPr>
              <w:spacing w:line="240" w:lineRule="atLeast"/>
              <w:jc w:val="center"/>
              <w:rPr>
                <w:rFonts w:eastAsia="Calibri"/>
                <w: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9B29EA6" w14:textId="77777777" w:rsidR="00B54516" w:rsidRPr="009D5B83" w:rsidRDefault="00B54516" w:rsidP="00B54516">
            <w:pPr>
              <w:spacing w:line="240" w:lineRule="atLeast"/>
              <w:jc w:val="center"/>
              <w:rPr>
                <w:rFonts w:eastAsia="Calibri"/>
                <w:i/>
                <w:sz w:val="20"/>
                <w:szCs w:val="20"/>
                <w:lang w:eastAsia="en-US"/>
              </w:rPr>
            </w:pPr>
          </w:p>
        </w:tc>
      </w:tr>
      <w:tr w:rsidR="00B54516" w:rsidRPr="009D5B83" w14:paraId="0E88149D"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2FB71812"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 xml:space="preserve">ОПС </w:t>
            </w:r>
          </w:p>
        </w:tc>
        <w:tc>
          <w:tcPr>
            <w:tcW w:w="1294" w:type="dxa"/>
            <w:tcBorders>
              <w:top w:val="single" w:sz="4" w:space="0" w:color="auto"/>
              <w:left w:val="single" w:sz="4" w:space="0" w:color="auto"/>
              <w:bottom w:val="single" w:sz="4" w:space="0" w:color="auto"/>
              <w:right w:val="single" w:sz="4" w:space="0" w:color="auto"/>
            </w:tcBorders>
            <w:vAlign w:val="center"/>
          </w:tcPr>
          <w:p w14:paraId="1E233CAA"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9 047,88</w:t>
            </w:r>
          </w:p>
        </w:tc>
        <w:tc>
          <w:tcPr>
            <w:tcW w:w="1552" w:type="dxa"/>
            <w:tcBorders>
              <w:top w:val="single" w:sz="4" w:space="0" w:color="auto"/>
              <w:left w:val="single" w:sz="4" w:space="0" w:color="auto"/>
              <w:bottom w:val="single" w:sz="4" w:space="0" w:color="auto"/>
              <w:right w:val="single" w:sz="4" w:space="0" w:color="auto"/>
            </w:tcBorders>
            <w:vAlign w:val="center"/>
          </w:tcPr>
          <w:p w14:paraId="48DAFC3B"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9 397,91</w:t>
            </w:r>
          </w:p>
        </w:tc>
        <w:tc>
          <w:tcPr>
            <w:tcW w:w="1559" w:type="dxa"/>
            <w:tcBorders>
              <w:top w:val="single" w:sz="4" w:space="0" w:color="auto"/>
              <w:left w:val="single" w:sz="4" w:space="0" w:color="auto"/>
              <w:bottom w:val="single" w:sz="4" w:space="0" w:color="auto"/>
              <w:right w:val="single" w:sz="4" w:space="0" w:color="auto"/>
            </w:tcBorders>
            <w:vAlign w:val="center"/>
          </w:tcPr>
          <w:p w14:paraId="140B3F4C"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10 028,23</w:t>
            </w:r>
          </w:p>
        </w:tc>
      </w:tr>
      <w:tr w:rsidR="00B54516" w:rsidRPr="009D5B83" w14:paraId="5B432840" w14:textId="77777777" w:rsidTr="00016DA9">
        <w:trPr>
          <w:trHeight w:val="343"/>
        </w:trPr>
        <w:tc>
          <w:tcPr>
            <w:tcW w:w="4673" w:type="dxa"/>
            <w:tcBorders>
              <w:top w:val="single" w:sz="4" w:space="0" w:color="auto"/>
              <w:left w:val="single" w:sz="4" w:space="0" w:color="auto"/>
              <w:bottom w:val="single" w:sz="4" w:space="0" w:color="auto"/>
              <w:right w:val="single" w:sz="4" w:space="0" w:color="auto"/>
            </w:tcBorders>
            <w:vAlign w:val="center"/>
          </w:tcPr>
          <w:p w14:paraId="158B81E3"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ОСС</w:t>
            </w:r>
          </w:p>
        </w:tc>
        <w:tc>
          <w:tcPr>
            <w:tcW w:w="1294" w:type="dxa"/>
            <w:tcBorders>
              <w:top w:val="single" w:sz="4" w:space="0" w:color="auto"/>
              <w:left w:val="single" w:sz="4" w:space="0" w:color="auto"/>
              <w:bottom w:val="single" w:sz="4" w:space="0" w:color="auto"/>
              <w:right w:val="single" w:sz="4" w:space="0" w:color="auto"/>
            </w:tcBorders>
            <w:vAlign w:val="center"/>
          </w:tcPr>
          <w:p w14:paraId="24029372"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929,87</w:t>
            </w:r>
          </w:p>
        </w:tc>
        <w:tc>
          <w:tcPr>
            <w:tcW w:w="1552" w:type="dxa"/>
            <w:tcBorders>
              <w:top w:val="single" w:sz="4" w:space="0" w:color="auto"/>
              <w:left w:val="single" w:sz="4" w:space="0" w:color="auto"/>
              <w:bottom w:val="single" w:sz="4" w:space="0" w:color="auto"/>
              <w:right w:val="single" w:sz="4" w:space="0" w:color="auto"/>
            </w:tcBorders>
            <w:vAlign w:val="center"/>
          </w:tcPr>
          <w:p w14:paraId="11DF35D0"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1 006,30</w:t>
            </w:r>
          </w:p>
        </w:tc>
        <w:tc>
          <w:tcPr>
            <w:tcW w:w="1559" w:type="dxa"/>
            <w:tcBorders>
              <w:top w:val="single" w:sz="4" w:space="0" w:color="auto"/>
              <w:left w:val="single" w:sz="4" w:space="0" w:color="auto"/>
              <w:bottom w:val="single" w:sz="4" w:space="0" w:color="auto"/>
              <w:right w:val="single" w:sz="4" w:space="0" w:color="auto"/>
            </w:tcBorders>
            <w:vAlign w:val="center"/>
          </w:tcPr>
          <w:p w14:paraId="3B202549"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1 081,23</w:t>
            </w:r>
          </w:p>
        </w:tc>
      </w:tr>
      <w:tr w:rsidR="00B54516" w:rsidRPr="009D5B83" w14:paraId="50DCD409" w14:textId="77777777" w:rsidTr="00016DA9">
        <w:trPr>
          <w:trHeight w:val="278"/>
        </w:trPr>
        <w:tc>
          <w:tcPr>
            <w:tcW w:w="4673" w:type="dxa"/>
            <w:tcBorders>
              <w:top w:val="single" w:sz="4" w:space="0" w:color="auto"/>
              <w:left w:val="single" w:sz="4" w:space="0" w:color="auto"/>
              <w:bottom w:val="single" w:sz="4" w:space="0" w:color="auto"/>
              <w:right w:val="single" w:sz="4" w:space="0" w:color="auto"/>
            </w:tcBorders>
            <w:vAlign w:val="center"/>
          </w:tcPr>
          <w:p w14:paraId="3A6C0B13"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НС</w:t>
            </w:r>
          </w:p>
        </w:tc>
        <w:tc>
          <w:tcPr>
            <w:tcW w:w="1294" w:type="dxa"/>
            <w:tcBorders>
              <w:top w:val="single" w:sz="4" w:space="0" w:color="auto"/>
              <w:left w:val="single" w:sz="4" w:space="0" w:color="auto"/>
              <w:bottom w:val="single" w:sz="4" w:space="0" w:color="auto"/>
              <w:right w:val="single" w:sz="4" w:space="0" w:color="auto"/>
            </w:tcBorders>
            <w:vAlign w:val="center"/>
          </w:tcPr>
          <w:p w14:paraId="5DF199F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185,76</w:t>
            </w:r>
          </w:p>
        </w:tc>
        <w:tc>
          <w:tcPr>
            <w:tcW w:w="1552" w:type="dxa"/>
            <w:tcBorders>
              <w:top w:val="single" w:sz="4" w:space="0" w:color="auto"/>
              <w:left w:val="single" w:sz="4" w:space="0" w:color="auto"/>
              <w:bottom w:val="single" w:sz="4" w:space="0" w:color="auto"/>
              <w:right w:val="single" w:sz="4" w:space="0" w:color="auto"/>
            </w:tcBorders>
            <w:vAlign w:val="center"/>
          </w:tcPr>
          <w:p w14:paraId="18AD60B2"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203,45</w:t>
            </w:r>
          </w:p>
        </w:tc>
        <w:tc>
          <w:tcPr>
            <w:tcW w:w="1559" w:type="dxa"/>
            <w:tcBorders>
              <w:top w:val="single" w:sz="4" w:space="0" w:color="auto"/>
              <w:left w:val="single" w:sz="4" w:space="0" w:color="auto"/>
              <w:bottom w:val="single" w:sz="4" w:space="0" w:color="auto"/>
              <w:right w:val="single" w:sz="4" w:space="0" w:color="auto"/>
            </w:tcBorders>
            <w:vAlign w:val="center"/>
          </w:tcPr>
          <w:p w14:paraId="4E6341B6"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221,80</w:t>
            </w:r>
          </w:p>
        </w:tc>
      </w:tr>
      <w:tr w:rsidR="00B54516" w:rsidRPr="009D5B83" w14:paraId="6728BBE4"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42BF2CD8"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 xml:space="preserve">по накопительной </w:t>
            </w:r>
          </w:p>
          <w:p w14:paraId="3B283090"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составляющей бюджета</w:t>
            </w:r>
          </w:p>
        </w:tc>
        <w:tc>
          <w:tcPr>
            <w:tcW w:w="1294" w:type="dxa"/>
            <w:tcBorders>
              <w:top w:val="single" w:sz="4" w:space="0" w:color="auto"/>
              <w:left w:val="single" w:sz="4" w:space="0" w:color="auto"/>
              <w:bottom w:val="single" w:sz="4" w:space="0" w:color="auto"/>
              <w:right w:val="single" w:sz="4" w:space="0" w:color="auto"/>
            </w:tcBorders>
            <w:vAlign w:val="center"/>
          </w:tcPr>
          <w:p w14:paraId="0FDBD2D7"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81,56</w:t>
            </w:r>
          </w:p>
        </w:tc>
        <w:tc>
          <w:tcPr>
            <w:tcW w:w="1552" w:type="dxa"/>
            <w:tcBorders>
              <w:top w:val="single" w:sz="4" w:space="0" w:color="auto"/>
              <w:left w:val="single" w:sz="4" w:space="0" w:color="auto"/>
              <w:bottom w:val="single" w:sz="4" w:space="0" w:color="auto"/>
              <w:right w:val="single" w:sz="4" w:space="0" w:color="auto"/>
            </w:tcBorders>
            <w:vAlign w:val="center"/>
          </w:tcPr>
          <w:p w14:paraId="7F34435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82,34</w:t>
            </w:r>
          </w:p>
        </w:tc>
        <w:tc>
          <w:tcPr>
            <w:tcW w:w="1559" w:type="dxa"/>
            <w:tcBorders>
              <w:top w:val="single" w:sz="4" w:space="0" w:color="auto"/>
              <w:left w:val="single" w:sz="4" w:space="0" w:color="auto"/>
              <w:bottom w:val="single" w:sz="4" w:space="0" w:color="auto"/>
              <w:right w:val="single" w:sz="4" w:space="0" w:color="auto"/>
            </w:tcBorders>
            <w:vAlign w:val="center"/>
          </w:tcPr>
          <w:p w14:paraId="13094F02" w14:textId="77777777" w:rsidR="00B54516" w:rsidRPr="009D5B83" w:rsidRDefault="00B54516" w:rsidP="00B54516">
            <w:pPr>
              <w:tabs>
                <w:tab w:val="left" w:pos="703"/>
                <w:tab w:val="center" w:pos="1000"/>
              </w:tabs>
              <w:spacing w:line="240" w:lineRule="atLeast"/>
              <w:jc w:val="center"/>
              <w:rPr>
                <w:rFonts w:eastAsia="Calibri"/>
                <w:sz w:val="20"/>
                <w:szCs w:val="20"/>
                <w:lang w:eastAsia="en-US"/>
              </w:rPr>
            </w:pPr>
            <w:r w:rsidRPr="009D5B83">
              <w:rPr>
                <w:rFonts w:eastAsia="Calibri"/>
                <w:sz w:val="20"/>
                <w:szCs w:val="20"/>
                <w:lang w:eastAsia="en-US"/>
              </w:rPr>
              <w:t>85,79</w:t>
            </w:r>
          </w:p>
        </w:tc>
      </w:tr>
      <w:tr w:rsidR="00B54516" w:rsidRPr="009D5B83" w14:paraId="11525D4C"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20BD1490" w14:textId="4369C76C" w:rsidR="00B54516" w:rsidRPr="002F412C" w:rsidRDefault="00B54516" w:rsidP="00B54516">
            <w:pPr>
              <w:spacing w:line="240" w:lineRule="atLeast"/>
              <w:rPr>
                <w:rFonts w:eastAsia="Calibri"/>
                <w:b/>
                <w:bCs/>
                <w:sz w:val="20"/>
                <w:szCs w:val="20"/>
                <w:lang w:eastAsia="en-US"/>
              </w:rPr>
            </w:pPr>
            <w:r w:rsidRPr="002F412C">
              <w:rPr>
                <w:rFonts w:eastAsia="Calibri"/>
                <w:b/>
                <w:bCs/>
                <w:sz w:val="20"/>
                <w:szCs w:val="20"/>
                <w:lang w:eastAsia="en-US"/>
              </w:rPr>
              <w:t>Расходы</w:t>
            </w:r>
            <w:r w:rsidR="002606E9">
              <w:rPr>
                <w:rFonts w:eastAsia="Calibri"/>
                <w:b/>
                <w:bCs/>
                <w:sz w:val="20"/>
                <w:szCs w:val="20"/>
                <w:lang w:eastAsia="en-US"/>
              </w:rPr>
              <w:t>, ВСЕГО</w:t>
            </w:r>
          </w:p>
        </w:tc>
        <w:tc>
          <w:tcPr>
            <w:tcW w:w="1294" w:type="dxa"/>
            <w:tcBorders>
              <w:top w:val="single" w:sz="4" w:space="0" w:color="auto"/>
              <w:left w:val="single" w:sz="4" w:space="0" w:color="auto"/>
              <w:bottom w:val="single" w:sz="4" w:space="0" w:color="auto"/>
              <w:right w:val="single" w:sz="4" w:space="0" w:color="auto"/>
            </w:tcBorders>
            <w:vAlign w:val="center"/>
          </w:tcPr>
          <w:p w14:paraId="10CAA006"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13 541,34</w:t>
            </w:r>
          </w:p>
        </w:tc>
        <w:tc>
          <w:tcPr>
            <w:tcW w:w="1552" w:type="dxa"/>
            <w:tcBorders>
              <w:top w:val="single" w:sz="4" w:space="0" w:color="auto"/>
              <w:left w:val="single" w:sz="4" w:space="0" w:color="auto"/>
              <w:bottom w:val="single" w:sz="4" w:space="0" w:color="auto"/>
              <w:right w:val="single" w:sz="4" w:space="0" w:color="auto"/>
            </w:tcBorders>
            <w:vAlign w:val="center"/>
          </w:tcPr>
          <w:p w14:paraId="4869B323"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14 303,90</w:t>
            </w:r>
          </w:p>
        </w:tc>
        <w:tc>
          <w:tcPr>
            <w:tcW w:w="1559" w:type="dxa"/>
            <w:tcBorders>
              <w:top w:val="single" w:sz="4" w:space="0" w:color="auto"/>
              <w:left w:val="single" w:sz="4" w:space="0" w:color="auto"/>
              <w:bottom w:val="single" w:sz="4" w:space="0" w:color="auto"/>
              <w:right w:val="single" w:sz="4" w:space="0" w:color="auto"/>
            </w:tcBorders>
            <w:vAlign w:val="center"/>
          </w:tcPr>
          <w:p w14:paraId="1A0A1EF5"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14 975,19</w:t>
            </w:r>
          </w:p>
        </w:tc>
      </w:tr>
      <w:tr w:rsidR="00B54516" w:rsidRPr="009D5B83" w14:paraId="24937BE1"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1FD1DA3E"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по распределительной составляющей бюджета</w:t>
            </w:r>
          </w:p>
        </w:tc>
        <w:tc>
          <w:tcPr>
            <w:tcW w:w="1294" w:type="dxa"/>
            <w:tcBorders>
              <w:top w:val="single" w:sz="4" w:space="0" w:color="auto"/>
              <w:left w:val="single" w:sz="4" w:space="0" w:color="auto"/>
              <w:bottom w:val="single" w:sz="4" w:space="0" w:color="auto"/>
              <w:right w:val="single" w:sz="4" w:space="0" w:color="auto"/>
            </w:tcBorders>
            <w:vAlign w:val="center"/>
          </w:tcPr>
          <w:p w14:paraId="50AE47C0"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13 494,76</w:t>
            </w:r>
          </w:p>
        </w:tc>
        <w:tc>
          <w:tcPr>
            <w:tcW w:w="1552" w:type="dxa"/>
            <w:tcBorders>
              <w:top w:val="single" w:sz="4" w:space="0" w:color="auto"/>
              <w:left w:val="single" w:sz="4" w:space="0" w:color="auto"/>
              <w:bottom w:val="single" w:sz="4" w:space="0" w:color="auto"/>
              <w:right w:val="single" w:sz="4" w:space="0" w:color="auto"/>
            </w:tcBorders>
            <w:vAlign w:val="center"/>
          </w:tcPr>
          <w:p w14:paraId="490378A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14 255,09</w:t>
            </w:r>
          </w:p>
        </w:tc>
        <w:tc>
          <w:tcPr>
            <w:tcW w:w="1559" w:type="dxa"/>
            <w:tcBorders>
              <w:top w:val="single" w:sz="4" w:space="0" w:color="auto"/>
              <w:left w:val="single" w:sz="4" w:space="0" w:color="auto"/>
              <w:bottom w:val="single" w:sz="4" w:space="0" w:color="auto"/>
              <w:right w:val="single" w:sz="4" w:space="0" w:color="auto"/>
            </w:tcBorders>
            <w:vAlign w:val="center"/>
          </w:tcPr>
          <w:p w14:paraId="25395C37"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14 924,46</w:t>
            </w:r>
          </w:p>
        </w:tc>
      </w:tr>
      <w:tr w:rsidR="00B54516" w:rsidRPr="009D5B83" w14:paraId="7F1F8268"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49042EAB" w14:textId="77777777" w:rsidR="00B54516" w:rsidRPr="009D5B83" w:rsidRDefault="00B54516" w:rsidP="00B54516">
            <w:pPr>
              <w:spacing w:line="240" w:lineRule="atLeast"/>
              <w:jc w:val="right"/>
              <w:rPr>
                <w:rFonts w:eastAsia="Calibri"/>
                <w:i/>
                <w:sz w:val="20"/>
                <w:szCs w:val="20"/>
                <w:lang w:eastAsia="en-US"/>
              </w:rPr>
            </w:pPr>
            <w:r w:rsidRPr="009D5B83">
              <w:rPr>
                <w:rFonts w:eastAsia="Calibri"/>
                <w:i/>
                <w:sz w:val="20"/>
                <w:szCs w:val="20"/>
                <w:lang w:eastAsia="en-US"/>
              </w:rPr>
              <w:t>из них:</w:t>
            </w:r>
          </w:p>
        </w:tc>
        <w:tc>
          <w:tcPr>
            <w:tcW w:w="1294" w:type="dxa"/>
            <w:tcBorders>
              <w:top w:val="single" w:sz="4" w:space="0" w:color="auto"/>
              <w:left w:val="single" w:sz="4" w:space="0" w:color="auto"/>
              <w:bottom w:val="single" w:sz="4" w:space="0" w:color="auto"/>
              <w:right w:val="single" w:sz="4" w:space="0" w:color="auto"/>
            </w:tcBorders>
            <w:vAlign w:val="center"/>
          </w:tcPr>
          <w:p w14:paraId="407F3E59" w14:textId="77777777" w:rsidR="00B54516" w:rsidRPr="009D5B83" w:rsidRDefault="00B54516" w:rsidP="00B54516">
            <w:pPr>
              <w:spacing w:line="240" w:lineRule="atLeast"/>
              <w:jc w:val="center"/>
              <w:rPr>
                <w:rFonts w:eastAsia="Calibri"/>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14:paraId="6C87A935" w14:textId="77777777" w:rsidR="00B54516" w:rsidRPr="009D5B83" w:rsidRDefault="00B54516" w:rsidP="00B54516">
            <w:pPr>
              <w:spacing w:line="240" w:lineRule="atLeast"/>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B733E08" w14:textId="77777777" w:rsidR="00B54516" w:rsidRPr="009D5B83" w:rsidRDefault="00B54516" w:rsidP="00B54516">
            <w:pPr>
              <w:spacing w:line="240" w:lineRule="atLeast"/>
              <w:jc w:val="center"/>
              <w:rPr>
                <w:rFonts w:eastAsia="Calibri"/>
                <w:sz w:val="20"/>
                <w:szCs w:val="20"/>
                <w:lang w:eastAsia="en-US"/>
              </w:rPr>
            </w:pPr>
          </w:p>
        </w:tc>
      </w:tr>
      <w:tr w:rsidR="00B54516" w:rsidRPr="009D5B83" w14:paraId="415E841E"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76DAD740"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 xml:space="preserve">ОПС </w:t>
            </w:r>
          </w:p>
        </w:tc>
        <w:tc>
          <w:tcPr>
            <w:tcW w:w="1294" w:type="dxa"/>
            <w:tcBorders>
              <w:top w:val="single" w:sz="4" w:space="0" w:color="auto"/>
              <w:left w:val="single" w:sz="4" w:space="0" w:color="auto"/>
              <w:bottom w:val="single" w:sz="4" w:space="0" w:color="auto"/>
              <w:right w:val="single" w:sz="4" w:space="0" w:color="auto"/>
            </w:tcBorders>
            <w:vAlign w:val="center"/>
          </w:tcPr>
          <w:p w14:paraId="44809BA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9 060,67</w:t>
            </w:r>
          </w:p>
        </w:tc>
        <w:tc>
          <w:tcPr>
            <w:tcW w:w="1552" w:type="dxa"/>
            <w:tcBorders>
              <w:top w:val="single" w:sz="4" w:space="0" w:color="auto"/>
              <w:left w:val="single" w:sz="4" w:space="0" w:color="auto"/>
              <w:bottom w:val="single" w:sz="4" w:space="0" w:color="auto"/>
              <w:right w:val="single" w:sz="4" w:space="0" w:color="auto"/>
            </w:tcBorders>
            <w:vAlign w:val="center"/>
          </w:tcPr>
          <w:p w14:paraId="14E10535"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9 335,62</w:t>
            </w:r>
          </w:p>
        </w:tc>
        <w:tc>
          <w:tcPr>
            <w:tcW w:w="1559" w:type="dxa"/>
            <w:tcBorders>
              <w:top w:val="single" w:sz="4" w:space="0" w:color="auto"/>
              <w:left w:val="single" w:sz="4" w:space="0" w:color="auto"/>
              <w:bottom w:val="single" w:sz="4" w:space="0" w:color="auto"/>
              <w:right w:val="single" w:sz="4" w:space="0" w:color="auto"/>
            </w:tcBorders>
            <w:vAlign w:val="center"/>
          </w:tcPr>
          <w:p w14:paraId="17916F10"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9 693,96</w:t>
            </w:r>
          </w:p>
        </w:tc>
      </w:tr>
      <w:tr w:rsidR="00B54516" w:rsidRPr="009D5B83" w14:paraId="0C9FA9C4" w14:textId="77777777" w:rsidTr="00016DA9">
        <w:trPr>
          <w:trHeight w:val="323"/>
        </w:trPr>
        <w:tc>
          <w:tcPr>
            <w:tcW w:w="4673" w:type="dxa"/>
            <w:tcBorders>
              <w:top w:val="single" w:sz="4" w:space="0" w:color="auto"/>
              <w:left w:val="single" w:sz="4" w:space="0" w:color="auto"/>
              <w:bottom w:val="single" w:sz="4" w:space="0" w:color="auto"/>
              <w:right w:val="single" w:sz="4" w:space="0" w:color="auto"/>
            </w:tcBorders>
            <w:vAlign w:val="center"/>
          </w:tcPr>
          <w:p w14:paraId="61FF3B6D"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ОСС</w:t>
            </w:r>
          </w:p>
        </w:tc>
        <w:tc>
          <w:tcPr>
            <w:tcW w:w="1294" w:type="dxa"/>
            <w:tcBorders>
              <w:top w:val="single" w:sz="4" w:space="0" w:color="auto"/>
              <w:left w:val="single" w:sz="4" w:space="0" w:color="auto"/>
              <w:bottom w:val="single" w:sz="4" w:space="0" w:color="auto"/>
              <w:right w:val="single" w:sz="4" w:space="0" w:color="auto"/>
            </w:tcBorders>
            <w:vAlign w:val="center"/>
          </w:tcPr>
          <w:p w14:paraId="1797BE36"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838,16</w:t>
            </w:r>
          </w:p>
        </w:tc>
        <w:tc>
          <w:tcPr>
            <w:tcW w:w="1552" w:type="dxa"/>
            <w:tcBorders>
              <w:top w:val="single" w:sz="4" w:space="0" w:color="auto"/>
              <w:left w:val="single" w:sz="4" w:space="0" w:color="auto"/>
              <w:bottom w:val="single" w:sz="4" w:space="0" w:color="auto"/>
              <w:right w:val="single" w:sz="4" w:space="0" w:color="auto"/>
            </w:tcBorders>
            <w:vAlign w:val="center"/>
          </w:tcPr>
          <w:p w14:paraId="3368C987"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973,85</w:t>
            </w:r>
          </w:p>
        </w:tc>
        <w:tc>
          <w:tcPr>
            <w:tcW w:w="1559" w:type="dxa"/>
            <w:tcBorders>
              <w:top w:val="single" w:sz="4" w:space="0" w:color="auto"/>
              <w:left w:val="single" w:sz="4" w:space="0" w:color="auto"/>
              <w:bottom w:val="single" w:sz="4" w:space="0" w:color="auto"/>
              <w:right w:val="single" w:sz="4" w:space="0" w:color="auto"/>
            </w:tcBorders>
            <w:vAlign w:val="center"/>
          </w:tcPr>
          <w:p w14:paraId="56080474"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1 075,11</w:t>
            </w:r>
          </w:p>
        </w:tc>
      </w:tr>
      <w:tr w:rsidR="00B54516" w:rsidRPr="009D5B83" w14:paraId="30E08324" w14:textId="77777777" w:rsidTr="00016DA9">
        <w:trPr>
          <w:trHeight w:val="286"/>
        </w:trPr>
        <w:tc>
          <w:tcPr>
            <w:tcW w:w="4673" w:type="dxa"/>
            <w:tcBorders>
              <w:top w:val="single" w:sz="4" w:space="0" w:color="auto"/>
              <w:left w:val="single" w:sz="4" w:space="0" w:color="auto"/>
              <w:bottom w:val="single" w:sz="4" w:space="0" w:color="auto"/>
              <w:right w:val="single" w:sz="4" w:space="0" w:color="auto"/>
            </w:tcBorders>
            <w:vAlign w:val="center"/>
          </w:tcPr>
          <w:p w14:paraId="64406C96"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НС</w:t>
            </w:r>
          </w:p>
        </w:tc>
        <w:tc>
          <w:tcPr>
            <w:tcW w:w="1294" w:type="dxa"/>
            <w:tcBorders>
              <w:top w:val="single" w:sz="4" w:space="0" w:color="auto"/>
              <w:left w:val="single" w:sz="4" w:space="0" w:color="auto"/>
              <w:bottom w:val="single" w:sz="4" w:space="0" w:color="auto"/>
              <w:right w:val="single" w:sz="4" w:space="0" w:color="auto"/>
            </w:tcBorders>
            <w:vAlign w:val="center"/>
          </w:tcPr>
          <w:p w14:paraId="1692B307"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129,71</w:t>
            </w:r>
          </w:p>
        </w:tc>
        <w:tc>
          <w:tcPr>
            <w:tcW w:w="1552" w:type="dxa"/>
            <w:tcBorders>
              <w:top w:val="single" w:sz="4" w:space="0" w:color="auto"/>
              <w:left w:val="single" w:sz="4" w:space="0" w:color="auto"/>
              <w:bottom w:val="single" w:sz="4" w:space="0" w:color="auto"/>
              <w:right w:val="single" w:sz="4" w:space="0" w:color="auto"/>
            </w:tcBorders>
            <w:vAlign w:val="center"/>
          </w:tcPr>
          <w:p w14:paraId="14EAC2A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140,28</w:t>
            </w:r>
          </w:p>
        </w:tc>
        <w:tc>
          <w:tcPr>
            <w:tcW w:w="1559" w:type="dxa"/>
            <w:tcBorders>
              <w:top w:val="single" w:sz="4" w:space="0" w:color="auto"/>
              <w:left w:val="single" w:sz="4" w:space="0" w:color="auto"/>
              <w:bottom w:val="single" w:sz="4" w:space="0" w:color="auto"/>
              <w:right w:val="single" w:sz="4" w:space="0" w:color="auto"/>
            </w:tcBorders>
            <w:vAlign w:val="center"/>
          </w:tcPr>
          <w:p w14:paraId="0D3B23FE"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150,31</w:t>
            </w:r>
          </w:p>
        </w:tc>
      </w:tr>
      <w:tr w:rsidR="00B54516" w:rsidRPr="009D5B83" w14:paraId="528FDE46"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3013DAF0"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по накопительной составляющей бюджета</w:t>
            </w:r>
          </w:p>
        </w:tc>
        <w:tc>
          <w:tcPr>
            <w:tcW w:w="1294" w:type="dxa"/>
            <w:tcBorders>
              <w:top w:val="single" w:sz="4" w:space="0" w:color="auto"/>
              <w:left w:val="single" w:sz="4" w:space="0" w:color="auto"/>
              <w:bottom w:val="single" w:sz="4" w:space="0" w:color="auto"/>
              <w:right w:val="single" w:sz="4" w:space="0" w:color="auto"/>
            </w:tcBorders>
            <w:vAlign w:val="center"/>
          </w:tcPr>
          <w:p w14:paraId="04C30162"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46,58</w:t>
            </w:r>
          </w:p>
        </w:tc>
        <w:tc>
          <w:tcPr>
            <w:tcW w:w="1552" w:type="dxa"/>
            <w:tcBorders>
              <w:top w:val="single" w:sz="4" w:space="0" w:color="auto"/>
              <w:left w:val="single" w:sz="4" w:space="0" w:color="auto"/>
              <w:bottom w:val="single" w:sz="4" w:space="0" w:color="auto"/>
              <w:right w:val="single" w:sz="4" w:space="0" w:color="auto"/>
            </w:tcBorders>
            <w:vAlign w:val="center"/>
          </w:tcPr>
          <w:p w14:paraId="4818B80F"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48,80</w:t>
            </w:r>
          </w:p>
        </w:tc>
        <w:tc>
          <w:tcPr>
            <w:tcW w:w="1559" w:type="dxa"/>
            <w:tcBorders>
              <w:top w:val="single" w:sz="4" w:space="0" w:color="auto"/>
              <w:left w:val="single" w:sz="4" w:space="0" w:color="auto"/>
              <w:bottom w:val="single" w:sz="4" w:space="0" w:color="auto"/>
              <w:right w:val="single" w:sz="4" w:space="0" w:color="auto"/>
            </w:tcBorders>
            <w:vAlign w:val="center"/>
          </w:tcPr>
          <w:p w14:paraId="7759FEC6"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50,72</w:t>
            </w:r>
          </w:p>
        </w:tc>
      </w:tr>
      <w:tr w:rsidR="00B54516" w:rsidRPr="009D5B83" w14:paraId="2F7F56CC"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744F1671" w14:textId="407A6AA3" w:rsidR="00B54516" w:rsidRPr="002F412C" w:rsidRDefault="00B54516" w:rsidP="00B54516">
            <w:pPr>
              <w:spacing w:line="240" w:lineRule="atLeast"/>
              <w:rPr>
                <w:rFonts w:eastAsia="Calibri"/>
                <w:b/>
                <w:bCs/>
                <w:sz w:val="20"/>
                <w:szCs w:val="20"/>
                <w:lang w:eastAsia="en-US"/>
              </w:rPr>
            </w:pPr>
            <w:r w:rsidRPr="002F412C">
              <w:rPr>
                <w:rFonts w:eastAsia="Calibri"/>
                <w:b/>
                <w:bCs/>
                <w:sz w:val="20"/>
                <w:szCs w:val="20"/>
                <w:lang w:eastAsia="en-US"/>
              </w:rPr>
              <w:t xml:space="preserve">Превышение доходов над расходами, </w:t>
            </w:r>
            <w:r w:rsidR="002606E9">
              <w:rPr>
                <w:rFonts w:eastAsia="Calibri"/>
                <w:b/>
                <w:bCs/>
                <w:sz w:val="20"/>
                <w:szCs w:val="20"/>
                <w:lang w:eastAsia="en-US"/>
              </w:rPr>
              <w:t>ВСЕГО</w:t>
            </w:r>
          </w:p>
        </w:tc>
        <w:tc>
          <w:tcPr>
            <w:tcW w:w="1294" w:type="dxa"/>
            <w:tcBorders>
              <w:top w:val="single" w:sz="4" w:space="0" w:color="auto"/>
              <w:left w:val="single" w:sz="4" w:space="0" w:color="auto"/>
              <w:bottom w:val="single" w:sz="4" w:space="0" w:color="auto"/>
              <w:right w:val="single" w:sz="4" w:space="0" w:color="auto"/>
            </w:tcBorders>
            <w:vAlign w:val="center"/>
          </w:tcPr>
          <w:p w14:paraId="191CE64A"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+169,88</w:t>
            </w:r>
          </w:p>
        </w:tc>
        <w:tc>
          <w:tcPr>
            <w:tcW w:w="1552" w:type="dxa"/>
            <w:tcBorders>
              <w:top w:val="single" w:sz="4" w:space="0" w:color="auto"/>
              <w:left w:val="single" w:sz="4" w:space="0" w:color="auto"/>
              <w:bottom w:val="single" w:sz="4" w:space="0" w:color="auto"/>
              <w:right w:val="single" w:sz="4" w:space="0" w:color="auto"/>
            </w:tcBorders>
            <w:vAlign w:val="center"/>
          </w:tcPr>
          <w:p w14:paraId="04BB5477"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+191,44</w:t>
            </w:r>
          </w:p>
        </w:tc>
        <w:tc>
          <w:tcPr>
            <w:tcW w:w="1559" w:type="dxa"/>
            <w:tcBorders>
              <w:top w:val="single" w:sz="4" w:space="0" w:color="auto"/>
              <w:left w:val="single" w:sz="4" w:space="0" w:color="auto"/>
              <w:bottom w:val="single" w:sz="4" w:space="0" w:color="auto"/>
              <w:right w:val="single" w:sz="4" w:space="0" w:color="auto"/>
            </w:tcBorders>
            <w:vAlign w:val="center"/>
          </w:tcPr>
          <w:p w14:paraId="21A419D2" w14:textId="77777777" w:rsidR="00B54516" w:rsidRPr="002F412C" w:rsidRDefault="00B54516" w:rsidP="00B54516">
            <w:pPr>
              <w:spacing w:line="240" w:lineRule="atLeast"/>
              <w:jc w:val="center"/>
              <w:rPr>
                <w:rFonts w:eastAsia="Calibri"/>
                <w:b/>
                <w:bCs/>
                <w:sz w:val="20"/>
                <w:szCs w:val="20"/>
                <w:lang w:eastAsia="en-US"/>
              </w:rPr>
            </w:pPr>
            <w:r w:rsidRPr="002F412C">
              <w:rPr>
                <w:rFonts w:eastAsia="Calibri"/>
                <w:b/>
                <w:bCs/>
                <w:sz w:val="20"/>
                <w:szCs w:val="20"/>
                <w:lang w:eastAsia="en-US"/>
              </w:rPr>
              <w:t>+446,94</w:t>
            </w:r>
          </w:p>
        </w:tc>
      </w:tr>
      <w:tr w:rsidR="00B54516" w:rsidRPr="009D5B83" w14:paraId="3863B0F4"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43318ADA"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по распределительной составляющей бюджета</w:t>
            </w:r>
          </w:p>
        </w:tc>
        <w:tc>
          <w:tcPr>
            <w:tcW w:w="1294" w:type="dxa"/>
            <w:tcBorders>
              <w:top w:val="single" w:sz="4" w:space="0" w:color="auto"/>
              <w:left w:val="single" w:sz="4" w:space="0" w:color="auto"/>
              <w:bottom w:val="single" w:sz="4" w:space="0" w:color="auto"/>
              <w:right w:val="single" w:sz="4" w:space="0" w:color="auto"/>
            </w:tcBorders>
            <w:vAlign w:val="center"/>
          </w:tcPr>
          <w:p w14:paraId="5EA8B69E"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+134,90</w:t>
            </w:r>
          </w:p>
        </w:tc>
        <w:tc>
          <w:tcPr>
            <w:tcW w:w="1552" w:type="dxa"/>
            <w:tcBorders>
              <w:top w:val="single" w:sz="4" w:space="0" w:color="auto"/>
              <w:left w:val="single" w:sz="4" w:space="0" w:color="auto"/>
              <w:bottom w:val="single" w:sz="4" w:space="0" w:color="auto"/>
              <w:right w:val="single" w:sz="4" w:space="0" w:color="auto"/>
            </w:tcBorders>
            <w:vAlign w:val="center"/>
          </w:tcPr>
          <w:p w14:paraId="0972BB0C"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+157,91</w:t>
            </w:r>
          </w:p>
        </w:tc>
        <w:tc>
          <w:tcPr>
            <w:tcW w:w="1559" w:type="dxa"/>
            <w:tcBorders>
              <w:top w:val="single" w:sz="4" w:space="0" w:color="auto"/>
              <w:left w:val="single" w:sz="4" w:space="0" w:color="auto"/>
              <w:bottom w:val="single" w:sz="4" w:space="0" w:color="auto"/>
              <w:right w:val="single" w:sz="4" w:space="0" w:color="auto"/>
            </w:tcBorders>
            <w:vAlign w:val="center"/>
          </w:tcPr>
          <w:p w14:paraId="117E6134"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+411,88</w:t>
            </w:r>
          </w:p>
        </w:tc>
      </w:tr>
      <w:tr w:rsidR="00B54516" w:rsidRPr="009D5B83" w14:paraId="37A9FEE8"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638848CB" w14:textId="77777777" w:rsidR="00B54516" w:rsidRPr="009D5B83" w:rsidRDefault="00B54516" w:rsidP="00B54516">
            <w:pPr>
              <w:spacing w:line="240" w:lineRule="atLeast"/>
              <w:jc w:val="right"/>
              <w:rPr>
                <w:rFonts w:eastAsia="Calibri"/>
                <w:i/>
                <w:sz w:val="20"/>
                <w:szCs w:val="20"/>
                <w:lang w:eastAsia="en-US"/>
              </w:rPr>
            </w:pPr>
            <w:r w:rsidRPr="009D5B83">
              <w:rPr>
                <w:rFonts w:eastAsia="Calibri"/>
                <w:i/>
                <w:sz w:val="20"/>
                <w:szCs w:val="20"/>
                <w:lang w:eastAsia="en-US"/>
              </w:rPr>
              <w:t>из них:</w:t>
            </w:r>
          </w:p>
        </w:tc>
        <w:tc>
          <w:tcPr>
            <w:tcW w:w="1294" w:type="dxa"/>
            <w:tcBorders>
              <w:top w:val="single" w:sz="4" w:space="0" w:color="auto"/>
              <w:left w:val="single" w:sz="4" w:space="0" w:color="auto"/>
              <w:bottom w:val="single" w:sz="4" w:space="0" w:color="auto"/>
              <w:right w:val="single" w:sz="4" w:space="0" w:color="auto"/>
            </w:tcBorders>
            <w:vAlign w:val="center"/>
          </w:tcPr>
          <w:p w14:paraId="7E5D90DF" w14:textId="77777777" w:rsidR="00B54516" w:rsidRPr="009D5B83" w:rsidRDefault="00B54516" w:rsidP="00B54516">
            <w:pPr>
              <w:spacing w:line="240" w:lineRule="atLeast"/>
              <w:jc w:val="center"/>
              <w:rPr>
                <w:rFonts w:eastAsia="Calibri"/>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14:paraId="668BC840" w14:textId="77777777" w:rsidR="00B54516" w:rsidRPr="009D5B83" w:rsidRDefault="00B54516" w:rsidP="00B54516">
            <w:pPr>
              <w:spacing w:line="240" w:lineRule="atLeast"/>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B8E283A" w14:textId="77777777" w:rsidR="00B54516" w:rsidRPr="009D5B83" w:rsidRDefault="00B54516" w:rsidP="00B54516">
            <w:pPr>
              <w:spacing w:line="240" w:lineRule="atLeast"/>
              <w:jc w:val="center"/>
              <w:rPr>
                <w:rFonts w:eastAsia="Calibri"/>
                <w:sz w:val="20"/>
                <w:szCs w:val="20"/>
                <w:lang w:eastAsia="en-US"/>
              </w:rPr>
            </w:pPr>
          </w:p>
        </w:tc>
      </w:tr>
      <w:tr w:rsidR="00B54516" w:rsidRPr="009D5B83" w14:paraId="4C68CAB1"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0FA4C8DA"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ОПС</w:t>
            </w:r>
          </w:p>
        </w:tc>
        <w:tc>
          <w:tcPr>
            <w:tcW w:w="1294" w:type="dxa"/>
            <w:tcBorders>
              <w:top w:val="single" w:sz="4" w:space="0" w:color="auto"/>
              <w:left w:val="single" w:sz="4" w:space="0" w:color="auto"/>
              <w:bottom w:val="single" w:sz="4" w:space="0" w:color="auto"/>
              <w:right w:val="single" w:sz="4" w:space="0" w:color="auto"/>
            </w:tcBorders>
            <w:vAlign w:val="center"/>
          </w:tcPr>
          <w:p w14:paraId="3FB9FA02"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-12,79</w:t>
            </w:r>
          </w:p>
        </w:tc>
        <w:tc>
          <w:tcPr>
            <w:tcW w:w="1552" w:type="dxa"/>
            <w:tcBorders>
              <w:top w:val="single" w:sz="4" w:space="0" w:color="auto"/>
              <w:left w:val="single" w:sz="4" w:space="0" w:color="auto"/>
              <w:bottom w:val="single" w:sz="4" w:space="0" w:color="auto"/>
              <w:right w:val="single" w:sz="4" w:space="0" w:color="auto"/>
            </w:tcBorders>
            <w:vAlign w:val="center"/>
          </w:tcPr>
          <w:p w14:paraId="5CB8FC03"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+62,29</w:t>
            </w:r>
          </w:p>
        </w:tc>
        <w:tc>
          <w:tcPr>
            <w:tcW w:w="1559" w:type="dxa"/>
            <w:tcBorders>
              <w:top w:val="single" w:sz="4" w:space="0" w:color="auto"/>
              <w:left w:val="single" w:sz="4" w:space="0" w:color="auto"/>
              <w:bottom w:val="single" w:sz="4" w:space="0" w:color="auto"/>
              <w:right w:val="single" w:sz="4" w:space="0" w:color="auto"/>
            </w:tcBorders>
            <w:vAlign w:val="center"/>
          </w:tcPr>
          <w:p w14:paraId="3FA8DE66"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+334,27</w:t>
            </w:r>
          </w:p>
        </w:tc>
      </w:tr>
      <w:tr w:rsidR="00B54516" w:rsidRPr="009D5B83" w14:paraId="7668CCA7" w14:textId="77777777" w:rsidTr="00016DA9">
        <w:trPr>
          <w:trHeight w:val="276"/>
        </w:trPr>
        <w:tc>
          <w:tcPr>
            <w:tcW w:w="4673" w:type="dxa"/>
            <w:tcBorders>
              <w:top w:val="single" w:sz="4" w:space="0" w:color="auto"/>
              <w:left w:val="single" w:sz="4" w:space="0" w:color="auto"/>
              <w:bottom w:val="single" w:sz="4" w:space="0" w:color="auto"/>
              <w:right w:val="single" w:sz="4" w:space="0" w:color="auto"/>
            </w:tcBorders>
            <w:vAlign w:val="center"/>
          </w:tcPr>
          <w:p w14:paraId="6B34C7C2"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ОСС</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2E0470C"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+91,71</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51129503"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+32,45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EB8561"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+6,12</w:t>
            </w:r>
          </w:p>
        </w:tc>
      </w:tr>
      <w:tr w:rsidR="00B54516" w:rsidRPr="009D5B83" w14:paraId="23BFB53E" w14:textId="77777777" w:rsidTr="00016DA9">
        <w:trPr>
          <w:trHeight w:val="266"/>
        </w:trPr>
        <w:tc>
          <w:tcPr>
            <w:tcW w:w="4673" w:type="dxa"/>
            <w:tcBorders>
              <w:top w:val="single" w:sz="4" w:space="0" w:color="auto"/>
              <w:left w:val="single" w:sz="4" w:space="0" w:color="auto"/>
              <w:bottom w:val="single" w:sz="4" w:space="0" w:color="auto"/>
              <w:right w:val="single" w:sz="4" w:space="0" w:color="auto"/>
            </w:tcBorders>
            <w:vAlign w:val="center"/>
          </w:tcPr>
          <w:p w14:paraId="2D800A85"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НС</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242060DE"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+56,05</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0930E23E"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+63,17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423D7"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+71,49</w:t>
            </w:r>
          </w:p>
        </w:tc>
      </w:tr>
      <w:tr w:rsidR="00B54516" w:rsidRPr="009D5B83" w14:paraId="72E7F8A6" w14:textId="77777777" w:rsidTr="00016DA9">
        <w:trPr>
          <w:trHeight w:val="284"/>
        </w:trPr>
        <w:tc>
          <w:tcPr>
            <w:tcW w:w="4673" w:type="dxa"/>
            <w:tcBorders>
              <w:top w:val="single" w:sz="4" w:space="0" w:color="auto"/>
              <w:left w:val="single" w:sz="4" w:space="0" w:color="auto"/>
              <w:bottom w:val="single" w:sz="4" w:space="0" w:color="auto"/>
              <w:right w:val="single" w:sz="4" w:space="0" w:color="auto"/>
            </w:tcBorders>
            <w:vAlign w:val="center"/>
          </w:tcPr>
          <w:p w14:paraId="0C98BF9A"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переданные полномочия</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AFB33A3"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-0,07</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1F8D2FF"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37838"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0,00</w:t>
            </w:r>
          </w:p>
        </w:tc>
      </w:tr>
      <w:tr w:rsidR="00B54516" w:rsidRPr="009D5B83" w14:paraId="23E7230E" w14:textId="77777777" w:rsidTr="00016DA9">
        <w:tc>
          <w:tcPr>
            <w:tcW w:w="4673" w:type="dxa"/>
            <w:tcBorders>
              <w:top w:val="single" w:sz="4" w:space="0" w:color="auto"/>
              <w:left w:val="single" w:sz="4" w:space="0" w:color="auto"/>
              <w:bottom w:val="single" w:sz="4" w:space="0" w:color="auto"/>
              <w:right w:val="single" w:sz="4" w:space="0" w:color="auto"/>
            </w:tcBorders>
            <w:vAlign w:val="center"/>
          </w:tcPr>
          <w:p w14:paraId="483ADF55" w14:textId="77777777" w:rsidR="00B54516" w:rsidRPr="009D5B83" w:rsidRDefault="00B54516" w:rsidP="00B54516">
            <w:pPr>
              <w:spacing w:line="240" w:lineRule="atLeast"/>
              <w:rPr>
                <w:rFonts w:eastAsia="Calibri"/>
                <w:sz w:val="20"/>
                <w:szCs w:val="20"/>
                <w:lang w:eastAsia="en-US"/>
              </w:rPr>
            </w:pPr>
            <w:r w:rsidRPr="009D5B83">
              <w:rPr>
                <w:rFonts w:eastAsia="Calibri"/>
                <w:sz w:val="20"/>
                <w:szCs w:val="20"/>
                <w:lang w:eastAsia="en-US"/>
              </w:rPr>
              <w:t>по накопительной составляющей бюджета</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596906E"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+34,98</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4C2F898D"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+33,53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CCBE6" w14:textId="77777777" w:rsidR="00B54516" w:rsidRPr="009D5B83" w:rsidRDefault="00B54516" w:rsidP="00B54516">
            <w:pPr>
              <w:spacing w:line="240" w:lineRule="atLeast"/>
              <w:jc w:val="center"/>
              <w:rPr>
                <w:rFonts w:eastAsia="Calibri"/>
                <w:sz w:val="20"/>
                <w:szCs w:val="20"/>
                <w:lang w:eastAsia="en-US"/>
              </w:rPr>
            </w:pPr>
            <w:r w:rsidRPr="009D5B83">
              <w:rPr>
                <w:rFonts w:eastAsia="Calibri"/>
                <w:sz w:val="20"/>
                <w:szCs w:val="20"/>
                <w:lang w:eastAsia="en-US"/>
              </w:rPr>
              <w:t>+35,07</w:t>
            </w:r>
          </w:p>
        </w:tc>
      </w:tr>
    </w:tbl>
    <w:p w14:paraId="75388428" w14:textId="358D5376" w:rsidR="00B54516" w:rsidRPr="009D5B83" w:rsidRDefault="00B54516" w:rsidP="00B54516">
      <w:pPr>
        <w:keepNext/>
        <w:spacing w:before="60" w:after="120"/>
        <w:ind w:firstLine="709"/>
        <w:rPr>
          <w:bCs/>
        </w:rPr>
      </w:pPr>
      <w:r w:rsidRPr="009D5B83">
        <w:rPr>
          <w:bCs/>
          <w:i/>
          <w:sz w:val="20"/>
        </w:rPr>
        <w:t>Источники:</w:t>
      </w:r>
      <w:r w:rsidRPr="009D5B83">
        <w:rPr>
          <w:bCs/>
          <w:sz w:val="20"/>
        </w:rPr>
        <w:t xml:space="preserve"> Законопроект</w:t>
      </w:r>
      <w:r w:rsidR="00CA7824" w:rsidRPr="009D5B83">
        <w:rPr>
          <w:bCs/>
          <w:sz w:val="20"/>
        </w:rPr>
        <w:t>.</w:t>
      </w:r>
    </w:p>
    <w:p w14:paraId="1432FBF4" w14:textId="77777777" w:rsidR="00B54516" w:rsidRPr="009D5B83" w:rsidRDefault="00B54516" w:rsidP="00B54516">
      <w:pPr>
        <w:spacing w:after="60"/>
        <w:ind w:firstLine="709"/>
        <w:jc w:val="both"/>
        <w:rPr>
          <w:color w:val="2F5496"/>
        </w:rPr>
      </w:pPr>
    </w:p>
    <w:p w14:paraId="70253691" w14:textId="4E9FE23E" w:rsidR="001729B1" w:rsidRPr="00E103B9" w:rsidRDefault="001729B1" w:rsidP="006B103B">
      <w:pPr>
        <w:tabs>
          <w:tab w:val="left" w:pos="1134"/>
        </w:tabs>
        <w:spacing w:after="60"/>
        <w:ind w:firstLine="709"/>
        <w:contextualSpacing/>
        <w:jc w:val="both"/>
        <w:rPr>
          <w:sz w:val="28"/>
          <w:szCs w:val="20"/>
        </w:rPr>
      </w:pPr>
      <w:r w:rsidRPr="00E103B9">
        <w:rPr>
          <w:sz w:val="28"/>
          <w:szCs w:val="20"/>
        </w:rPr>
        <w:t>Параметры пенсионного обеспечения по системе ОПС, заложенные в проекте бюджета Фонда на 2023 г</w:t>
      </w:r>
      <w:r w:rsidR="00497EB2" w:rsidRPr="00E103B9">
        <w:rPr>
          <w:sz w:val="28"/>
          <w:szCs w:val="20"/>
        </w:rPr>
        <w:t>.</w:t>
      </w:r>
      <w:r w:rsidRPr="00E103B9">
        <w:rPr>
          <w:sz w:val="28"/>
          <w:szCs w:val="20"/>
        </w:rPr>
        <w:t>, представляются вполне оправданными. Согласно Пояснительной записке к проекту бюджета Фонда, в 2023 г</w:t>
      </w:r>
      <w:r w:rsidR="00497EB2" w:rsidRPr="00E103B9">
        <w:rPr>
          <w:sz w:val="28"/>
          <w:szCs w:val="20"/>
        </w:rPr>
        <w:t>.</w:t>
      </w:r>
      <w:r w:rsidRPr="00E103B9">
        <w:rPr>
          <w:sz w:val="28"/>
          <w:szCs w:val="20"/>
        </w:rPr>
        <w:t xml:space="preserve"> расходы должны составить 9</w:t>
      </w:r>
      <w:r w:rsidR="00497EB2" w:rsidRPr="00E103B9">
        <w:rPr>
          <w:sz w:val="28"/>
          <w:szCs w:val="20"/>
        </w:rPr>
        <w:t xml:space="preserve"> </w:t>
      </w:r>
      <w:r w:rsidRPr="00E103B9">
        <w:rPr>
          <w:sz w:val="28"/>
          <w:szCs w:val="20"/>
        </w:rPr>
        <w:t xml:space="preserve">060,67 </w:t>
      </w:r>
      <w:proofErr w:type="gramStart"/>
      <w:r w:rsidRPr="00E103B9">
        <w:rPr>
          <w:sz w:val="28"/>
          <w:szCs w:val="20"/>
        </w:rPr>
        <w:t>млрд</w:t>
      </w:r>
      <w:proofErr w:type="gramEnd"/>
      <w:r w:rsidRPr="00E103B9">
        <w:rPr>
          <w:sz w:val="28"/>
          <w:szCs w:val="20"/>
        </w:rPr>
        <w:t xml:space="preserve"> руб. Для сравнения, в 2022 г</w:t>
      </w:r>
      <w:r w:rsidR="00497EB2" w:rsidRPr="00E103B9">
        <w:rPr>
          <w:sz w:val="28"/>
          <w:szCs w:val="20"/>
        </w:rPr>
        <w:t>.</w:t>
      </w:r>
      <w:r w:rsidRPr="00E103B9">
        <w:rPr>
          <w:sz w:val="28"/>
          <w:szCs w:val="20"/>
        </w:rPr>
        <w:t xml:space="preserve"> запланировано изначально 8</w:t>
      </w:r>
      <w:r w:rsidR="00497EB2" w:rsidRPr="00E103B9">
        <w:rPr>
          <w:sz w:val="28"/>
          <w:szCs w:val="20"/>
        </w:rPr>
        <w:t xml:space="preserve"> </w:t>
      </w:r>
      <w:r w:rsidRPr="00E103B9">
        <w:rPr>
          <w:sz w:val="28"/>
          <w:szCs w:val="20"/>
        </w:rPr>
        <w:t>047 млрд руб., однако за счет внеплановой дополнительной индексации страховых пенсий и фиксированной выплаты к ней с 1 июня на 10% фактические расходы в 2022 г</w:t>
      </w:r>
      <w:r w:rsidR="00497EB2" w:rsidRPr="00E103B9">
        <w:rPr>
          <w:sz w:val="28"/>
          <w:szCs w:val="20"/>
        </w:rPr>
        <w:t>.</w:t>
      </w:r>
      <w:r w:rsidRPr="00E103B9">
        <w:rPr>
          <w:sz w:val="28"/>
          <w:szCs w:val="20"/>
        </w:rPr>
        <w:t xml:space="preserve"> окажутся заметно выше. Рост расходов в 2023 г</w:t>
      </w:r>
      <w:r w:rsidR="00497EB2" w:rsidRPr="00E103B9">
        <w:rPr>
          <w:sz w:val="28"/>
          <w:szCs w:val="20"/>
        </w:rPr>
        <w:t>.</w:t>
      </w:r>
      <w:r w:rsidRPr="00E103B9">
        <w:rPr>
          <w:sz w:val="28"/>
          <w:szCs w:val="20"/>
        </w:rPr>
        <w:t xml:space="preserve"> обусловлен индексацией пенсий на 4,8% с 1 января, но одновременно и снижением численности пенсионеров – получателей страховой пенсий на 938 тыс. человек. Такое снижение </w:t>
      </w:r>
      <w:r w:rsidRPr="00E103B9">
        <w:rPr>
          <w:sz w:val="28"/>
          <w:szCs w:val="20"/>
        </w:rPr>
        <w:lastRenderedPageBreak/>
        <w:t xml:space="preserve">связано с повышением пенсионного возраста и близко к модельным оценкам, </w:t>
      </w:r>
      <w:proofErr w:type="gramStart"/>
      <w:r w:rsidRPr="00E103B9">
        <w:rPr>
          <w:sz w:val="28"/>
          <w:szCs w:val="20"/>
        </w:rPr>
        <w:t>рассчитанных</w:t>
      </w:r>
      <w:proofErr w:type="gramEnd"/>
      <w:r w:rsidRPr="00E103B9">
        <w:rPr>
          <w:sz w:val="28"/>
          <w:szCs w:val="20"/>
        </w:rPr>
        <w:t xml:space="preserve"> экспертами ИНСАП </w:t>
      </w:r>
      <w:proofErr w:type="spellStart"/>
      <w:r w:rsidRPr="00E103B9">
        <w:rPr>
          <w:sz w:val="28"/>
          <w:szCs w:val="20"/>
        </w:rPr>
        <w:t>РАНХиГС</w:t>
      </w:r>
      <w:proofErr w:type="spellEnd"/>
      <w:r w:rsidRPr="00E103B9">
        <w:rPr>
          <w:sz w:val="28"/>
          <w:szCs w:val="20"/>
        </w:rPr>
        <w:t>.</w:t>
      </w:r>
    </w:p>
    <w:p w14:paraId="5EAB4A44" w14:textId="764F3D84" w:rsidR="001729B1" w:rsidRPr="00E103B9" w:rsidRDefault="001729B1" w:rsidP="006B103B">
      <w:pPr>
        <w:tabs>
          <w:tab w:val="left" w:pos="1134"/>
        </w:tabs>
        <w:spacing w:after="60"/>
        <w:ind w:firstLine="709"/>
        <w:contextualSpacing/>
        <w:jc w:val="both"/>
        <w:rPr>
          <w:sz w:val="28"/>
          <w:szCs w:val="20"/>
        </w:rPr>
      </w:pPr>
      <w:r w:rsidRPr="00E103B9">
        <w:rPr>
          <w:sz w:val="28"/>
          <w:szCs w:val="20"/>
        </w:rPr>
        <w:t>Менее оправданным представляется рост расходов на систему ОПС в 2024 г. Так, в проекте бюджета Фонда расходы по данному пункту заложены в объеме 9</w:t>
      </w:r>
      <w:r w:rsidR="00497EB2" w:rsidRPr="00E103B9">
        <w:rPr>
          <w:sz w:val="28"/>
          <w:szCs w:val="20"/>
        </w:rPr>
        <w:t xml:space="preserve"> </w:t>
      </w:r>
      <w:r w:rsidRPr="00E103B9">
        <w:rPr>
          <w:sz w:val="28"/>
          <w:szCs w:val="20"/>
        </w:rPr>
        <w:t xml:space="preserve">335,62 </w:t>
      </w:r>
      <w:proofErr w:type="gramStart"/>
      <w:r w:rsidRPr="00E103B9">
        <w:rPr>
          <w:sz w:val="28"/>
          <w:szCs w:val="20"/>
        </w:rPr>
        <w:t>млрд</w:t>
      </w:r>
      <w:proofErr w:type="gramEnd"/>
      <w:r w:rsidRPr="00E103B9">
        <w:rPr>
          <w:sz w:val="28"/>
          <w:szCs w:val="20"/>
        </w:rPr>
        <w:t xml:space="preserve"> руб., что всего на 3,0% выше, чем в 2023 г. Основная причина заключается в том, что одновременно со снижением численности пенсионеров, индексация пенсий составит всего 4,6%, что ниже планируемой инфляции (ИПЦ) предшествующего года (2023 г</w:t>
      </w:r>
      <w:r w:rsidR="00497EB2" w:rsidRPr="00E103B9">
        <w:rPr>
          <w:sz w:val="28"/>
          <w:szCs w:val="20"/>
        </w:rPr>
        <w:t>.</w:t>
      </w:r>
      <w:r w:rsidRPr="00E103B9">
        <w:rPr>
          <w:sz w:val="28"/>
          <w:szCs w:val="20"/>
        </w:rPr>
        <w:t>), которая, согласно Прогнозу, должна составить 5,5%. Данное несоответствие в темпах индексации объяснено в указанной выше пояснительной записке тем, что учтен переходящий эффект от дополнительной 10-процентной индексации пенсий в июне 2022 г</w:t>
      </w:r>
      <w:r w:rsidR="00497EB2" w:rsidRPr="00E103B9">
        <w:rPr>
          <w:sz w:val="28"/>
          <w:szCs w:val="20"/>
        </w:rPr>
        <w:t>.</w:t>
      </w:r>
      <w:r w:rsidRPr="00E103B9">
        <w:rPr>
          <w:sz w:val="28"/>
          <w:szCs w:val="20"/>
        </w:rPr>
        <w:t xml:space="preserve"> </w:t>
      </w:r>
      <w:proofErr w:type="gramStart"/>
      <w:r w:rsidRPr="00E103B9">
        <w:rPr>
          <w:sz w:val="28"/>
          <w:szCs w:val="20"/>
        </w:rPr>
        <w:t>на</w:t>
      </w:r>
      <w:proofErr w:type="gramEnd"/>
      <w:r w:rsidRPr="00E103B9">
        <w:rPr>
          <w:sz w:val="28"/>
          <w:szCs w:val="20"/>
        </w:rPr>
        <w:t xml:space="preserve"> последующие 2023-2024 гг.</w:t>
      </w:r>
    </w:p>
    <w:p w14:paraId="6C4CFAA0" w14:textId="6AF39CDB" w:rsidR="001729B1" w:rsidRPr="00E103B9" w:rsidRDefault="001729B1" w:rsidP="006B103B">
      <w:pPr>
        <w:tabs>
          <w:tab w:val="left" w:pos="1134"/>
        </w:tabs>
        <w:spacing w:after="60"/>
        <w:ind w:firstLine="709"/>
        <w:contextualSpacing/>
        <w:jc w:val="both"/>
        <w:rPr>
          <w:sz w:val="28"/>
          <w:szCs w:val="20"/>
        </w:rPr>
      </w:pPr>
      <w:r w:rsidRPr="00E103B9">
        <w:rPr>
          <w:sz w:val="28"/>
          <w:szCs w:val="20"/>
        </w:rPr>
        <w:t xml:space="preserve">В то же время следует отметить, что согласно ст.15, п.22 федерального закона №400-ФЗ от 28.12.2013 «О страховых </w:t>
      </w:r>
      <w:proofErr w:type="gramStart"/>
      <w:r w:rsidRPr="00E103B9">
        <w:rPr>
          <w:sz w:val="28"/>
          <w:szCs w:val="20"/>
        </w:rPr>
        <w:t>пенсиях</w:t>
      </w:r>
      <w:proofErr w:type="gramEnd"/>
      <w:r w:rsidRPr="00E103B9">
        <w:rPr>
          <w:sz w:val="28"/>
          <w:szCs w:val="20"/>
        </w:rPr>
        <w:t xml:space="preserve">» ежегодное увеличение стоимости пенсионного коэффициента не может быть менее индекса роста потребительских цен за прошедший год. </w:t>
      </w:r>
      <w:proofErr w:type="gramStart"/>
      <w:r w:rsidRPr="00E103B9">
        <w:rPr>
          <w:sz w:val="28"/>
          <w:szCs w:val="20"/>
        </w:rPr>
        <w:t>Следовательно, для 2023 г</w:t>
      </w:r>
      <w:r w:rsidR="00497EB2" w:rsidRPr="00E103B9">
        <w:rPr>
          <w:sz w:val="28"/>
          <w:szCs w:val="20"/>
        </w:rPr>
        <w:t>.</w:t>
      </w:r>
      <w:r w:rsidRPr="00E103B9">
        <w:rPr>
          <w:sz w:val="28"/>
          <w:szCs w:val="20"/>
        </w:rPr>
        <w:t xml:space="preserve"> фактически необходимо индексировать на величину инфляции за период с прошлой индексации (с 1 июня 2022 г</w:t>
      </w:r>
      <w:r w:rsidR="00497EB2" w:rsidRPr="00E103B9">
        <w:rPr>
          <w:sz w:val="28"/>
          <w:szCs w:val="20"/>
        </w:rPr>
        <w:t>.</w:t>
      </w:r>
      <w:r w:rsidRPr="00E103B9">
        <w:rPr>
          <w:sz w:val="28"/>
          <w:szCs w:val="20"/>
        </w:rPr>
        <w:t>), а потому заложенный в проект бюджета Фонда уровень индексации для 2023 г. кажется валидным, а для 2024 г</w:t>
      </w:r>
      <w:r w:rsidR="00497EB2" w:rsidRPr="00E103B9">
        <w:rPr>
          <w:sz w:val="28"/>
          <w:szCs w:val="20"/>
        </w:rPr>
        <w:t>.</w:t>
      </w:r>
      <w:r w:rsidRPr="00E103B9">
        <w:rPr>
          <w:sz w:val="28"/>
          <w:szCs w:val="20"/>
        </w:rPr>
        <w:t xml:space="preserve"> </w:t>
      </w:r>
      <w:proofErr w:type="spellStart"/>
      <w:r w:rsidRPr="00E103B9">
        <w:rPr>
          <w:sz w:val="28"/>
          <w:szCs w:val="20"/>
        </w:rPr>
        <w:t>недоиндексация</w:t>
      </w:r>
      <w:proofErr w:type="spellEnd"/>
      <w:r w:rsidRPr="00E103B9">
        <w:rPr>
          <w:sz w:val="28"/>
          <w:szCs w:val="20"/>
        </w:rPr>
        <w:t xml:space="preserve"> пенсий прямо противоречит требованиям законодательства и может привести к снижению размеров пенсий как относительно заработных плат, так и прожиточного минимума пенсионера</w:t>
      </w:r>
      <w:proofErr w:type="gramEnd"/>
      <w:r w:rsidRPr="00E103B9">
        <w:rPr>
          <w:sz w:val="28"/>
          <w:szCs w:val="20"/>
        </w:rPr>
        <w:t xml:space="preserve"> (</w:t>
      </w:r>
      <w:proofErr w:type="gramStart"/>
      <w:r w:rsidRPr="00E103B9">
        <w:rPr>
          <w:sz w:val="28"/>
          <w:szCs w:val="20"/>
        </w:rPr>
        <w:t>ПМП).</w:t>
      </w:r>
      <w:proofErr w:type="gramEnd"/>
      <w:r w:rsidRPr="00E103B9">
        <w:rPr>
          <w:sz w:val="28"/>
          <w:szCs w:val="20"/>
        </w:rPr>
        <w:t xml:space="preserve"> Более того, с учетом предстоящих политических событий (выборов Президента РФ весной 2024 г.) существует высокая вероятность дополнительной индексации пенсий уже в самом начале 2024 г</w:t>
      </w:r>
      <w:r w:rsidR="00497EB2" w:rsidRPr="00E103B9">
        <w:rPr>
          <w:sz w:val="28"/>
          <w:szCs w:val="20"/>
        </w:rPr>
        <w:t>.</w:t>
      </w:r>
      <w:r w:rsidRPr="00E103B9">
        <w:rPr>
          <w:sz w:val="28"/>
          <w:szCs w:val="20"/>
        </w:rPr>
        <w:t xml:space="preserve">, что также скажется на объеме расходов фонда. </w:t>
      </w:r>
    </w:p>
    <w:p w14:paraId="6037C9DA" w14:textId="68B2F1B7" w:rsidR="001729B1" w:rsidRPr="00E103B9" w:rsidRDefault="001729B1" w:rsidP="006B103B">
      <w:pPr>
        <w:tabs>
          <w:tab w:val="left" w:pos="1134"/>
        </w:tabs>
        <w:spacing w:after="60"/>
        <w:ind w:firstLine="709"/>
        <w:contextualSpacing/>
        <w:jc w:val="both"/>
        <w:rPr>
          <w:sz w:val="28"/>
          <w:szCs w:val="20"/>
        </w:rPr>
      </w:pPr>
      <w:r w:rsidRPr="00E103B9">
        <w:rPr>
          <w:sz w:val="28"/>
          <w:szCs w:val="20"/>
        </w:rPr>
        <w:t xml:space="preserve">Выплаты федеральной социальной доплаты к пенсии, которую получают неработающие пенсионеры, чей размер страховой пенсии ниже федерального ПМП, увеличены до 123,6 </w:t>
      </w:r>
      <w:proofErr w:type="gramStart"/>
      <w:r w:rsidRPr="00E103B9">
        <w:rPr>
          <w:sz w:val="28"/>
          <w:szCs w:val="20"/>
        </w:rPr>
        <w:t>млрд</w:t>
      </w:r>
      <w:proofErr w:type="gramEnd"/>
      <w:r w:rsidRPr="00E103B9">
        <w:rPr>
          <w:sz w:val="28"/>
          <w:szCs w:val="20"/>
        </w:rPr>
        <w:t xml:space="preserve"> руб. в 2023 г</w:t>
      </w:r>
      <w:r w:rsidR="00497EB2" w:rsidRPr="00E103B9">
        <w:rPr>
          <w:sz w:val="28"/>
          <w:szCs w:val="20"/>
        </w:rPr>
        <w:t>.</w:t>
      </w:r>
      <w:r w:rsidRPr="00E103B9">
        <w:rPr>
          <w:sz w:val="28"/>
          <w:szCs w:val="20"/>
        </w:rPr>
        <w:t xml:space="preserve"> по сравнению с проектом бюджета ПФР на 2022 </w:t>
      </w:r>
      <w:r w:rsidR="00497EB2" w:rsidRPr="00E103B9">
        <w:rPr>
          <w:sz w:val="28"/>
          <w:szCs w:val="20"/>
        </w:rPr>
        <w:t>г.</w:t>
      </w:r>
      <w:r w:rsidRPr="00E103B9">
        <w:rPr>
          <w:sz w:val="28"/>
          <w:szCs w:val="20"/>
        </w:rPr>
        <w:t xml:space="preserve"> (76,6 млрд руб.). </w:t>
      </w:r>
      <w:proofErr w:type="gramStart"/>
      <w:r w:rsidRPr="00E103B9">
        <w:rPr>
          <w:sz w:val="28"/>
          <w:szCs w:val="20"/>
        </w:rPr>
        <w:t>Очевидно, что такой рост объясняется резким увеличением ПМП на 19,4% к концу 2022 г</w:t>
      </w:r>
      <w:r w:rsidR="00497EB2" w:rsidRPr="00E103B9">
        <w:rPr>
          <w:sz w:val="28"/>
          <w:szCs w:val="20"/>
        </w:rPr>
        <w:t>.</w:t>
      </w:r>
      <w:r w:rsidRPr="00E103B9">
        <w:rPr>
          <w:sz w:val="28"/>
          <w:szCs w:val="20"/>
        </w:rPr>
        <w:t xml:space="preserve"> по сравнению с 2021 </w:t>
      </w:r>
      <w:r w:rsidR="00497EB2" w:rsidRPr="00E103B9">
        <w:rPr>
          <w:sz w:val="28"/>
          <w:szCs w:val="20"/>
        </w:rPr>
        <w:t>г</w:t>
      </w:r>
      <w:r w:rsidRPr="00E103B9">
        <w:rPr>
          <w:sz w:val="28"/>
          <w:szCs w:val="20"/>
        </w:rPr>
        <w:t>. И хотя дополнительная индексация в июне 2022 г</w:t>
      </w:r>
      <w:r w:rsidR="00497EB2" w:rsidRPr="00E103B9">
        <w:rPr>
          <w:sz w:val="28"/>
          <w:szCs w:val="20"/>
        </w:rPr>
        <w:t>.</w:t>
      </w:r>
      <w:r w:rsidRPr="00E103B9">
        <w:rPr>
          <w:sz w:val="28"/>
          <w:szCs w:val="20"/>
        </w:rPr>
        <w:t xml:space="preserve"> способствовала лишь частичному снижению влияния от инфляции на объем доплат к пенсиям, решение о повышении данных выплат более чем на 60% по сравнению с прогнозом на 2022 </w:t>
      </w:r>
      <w:r w:rsidR="00497EB2" w:rsidRPr="00E103B9">
        <w:rPr>
          <w:sz w:val="28"/>
          <w:szCs w:val="20"/>
        </w:rPr>
        <w:t>г.</w:t>
      </w:r>
      <w:r w:rsidRPr="00E103B9">
        <w:rPr>
          <w:sz w:val="28"/>
          <w:szCs w:val="20"/>
        </w:rPr>
        <w:t xml:space="preserve"> вызывает обоснованные вопросы.</w:t>
      </w:r>
      <w:proofErr w:type="gramEnd"/>
      <w:r w:rsidRPr="00E103B9">
        <w:rPr>
          <w:sz w:val="28"/>
          <w:szCs w:val="20"/>
        </w:rPr>
        <w:t xml:space="preserve"> На плановый период 2024-2025 г</w:t>
      </w:r>
      <w:r w:rsidR="00497EB2" w:rsidRPr="00E103B9">
        <w:rPr>
          <w:sz w:val="28"/>
          <w:szCs w:val="20"/>
        </w:rPr>
        <w:t>г.</w:t>
      </w:r>
      <w:r w:rsidRPr="00E103B9">
        <w:rPr>
          <w:sz w:val="28"/>
          <w:szCs w:val="20"/>
        </w:rPr>
        <w:t xml:space="preserve"> эти выплаты растут темпами, близкими к темпам роста расходов на выплаты страховых пенсий, что представляется оправданным.</w:t>
      </w:r>
    </w:p>
    <w:p w14:paraId="5747A89B" w14:textId="0A5BEEE2" w:rsidR="001729B1" w:rsidRPr="00E103B9" w:rsidRDefault="001729B1" w:rsidP="006B103B">
      <w:pPr>
        <w:tabs>
          <w:tab w:val="left" w:pos="1134"/>
        </w:tabs>
        <w:spacing w:after="60"/>
        <w:ind w:firstLine="709"/>
        <w:contextualSpacing/>
        <w:jc w:val="both"/>
        <w:rPr>
          <w:sz w:val="28"/>
          <w:szCs w:val="20"/>
        </w:rPr>
      </w:pPr>
      <w:r w:rsidRPr="00E103B9">
        <w:rPr>
          <w:sz w:val="28"/>
          <w:szCs w:val="20"/>
        </w:rPr>
        <w:t xml:space="preserve">Очевидным образом в проекте бюджета Фонда на 2023-2025 гг. отсутствует влияние частичной мобилизации на </w:t>
      </w:r>
      <w:proofErr w:type="gramStart"/>
      <w:r w:rsidRPr="00E103B9">
        <w:rPr>
          <w:sz w:val="28"/>
          <w:szCs w:val="20"/>
        </w:rPr>
        <w:t>доходную</w:t>
      </w:r>
      <w:proofErr w:type="gramEnd"/>
      <w:r w:rsidRPr="00E103B9">
        <w:rPr>
          <w:sz w:val="28"/>
          <w:szCs w:val="20"/>
        </w:rPr>
        <w:t xml:space="preserve"> и расходные части бюджета. На наш взгляд, влияние данного фактора следует учитывать по ряду причин. </w:t>
      </w:r>
      <w:proofErr w:type="gramStart"/>
      <w:r w:rsidRPr="00E103B9">
        <w:rPr>
          <w:sz w:val="28"/>
          <w:szCs w:val="20"/>
        </w:rPr>
        <w:t>С одной стороны, мобилизация может привести к некоторому снижению доходов ПФР уже в 2022 г</w:t>
      </w:r>
      <w:r w:rsidR="00497EB2" w:rsidRPr="00E103B9">
        <w:rPr>
          <w:sz w:val="28"/>
          <w:szCs w:val="20"/>
        </w:rPr>
        <w:t>.</w:t>
      </w:r>
      <w:r w:rsidRPr="00E103B9">
        <w:rPr>
          <w:sz w:val="28"/>
          <w:szCs w:val="20"/>
        </w:rPr>
        <w:t xml:space="preserve">, что в свою очередь не </w:t>
      </w:r>
      <w:r w:rsidRPr="00E103B9">
        <w:rPr>
          <w:sz w:val="28"/>
          <w:szCs w:val="20"/>
        </w:rPr>
        <w:lastRenderedPageBreak/>
        <w:t>только уменьшит остатки средств бюджета ПФР на конец текущего года, но и сократит доходы Фонда в 2023 г</w:t>
      </w:r>
      <w:r w:rsidR="00497EB2" w:rsidRPr="00E103B9">
        <w:rPr>
          <w:sz w:val="28"/>
          <w:szCs w:val="20"/>
        </w:rPr>
        <w:t>.</w:t>
      </w:r>
      <w:r w:rsidRPr="00E103B9">
        <w:rPr>
          <w:sz w:val="28"/>
          <w:szCs w:val="20"/>
        </w:rPr>
        <w:t xml:space="preserve">, увеличит межбюджетный трансферт на возмещение расходов по выплате страховых пенсий в связи с зачетом в страховой стаж </w:t>
      </w:r>
      <w:proofErr w:type="spellStart"/>
      <w:r w:rsidRPr="00E103B9">
        <w:rPr>
          <w:sz w:val="28"/>
          <w:szCs w:val="20"/>
        </w:rPr>
        <w:t>нестраховых</w:t>
      </w:r>
      <w:proofErr w:type="spellEnd"/>
      <w:r w:rsidRPr="00E103B9">
        <w:rPr>
          <w:sz w:val="28"/>
          <w:szCs w:val="20"/>
        </w:rPr>
        <w:t xml:space="preserve"> периодов, а также увеличит</w:t>
      </w:r>
      <w:proofErr w:type="gramEnd"/>
      <w:r w:rsidRPr="00E103B9">
        <w:rPr>
          <w:sz w:val="28"/>
          <w:szCs w:val="20"/>
        </w:rPr>
        <w:t xml:space="preserve"> расходы на выплату пенсий по инвалидности. </w:t>
      </w:r>
      <w:proofErr w:type="gramStart"/>
      <w:r w:rsidRPr="00E103B9">
        <w:rPr>
          <w:sz w:val="28"/>
          <w:szCs w:val="20"/>
        </w:rPr>
        <w:t>С другой, последствия военной операции способны негативно сказаться на показателях рождаемости в ближайшие годы, в результате чего следует ожидать сокращения объема выплат семейного (материнского) капитала и на рождение первого ребенка.</w:t>
      </w:r>
      <w:proofErr w:type="gramEnd"/>
    </w:p>
    <w:p w14:paraId="731C182C" w14:textId="77777777" w:rsidR="001729B1" w:rsidRPr="00E103B9" w:rsidRDefault="001729B1" w:rsidP="006B103B">
      <w:pPr>
        <w:tabs>
          <w:tab w:val="left" w:pos="1134"/>
        </w:tabs>
        <w:spacing w:after="60"/>
        <w:ind w:firstLine="709"/>
        <w:contextualSpacing/>
        <w:jc w:val="both"/>
        <w:rPr>
          <w:sz w:val="28"/>
        </w:rPr>
      </w:pPr>
      <w:proofErr w:type="gramStart"/>
      <w:r w:rsidRPr="00E103B9">
        <w:rPr>
          <w:sz w:val="28"/>
          <w:szCs w:val="20"/>
        </w:rPr>
        <w:t>В целях повышения прозрачности пенсионной системы, а также сглаживания влияния конъюнктурных колебаний в экономике на размер пенсий и финансовую устойчивость пенсионной системы представляется целесообразным утверждение методик расчета бюджетных трансфертов и определения стоимости одного пенсионного коэффициента, что в свою очередь обеспечит понятность определения основных параметров пенсионной системы для всех заинтересованных сторон (государственных структур, экспертного сообщества, пенсионеров и др.).</w:t>
      </w:r>
      <w:proofErr w:type="gramEnd"/>
      <w:r w:rsidRPr="00E103B9">
        <w:rPr>
          <w:sz w:val="28"/>
          <w:szCs w:val="20"/>
        </w:rPr>
        <w:t xml:space="preserve"> Данные методики должны исходить из предпосылки о страховом характере системы ОПС, при котором доходы от страховых взносов при балансирующей ставке полностью покрывают расходы на выплаты страховых пенсий. Кроме того, такие выплаты не должны учитывать отдельные дополнительные </w:t>
      </w:r>
      <w:r w:rsidRPr="00E103B9">
        <w:rPr>
          <w:sz w:val="28"/>
        </w:rPr>
        <w:t xml:space="preserve">выплаты (различные досрочные виды пенсий, федеральные доплаты к страховым пенсиям, повышенные размеры фиксированной выплаты к страховой пенсии для лиц, достигших 80 лет, и др.). Соответственно все трансферты обязаны иметь четкую цель, связанную либо с установлением ставки страховых взносов ниже балансирующей, либо на дополнительные выплаты, либо на возмещение </w:t>
      </w:r>
      <w:proofErr w:type="spellStart"/>
      <w:r w:rsidRPr="00E103B9">
        <w:rPr>
          <w:sz w:val="28"/>
        </w:rPr>
        <w:t>нестраховых</w:t>
      </w:r>
      <w:proofErr w:type="spellEnd"/>
      <w:r w:rsidRPr="00E103B9">
        <w:rPr>
          <w:sz w:val="28"/>
        </w:rPr>
        <w:t xml:space="preserve"> периодов, либо на валоризацию.</w:t>
      </w:r>
    </w:p>
    <w:p w14:paraId="17D85655" w14:textId="03E7FDD7" w:rsidR="001729B1" w:rsidRPr="00E103B9" w:rsidRDefault="001729B1" w:rsidP="001729B1">
      <w:pPr>
        <w:tabs>
          <w:tab w:val="left" w:pos="1134"/>
        </w:tabs>
        <w:spacing w:after="120"/>
        <w:ind w:firstLine="709"/>
        <w:contextualSpacing/>
        <w:jc w:val="both"/>
        <w:rPr>
          <w:sz w:val="28"/>
        </w:rPr>
      </w:pPr>
      <w:r w:rsidRPr="00E103B9">
        <w:rPr>
          <w:sz w:val="28"/>
        </w:rPr>
        <w:t xml:space="preserve">Вместе с тем в текущих условиях возросшей экономической неопределенности и инфляционной волатильности считаем оправданным формирование резервного фонда пенсионной системы, предназначенного для сглаживания последствий влияния макроэкономики на доходы </w:t>
      </w:r>
      <w:r w:rsidR="00497EB2" w:rsidRPr="00E103B9">
        <w:rPr>
          <w:sz w:val="28"/>
        </w:rPr>
        <w:t xml:space="preserve">Фонда </w:t>
      </w:r>
      <w:r w:rsidRPr="00E103B9">
        <w:rPr>
          <w:sz w:val="28"/>
        </w:rPr>
        <w:t>и, следовательно, на размер пенсий и потребностей в бюджетных трансфертах.</w:t>
      </w:r>
    </w:p>
    <w:p w14:paraId="6174C894" w14:textId="77777777" w:rsidR="001729B1" w:rsidRPr="00E103B9" w:rsidRDefault="001729B1" w:rsidP="001729B1">
      <w:pPr>
        <w:tabs>
          <w:tab w:val="left" w:pos="1134"/>
        </w:tabs>
        <w:spacing w:after="120"/>
        <w:ind w:firstLine="709"/>
        <w:contextualSpacing/>
        <w:jc w:val="both"/>
        <w:rPr>
          <w:sz w:val="28"/>
        </w:rPr>
      </w:pPr>
      <w:r w:rsidRPr="00E103B9">
        <w:rPr>
          <w:sz w:val="28"/>
        </w:rPr>
        <w:t xml:space="preserve">Наконец, нуждается в пересмотре перечень категорий плательщиков, к которым применяются пониженные тарифы страховых взносов (работающие в сфере информационных технологий, субъекты МСП, резиденты территорий опережающего развития и т.п.). Активное расширение данного перечня снижает устойчивость пенсионной системы, ухудшает возможности прогнозирования денежных потоков в пенсионный бюджет, превращает систему ОПС в инструмент экономической политики, которым она формально не является. В этой связи представляется необходимым как минимум оценить эффективность льготного налогообложения с последующим уточнением перечня таких категорий и </w:t>
      </w:r>
      <w:r w:rsidRPr="00E103B9">
        <w:rPr>
          <w:sz w:val="28"/>
        </w:rPr>
        <w:lastRenderedPageBreak/>
        <w:t>ограничить возможности для добавления новых категорий плательщиков, которые получают право на применение пониженных тарифов страховых взносов.</w:t>
      </w:r>
    </w:p>
    <w:p w14:paraId="583FBD77" w14:textId="6AA48C6D" w:rsidR="001729B1" w:rsidRPr="00E103B9" w:rsidRDefault="001729B1" w:rsidP="001729B1">
      <w:pPr>
        <w:ind w:firstLine="709"/>
        <w:jc w:val="both"/>
        <w:rPr>
          <w:sz w:val="28"/>
          <w:szCs w:val="28"/>
        </w:rPr>
      </w:pPr>
      <w:r w:rsidRPr="00E103B9">
        <w:rPr>
          <w:sz w:val="28"/>
          <w:szCs w:val="28"/>
        </w:rPr>
        <w:t>В целях создания целостной системы мер социальной поддержки семей с детьми с 1 января 2023 г. Фонд начинает осуществлять выплату универсального пособия гражданам, имеющим детей, и беременным женщинам, в связи с чем</w:t>
      </w:r>
      <w:r w:rsidRPr="00E103B9">
        <w:rPr>
          <w:sz w:val="28"/>
        </w:rPr>
        <w:t xml:space="preserve"> в</w:t>
      </w:r>
      <w:r w:rsidRPr="00E103B9">
        <w:rPr>
          <w:sz w:val="28"/>
          <w:szCs w:val="28"/>
        </w:rPr>
        <w:t xml:space="preserve"> бюджете Фонда предусмотрены расходы на выплату универсального пособия в 2023 г. в сумме 632,9 </w:t>
      </w:r>
      <w:proofErr w:type="gramStart"/>
      <w:r w:rsidRPr="00E103B9">
        <w:rPr>
          <w:sz w:val="28"/>
          <w:szCs w:val="28"/>
        </w:rPr>
        <w:t>млрд</w:t>
      </w:r>
      <w:proofErr w:type="gramEnd"/>
      <w:r w:rsidRPr="00E103B9">
        <w:rPr>
          <w:sz w:val="28"/>
          <w:szCs w:val="28"/>
        </w:rPr>
        <w:t xml:space="preserve"> руб</w:t>
      </w:r>
      <w:r w:rsidR="00497EB2" w:rsidRPr="00E103B9">
        <w:rPr>
          <w:sz w:val="28"/>
          <w:szCs w:val="28"/>
        </w:rPr>
        <w:t>.</w:t>
      </w:r>
      <w:r w:rsidRPr="00E103B9">
        <w:rPr>
          <w:sz w:val="28"/>
          <w:szCs w:val="28"/>
        </w:rPr>
        <w:t>, в 2024 г. - 1 439,3 млрд руб</w:t>
      </w:r>
      <w:r w:rsidR="00497EB2" w:rsidRPr="00E103B9">
        <w:rPr>
          <w:sz w:val="28"/>
          <w:szCs w:val="28"/>
        </w:rPr>
        <w:t>.</w:t>
      </w:r>
      <w:r w:rsidRPr="00E103B9">
        <w:rPr>
          <w:sz w:val="28"/>
          <w:szCs w:val="28"/>
        </w:rPr>
        <w:t xml:space="preserve">, в 2025 г. - 1 562,5 </w:t>
      </w:r>
      <w:proofErr w:type="gramStart"/>
      <w:r w:rsidRPr="00E103B9">
        <w:rPr>
          <w:sz w:val="28"/>
          <w:szCs w:val="28"/>
        </w:rPr>
        <w:t>млрд</w:t>
      </w:r>
      <w:proofErr w:type="gramEnd"/>
      <w:r w:rsidRPr="00E103B9">
        <w:rPr>
          <w:sz w:val="28"/>
          <w:szCs w:val="28"/>
        </w:rPr>
        <w:t xml:space="preserve"> руб. Финансовое обеспечение указанной выплаты осуществляется за счет межбюджетных трансфертов, передаваемых из федерального бюджета и бюджетов субъектов </w:t>
      </w:r>
      <w:r w:rsidR="00497EB2" w:rsidRPr="00E103B9">
        <w:rPr>
          <w:sz w:val="28"/>
          <w:szCs w:val="28"/>
        </w:rPr>
        <w:t>РФ</w:t>
      </w:r>
      <w:r w:rsidRPr="00E103B9">
        <w:rPr>
          <w:sz w:val="28"/>
          <w:szCs w:val="28"/>
        </w:rPr>
        <w:t>.</w:t>
      </w:r>
    </w:p>
    <w:p w14:paraId="2054670F" w14:textId="2109F9C5" w:rsidR="001729B1" w:rsidRPr="00E103B9" w:rsidRDefault="001729B1" w:rsidP="001729B1">
      <w:pPr>
        <w:spacing w:after="120"/>
        <w:ind w:firstLine="709"/>
        <w:jc w:val="both"/>
        <w:rPr>
          <w:sz w:val="28"/>
          <w:szCs w:val="28"/>
        </w:rPr>
      </w:pPr>
      <w:r w:rsidRPr="00E103B9">
        <w:rPr>
          <w:sz w:val="28"/>
          <w:szCs w:val="28"/>
        </w:rPr>
        <w:t xml:space="preserve"> Также начиная с 1 января 2023 г. Фонду передаются полномочия по осуществлению ежемесячной выплаты в связи с рождением (усыновлением) первого ребенка (в отношении ранее назначенных выплат на детей, рожденных не позднее 31 декабря 2022 г., до окончания периода назначения), выплата которых ранее осуществлялась субъектами </w:t>
      </w:r>
      <w:r w:rsidR="00497EB2" w:rsidRPr="00E103B9">
        <w:rPr>
          <w:sz w:val="28"/>
          <w:szCs w:val="28"/>
        </w:rPr>
        <w:t>РФ</w:t>
      </w:r>
      <w:r w:rsidRPr="00E103B9">
        <w:rPr>
          <w:sz w:val="28"/>
          <w:szCs w:val="28"/>
        </w:rPr>
        <w:t>.</w:t>
      </w:r>
      <w:r w:rsidRPr="00E103B9">
        <w:rPr>
          <w:sz w:val="28"/>
        </w:rPr>
        <w:t xml:space="preserve"> В целях финансового обеспечения этой выплаты предусмотрены межбюджетные трансферты из федерального бюджета в объеме 147,2 </w:t>
      </w:r>
      <w:proofErr w:type="gramStart"/>
      <w:r w:rsidRPr="00E103B9">
        <w:rPr>
          <w:sz w:val="28"/>
        </w:rPr>
        <w:t>млрд</w:t>
      </w:r>
      <w:proofErr w:type="gramEnd"/>
      <w:r w:rsidRPr="00E103B9">
        <w:rPr>
          <w:sz w:val="28"/>
        </w:rPr>
        <w:t xml:space="preserve"> руб</w:t>
      </w:r>
      <w:r w:rsidR="00497EB2" w:rsidRPr="00E103B9">
        <w:rPr>
          <w:sz w:val="28"/>
        </w:rPr>
        <w:t>.</w:t>
      </w:r>
      <w:r w:rsidRPr="00E103B9">
        <w:rPr>
          <w:sz w:val="28"/>
        </w:rPr>
        <w:t xml:space="preserve"> </w:t>
      </w:r>
      <w:r w:rsidRPr="00E103B9">
        <w:rPr>
          <w:sz w:val="28"/>
          <w:szCs w:val="28"/>
        </w:rPr>
        <w:t>в 2023 г., 92,5 млрд руб</w:t>
      </w:r>
      <w:r w:rsidR="00497EB2" w:rsidRPr="00E103B9">
        <w:rPr>
          <w:sz w:val="28"/>
          <w:szCs w:val="28"/>
        </w:rPr>
        <w:t xml:space="preserve">. </w:t>
      </w:r>
      <w:r w:rsidRPr="00E103B9">
        <w:rPr>
          <w:sz w:val="28"/>
          <w:szCs w:val="28"/>
        </w:rPr>
        <w:t>в 2024 г., 32,6 млрд руб</w:t>
      </w:r>
      <w:r w:rsidR="00497EB2" w:rsidRPr="00E103B9">
        <w:rPr>
          <w:sz w:val="28"/>
          <w:szCs w:val="28"/>
        </w:rPr>
        <w:t>.</w:t>
      </w:r>
      <w:r w:rsidRPr="00E103B9">
        <w:rPr>
          <w:sz w:val="28"/>
          <w:szCs w:val="28"/>
        </w:rPr>
        <w:t xml:space="preserve"> в 2025 г.</w:t>
      </w:r>
    </w:p>
    <w:p w14:paraId="4E151E47" w14:textId="41BF5641" w:rsidR="001E041B" w:rsidRPr="00E103B9" w:rsidRDefault="001729B1" w:rsidP="001729B1">
      <w:pPr>
        <w:spacing w:after="120"/>
        <w:ind w:firstLine="709"/>
        <w:jc w:val="both"/>
        <w:rPr>
          <w:sz w:val="28"/>
          <w:szCs w:val="28"/>
        </w:rPr>
      </w:pPr>
      <w:r w:rsidRPr="00E103B9">
        <w:rPr>
          <w:sz w:val="28"/>
          <w:szCs w:val="28"/>
        </w:rPr>
        <w:t xml:space="preserve">Кроме того, в 2023-2025 гг. запланированы мероприятия по обеспечению предоставления гражданам адресной поддержки </w:t>
      </w:r>
      <w:proofErr w:type="spellStart"/>
      <w:r w:rsidRPr="00E103B9">
        <w:rPr>
          <w:sz w:val="28"/>
          <w:szCs w:val="28"/>
        </w:rPr>
        <w:t>проактивно</w:t>
      </w:r>
      <w:proofErr w:type="spellEnd"/>
      <w:r w:rsidRPr="00E103B9">
        <w:rPr>
          <w:sz w:val="28"/>
          <w:szCs w:val="28"/>
        </w:rPr>
        <w:t xml:space="preserve"> или на основании заявлений без истребования документов посредством внедрения единой централизованной цифровой платформы в социальной сфере в рамках реализации концепции «Социальное казначейство».</w:t>
      </w:r>
    </w:p>
    <w:p w14:paraId="7E70D00F" w14:textId="50B8FF22" w:rsidR="00963B7F" w:rsidRPr="00E103B9" w:rsidRDefault="006B103B" w:rsidP="00963B7F">
      <w:pPr>
        <w:keepNext/>
        <w:spacing w:before="240" w:after="120"/>
        <w:jc w:val="center"/>
        <w:outlineLvl w:val="1"/>
        <w:rPr>
          <w:b/>
          <w:sz w:val="28"/>
        </w:rPr>
      </w:pPr>
      <w:bookmarkStart w:id="40" w:name="_Toc116593945"/>
      <w:bookmarkStart w:id="41" w:name="_Toc465959034"/>
      <w:r w:rsidRPr="00E103B9">
        <w:rPr>
          <w:b/>
          <w:sz w:val="28"/>
        </w:rPr>
        <w:t>4</w:t>
      </w:r>
      <w:r w:rsidR="00963B7F" w:rsidRPr="00E103B9">
        <w:rPr>
          <w:b/>
          <w:sz w:val="28"/>
        </w:rPr>
        <w:t>.</w:t>
      </w:r>
      <w:r w:rsidR="0052311A" w:rsidRPr="00E103B9">
        <w:rPr>
          <w:b/>
          <w:sz w:val="28"/>
        </w:rPr>
        <w:t>3</w:t>
      </w:r>
      <w:r w:rsidR="00963B7F" w:rsidRPr="00E103B9">
        <w:rPr>
          <w:b/>
          <w:sz w:val="28"/>
        </w:rPr>
        <w:t xml:space="preserve"> Расходы на обслуживание государственного долга</w:t>
      </w:r>
      <w:bookmarkEnd w:id="40"/>
    </w:p>
    <w:p w14:paraId="3C4D277A" w14:textId="51E92563" w:rsidR="00AA0954" w:rsidRPr="00E103B9" w:rsidRDefault="00ED366C" w:rsidP="00AA0954">
      <w:pPr>
        <w:autoSpaceDE w:val="0"/>
        <w:autoSpaceDN w:val="0"/>
        <w:adjustRightInd w:val="0"/>
        <w:spacing w:after="120"/>
        <w:ind w:firstLine="709"/>
        <w:jc w:val="both"/>
        <w:rPr>
          <w:sz w:val="28"/>
          <w:lang w:eastAsia="en-US"/>
        </w:rPr>
      </w:pPr>
      <w:r w:rsidRPr="00E103B9">
        <w:rPr>
          <w:sz w:val="28"/>
          <w:lang w:eastAsia="en-US"/>
        </w:rPr>
        <w:t>Бюджетные</w:t>
      </w:r>
      <w:r w:rsidRPr="00E103B9">
        <w:rPr>
          <w:spacing w:val="-1"/>
          <w:sz w:val="28"/>
          <w:lang w:eastAsia="en-US"/>
        </w:rPr>
        <w:t xml:space="preserve"> ассигнования</w:t>
      </w:r>
      <w:r w:rsidRPr="00E103B9">
        <w:rPr>
          <w:sz w:val="28"/>
          <w:lang w:eastAsia="en-US"/>
        </w:rPr>
        <w:t xml:space="preserve"> </w:t>
      </w:r>
      <w:r w:rsidRPr="00E103B9">
        <w:rPr>
          <w:spacing w:val="-1"/>
          <w:sz w:val="28"/>
          <w:lang w:eastAsia="en-US"/>
        </w:rPr>
        <w:t>по о</w:t>
      </w:r>
      <w:r w:rsidRPr="00E103B9">
        <w:rPr>
          <w:bCs/>
          <w:spacing w:val="-1"/>
          <w:sz w:val="28"/>
          <w:lang w:eastAsia="en-US"/>
        </w:rPr>
        <w:t>бслуживани</w:t>
      </w:r>
      <w:r w:rsidR="008B3D8A" w:rsidRPr="00E103B9">
        <w:rPr>
          <w:bCs/>
          <w:spacing w:val="-1"/>
          <w:sz w:val="28"/>
          <w:lang w:eastAsia="en-US"/>
        </w:rPr>
        <w:t>ю</w:t>
      </w:r>
      <w:r w:rsidRPr="00E103B9">
        <w:rPr>
          <w:bCs/>
          <w:spacing w:val="-1"/>
          <w:sz w:val="28"/>
          <w:lang w:eastAsia="en-US"/>
        </w:rPr>
        <w:t xml:space="preserve"> государственного долга в 2022-2025 гг. продолжают устойчивую траекторию роста, хотя и темпами ниже, чем предусмотрено Законом № 390-ФЗ. В номинальном </w:t>
      </w:r>
      <w:proofErr w:type="gramStart"/>
      <w:r w:rsidRPr="00E103B9">
        <w:rPr>
          <w:bCs/>
          <w:spacing w:val="-1"/>
          <w:sz w:val="28"/>
          <w:lang w:eastAsia="en-US"/>
        </w:rPr>
        <w:t>выражении</w:t>
      </w:r>
      <w:proofErr w:type="gramEnd"/>
      <w:r w:rsidRPr="00E103B9">
        <w:rPr>
          <w:bCs/>
          <w:spacing w:val="-1"/>
          <w:sz w:val="28"/>
          <w:lang w:eastAsia="en-US"/>
        </w:rPr>
        <w:t xml:space="preserve"> за рассматриваемый период данные расходы увеличиваются почти на треть, однако гораздо важнее рассматривать их динамику в относительном измерении – в долях ВВП и в процентах от общих расходов федерального бюджета. Так, по</w:t>
      </w:r>
      <w:r w:rsidRPr="00E103B9">
        <w:rPr>
          <w:sz w:val="28"/>
          <w:lang w:eastAsia="en-US"/>
        </w:rPr>
        <w:t xml:space="preserve"> отношению к объему ВВП соответствующего года доля расходов на обслуживание госдолга вырастет на 0,1 </w:t>
      </w:r>
      <w:proofErr w:type="spellStart"/>
      <w:r w:rsidRPr="00E103B9">
        <w:rPr>
          <w:sz w:val="28"/>
          <w:lang w:eastAsia="en-US"/>
        </w:rPr>
        <w:t>п.п</w:t>
      </w:r>
      <w:proofErr w:type="spellEnd"/>
      <w:r w:rsidRPr="00E103B9">
        <w:rPr>
          <w:sz w:val="28"/>
          <w:lang w:eastAsia="en-US"/>
        </w:rPr>
        <w:t>. до 1,1% ВВП в 2025 г. (</w:t>
      </w:r>
      <w:r w:rsidRPr="00E103B9">
        <w:rPr>
          <w:i/>
          <w:iCs/>
          <w:sz w:val="28"/>
          <w:lang w:eastAsia="en-US"/>
        </w:rPr>
        <w:t xml:space="preserve">таблица </w:t>
      </w:r>
      <w:r w:rsidR="007931B0" w:rsidRPr="00E103B9">
        <w:rPr>
          <w:i/>
          <w:iCs/>
          <w:sz w:val="28"/>
          <w:lang w:eastAsia="en-US"/>
        </w:rPr>
        <w:t>31</w:t>
      </w:r>
      <w:r w:rsidRPr="00E103B9">
        <w:rPr>
          <w:sz w:val="28"/>
          <w:lang w:eastAsia="en-US"/>
        </w:rPr>
        <w:t>).</w:t>
      </w:r>
    </w:p>
    <w:p w14:paraId="70012341" w14:textId="77777777" w:rsidR="00E103B9" w:rsidRDefault="00E103B9" w:rsidP="008B3D8A">
      <w:pPr>
        <w:spacing w:after="120"/>
        <w:jc w:val="right"/>
        <w:rPr>
          <w:i/>
          <w:iCs/>
          <w:lang w:eastAsia="en-US"/>
        </w:rPr>
      </w:pPr>
    </w:p>
    <w:p w14:paraId="12A76522" w14:textId="0780014B" w:rsidR="00ED366C" w:rsidRPr="009D5B83" w:rsidRDefault="00ED366C" w:rsidP="008B3D8A">
      <w:pPr>
        <w:spacing w:after="120"/>
        <w:jc w:val="right"/>
        <w:rPr>
          <w:i/>
          <w:iCs/>
          <w:lang w:eastAsia="en-US"/>
        </w:rPr>
      </w:pPr>
      <w:bookmarkStart w:id="42" w:name="_GoBack"/>
      <w:bookmarkEnd w:id="42"/>
      <w:r w:rsidRPr="009D5B83">
        <w:rPr>
          <w:i/>
          <w:iCs/>
          <w:lang w:eastAsia="en-US"/>
        </w:rPr>
        <w:t xml:space="preserve">Таблица </w:t>
      </w:r>
      <w:r w:rsidR="007931B0" w:rsidRPr="009D5B83">
        <w:rPr>
          <w:i/>
          <w:iCs/>
          <w:lang w:eastAsia="en-US"/>
        </w:rPr>
        <w:t>31</w:t>
      </w:r>
    </w:p>
    <w:p w14:paraId="4AF4D068" w14:textId="784C1E7A" w:rsidR="00ED366C" w:rsidRPr="009D5B83" w:rsidRDefault="00ED366C" w:rsidP="008B3D8A">
      <w:pPr>
        <w:spacing w:after="120"/>
        <w:jc w:val="center"/>
        <w:rPr>
          <w:b/>
          <w:bCs/>
          <w:szCs w:val="28"/>
        </w:rPr>
      </w:pPr>
      <w:r w:rsidRPr="009D5B83">
        <w:rPr>
          <w:b/>
          <w:bCs/>
          <w:lang w:eastAsia="en-US"/>
        </w:rPr>
        <w:t xml:space="preserve">Расходы на обслуживание государственного долга в 2022-2025 гг., </w:t>
      </w:r>
      <w:proofErr w:type="gramStart"/>
      <w:r w:rsidRPr="009D5B83">
        <w:rPr>
          <w:b/>
          <w:bCs/>
          <w:szCs w:val="28"/>
        </w:rPr>
        <w:t>млрд</w:t>
      </w:r>
      <w:proofErr w:type="gramEnd"/>
      <w:r w:rsidRPr="009D5B83">
        <w:rPr>
          <w:b/>
          <w:bCs/>
          <w:szCs w:val="28"/>
        </w:rPr>
        <w:t xml:space="preserve"> руб</w:t>
      </w:r>
      <w:r w:rsidR="002606E9">
        <w:rPr>
          <w:b/>
          <w:bCs/>
          <w:szCs w:val="28"/>
        </w:rPr>
        <w:t>.</w:t>
      </w:r>
    </w:p>
    <w:tbl>
      <w:tblPr>
        <w:tblW w:w="52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922"/>
        <w:gridCol w:w="933"/>
        <w:gridCol w:w="978"/>
        <w:gridCol w:w="769"/>
        <w:gridCol w:w="933"/>
        <w:gridCol w:w="965"/>
        <w:gridCol w:w="740"/>
        <w:gridCol w:w="978"/>
        <w:gridCol w:w="1022"/>
        <w:gridCol w:w="1158"/>
      </w:tblGrid>
      <w:tr w:rsidR="00ED366C" w:rsidRPr="009D5B83" w14:paraId="22EA4608" w14:textId="77777777" w:rsidTr="006C084D">
        <w:trPr>
          <w:trHeight w:val="190"/>
          <w:tblHeader/>
        </w:trPr>
        <w:tc>
          <w:tcPr>
            <w:tcW w:w="697" w:type="pct"/>
            <w:vMerge w:val="restart"/>
            <w:shd w:val="clear" w:color="auto" w:fill="auto"/>
            <w:vAlign w:val="center"/>
          </w:tcPr>
          <w:p w14:paraId="2CEC005F" w14:textId="77777777" w:rsidR="00ED366C" w:rsidRPr="00DA2EDF" w:rsidRDefault="00ED366C" w:rsidP="00ED366C">
            <w:pPr>
              <w:jc w:val="center"/>
              <w:rPr>
                <w:b/>
                <w:bCs/>
                <w:sz w:val="20"/>
                <w:szCs w:val="20"/>
                <w:lang w:val="en-US" w:eastAsia="en-US"/>
              </w:rPr>
            </w:pPr>
            <w:proofErr w:type="spellStart"/>
            <w:r w:rsidRPr="00DA2EDF">
              <w:rPr>
                <w:b/>
                <w:bCs/>
                <w:sz w:val="20"/>
                <w:szCs w:val="20"/>
                <w:lang w:val="en-US" w:eastAsia="en-US"/>
              </w:rPr>
              <w:t>Наименования</w:t>
            </w:r>
            <w:proofErr w:type="spellEnd"/>
            <w:r w:rsidRPr="00DA2EDF">
              <w:rPr>
                <w:b/>
                <w:bCs/>
                <w:sz w:val="20"/>
                <w:szCs w:val="20"/>
                <w:lang w:val="en-US" w:eastAsia="en-US"/>
              </w:rPr>
              <w:t xml:space="preserve"> </w:t>
            </w:r>
            <w:proofErr w:type="spellStart"/>
            <w:r w:rsidRPr="00DA2EDF">
              <w:rPr>
                <w:b/>
                <w:bCs/>
                <w:sz w:val="20"/>
                <w:szCs w:val="20"/>
                <w:lang w:val="en-US" w:eastAsia="en-US"/>
              </w:rPr>
              <w:t>разделов</w:t>
            </w:r>
            <w:proofErr w:type="spellEnd"/>
          </w:p>
        </w:tc>
        <w:tc>
          <w:tcPr>
            <w:tcW w:w="422" w:type="pct"/>
            <w:vMerge w:val="restart"/>
            <w:shd w:val="clear" w:color="auto" w:fill="auto"/>
            <w:tcMar>
              <w:left w:w="57" w:type="dxa"/>
              <w:right w:w="57" w:type="dxa"/>
            </w:tcMar>
            <w:vAlign w:val="center"/>
          </w:tcPr>
          <w:p w14:paraId="74D70723" w14:textId="1B3A3485" w:rsidR="00ED366C" w:rsidRPr="00DA2EDF" w:rsidRDefault="00ED366C" w:rsidP="00ED366C">
            <w:pPr>
              <w:ind w:hanging="55"/>
              <w:jc w:val="center"/>
              <w:rPr>
                <w:b/>
                <w:bCs/>
                <w:color w:val="000000"/>
                <w:spacing w:val="-8"/>
                <w:sz w:val="20"/>
                <w:szCs w:val="20"/>
                <w:lang w:val="en-US" w:eastAsia="en-US"/>
              </w:rPr>
            </w:pPr>
            <w:r w:rsidRPr="00DA2EDF">
              <w:rPr>
                <w:b/>
                <w:bCs/>
                <w:spacing w:val="-8"/>
                <w:sz w:val="20"/>
                <w:szCs w:val="20"/>
                <w:lang w:val="en-US" w:eastAsia="en-US"/>
              </w:rPr>
              <w:t>2022 г</w:t>
            </w:r>
            <w:r w:rsidRPr="00DA2EDF">
              <w:rPr>
                <w:b/>
                <w:bCs/>
                <w:spacing w:val="-8"/>
                <w:sz w:val="20"/>
                <w:szCs w:val="20"/>
                <w:lang w:eastAsia="en-US"/>
              </w:rPr>
              <w:t>.</w:t>
            </w:r>
            <w:r w:rsidRPr="00DA2EDF">
              <w:rPr>
                <w:b/>
                <w:bCs/>
                <w:spacing w:val="-8"/>
                <w:sz w:val="20"/>
                <w:szCs w:val="20"/>
                <w:lang w:val="en-US" w:eastAsia="en-US"/>
              </w:rPr>
              <w:br/>
              <w:t>(</w:t>
            </w:r>
            <w:proofErr w:type="spellStart"/>
            <w:r w:rsidRPr="00DA2EDF">
              <w:rPr>
                <w:b/>
                <w:bCs/>
                <w:spacing w:val="-8"/>
                <w:sz w:val="20"/>
                <w:szCs w:val="20"/>
                <w:lang w:val="en-US" w:eastAsia="en-US"/>
              </w:rPr>
              <w:t>оценка</w:t>
            </w:r>
            <w:proofErr w:type="spellEnd"/>
            <w:r w:rsidRPr="00DA2EDF">
              <w:rPr>
                <w:b/>
                <w:bCs/>
                <w:spacing w:val="-8"/>
                <w:sz w:val="20"/>
                <w:szCs w:val="20"/>
                <w:lang w:val="en-US" w:eastAsia="en-US"/>
              </w:rPr>
              <w:t>*)</w:t>
            </w:r>
          </w:p>
        </w:tc>
        <w:tc>
          <w:tcPr>
            <w:tcW w:w="1227" w:type="pct"/>
            <w:gridSpan w:val="3"/>
            <w:shd w:val="clear" w:color="auto" w:fill="auto"/>
            <w:vAlign w:val="center"/>
          </w:tcPr>
          <w:p w14:paraId="7839C69E" w14:textId="22FD9215" w:rsidR="00ED366C" w:rsidRPr="00DA2EDF" w:rsidRDefault="00ED366C" w:rsidP="00ED366C">
            <w:pPr>
              <w:ind w:left="-51" w:hanging="4"/>
              <w:jc w:val="center"/>
              <w:rPr>
                <w:b/>
                <w:bCs/>
                <w:color w:val="000000"/>
                <w:sz w:val="20"/>
                <w:szCs w:val="20"/>
                <w:lang w:val="en-US" w:eastAsia="en-US"/>
              </w:rPr>
            </w:pPr>
            <w:r w:rsidRPr="00DA2EDF">
              <w:rPr>
                <w:b/>
                <w:bCs/>
                <w:sz w:val="20"/>
                <w:szCs w:val="20"/>
                <w:lang w:val="en-US" w:eastAsia="en-US"/>
              </w:rPr>
              <w:t>2023 г</w:t>
            </w:r>
            <w:r w:rsidRPr="00DA2EDF">
              <w:rPr>
                <w:b/>
                <w:bCs/>
                <w:sz w:val="20"/>
                <w:szCs w:val="20"/>
                <w:lang w:eastAsia="en-US"/>
              </w:rPr>
              <w:t>.</w:t>
            </w:r>
          </w:p>
        </w:tc>
        <w:tc>
          <w:tcPr>
            <w:tcW w:w="1208" w:type="pct"/>
            <w:gridSpan w:val="3"/>
            <w:vAlign w:val="center"/>
          </w:tcPr>
          <w:p w14:paraId="5B8593CF" w14:textId="74D9F935" w:rsidR="00ED366C" w:rsidRPr="00DA2EDF" w:rsidRDefault="00ED366C" w:rsidP="00ED366C">
            <w:pPr>
              <w:ind w:hanging="55"/>
              <w:jc w:val="center"/>
              <w:rPr>
                <w:b/>
                <w:bCs/>
                <w:color w:val="000000"/>
                <w:sz w:val="20"/>
                <w:szCs w:val="20"/>
                <w:lang w:val="en-US" w:eastAsia="en-US"/>
              </w:rPr>
            </w:pPr>
            <w:r w:rsidRPr="00DA2EDF">
              <w:rPr>
                <w:b/>
                <w:bCs/>
                <w:sz w:val="20"/>
                <w:szCs w:val="20"/>
                <w:lang w:val="en-US" w:eastAsia="en-US"/>
              </w:rPr>
              <w:t>2024 г</w:t>
            </w:r>
            <w:r w:rsidRPr="00DA2EDF">
              <w:rPr>
                <w:b/>
                <w:bCs/>
                <w:sz w:val="20"/>
                <w:szCs w:val="20"/>
                <w:lang w:eastAsia="en-US"/>
              </w:rPr>
              <w:t>.</w:t>
            </w:r>
          </w:p>
        </w:tc>
        <w:tc>
          <w:tcPr>
            <w:tcW w:w="1447" w:type="pct"/>
            <w:gridSpan w:val="3"/>
          </w:tcPr>
          <w:p w14:paraId="2E844225" w14:textId="693A4E54" w:rsidR="00ED366C" w:rsidRPr="00DA2EDF" w:rsidRDefault="00ED366C" w:rsidP="00ED366C">
            <w:pPr>
              <w:ind w:hanging="55"/>
              <w:jc w:val="center"/>
              <w:rPr>
                <w:b/>
                <w:bCs/>
                <w:color w:val="000000"/>
                <w:sz w:val="20"/>
                <w:szCs w:val="20"/>
                <w:lang w:val="en-US" w:eastAsia="en-US"/>
              </w:rPr>
            </w:pPr>
            <w:r w:rsidRPr="00DA2EDF">
              <w:rPr>
                <w:b/>
                <w:bCs/>
                <w:sz w:val="20"/>
                <w:szCs w:val="20"/>
                <w:lang w:val="en-US" w:eastAsia="en-US"/>
              </w:rPr>
              <w:t>2025 г</w:t>
            </w:r>
            <w:r w:rsidRPr="00DA2EDF">
              <w:rPr>
                <w:b/>
                <w:bCs/>
                <w:sz w:val="20"/>
                <w:szCs w:val="20"/>
                <w:lang w:eastAsia="en-US"/>
              </w:rPr>
              <w:t>.</w:t>
            </w:r>
          </w:p>
        </w:tc>
      </w:tr>
      <w:tr w:rsidR="00ED366C" w:rsidRPr="009D5B83" w14:paraId="757AF7E9" w14:textId="77777777" w:rsidTr="006C084D">
        <w:trPr>
          <w:trHeight w:val="190"/>
          <w:tblHeader/>
        </w:trPr>
        <w:tc>
          <w:tcPr>
            <w:tcW w:w="697" w:type="pct"/>
            <w:vMerge/>
            <w:shd w:val="clear" w:color="auto" w:fill="auto"/>
            <w:vAlign w:val="center"/>
          </w:tcPr>
          <w:p w14:paraId="108D6A6A" w14:textId="77777777" w:rsidR="00ED366C" w:rsidRPr="00DA2EDF" w:rsidRDefault="00ED366C" w:rsidP="00ED366C">
            <w:pPr>
              <w:rPr>
                <w:b/>
                <w:bCs/>
                <w:sz w:val="20"/>
                <w:szCs w:val="20"/>
                <w:lang w:val="en-US" w:eastAsia="en-US"/>
              </w:rPr>
            </w:pPr>
          </w:p>
        </w:tc>
        <w:tc>
          <w:tcPr>
            <w:tcW w:w="422" w:type="pct"/>
            <w:vMerge/>
            <w:shd w:val="clear" w:color="auto" w:fill="auto"/>
            <w:vAlign w:val="center"/>
          </w:tcPr>
          <w:p w14:paraId="1C381F41" w14:textId="77777777" w:rsidR="00ED366C" w:rsidRPr="00DA2EDF" w:rsidRDefault="00ED366C" w:rsidP="00ED366C">
            <w:pPr>
              <w:jc w:val="center"/>
              <w:rPr>
                <w:b/>
                <w:bCs/>
                <w:sz w:val="20"/>
                <w:szCs w:val="20"/>
                <w:lang w:val="en-US" w:eastAsia="en-US"/>
              </w:rPr>
            </w:pPr>
          </w:p>
        </w:tc>
        <w:tc>
          <w:tcPr>
            <w:tcW w:w="427" w:type="pct"/>
            <w:shd w:val="clear" w:color="auto" w:fill="auto"/>
            <w:tcMar>
              <w:left w:w="28" w:type="dxa"/>
              <w:right w:w="28" w:type="dxa"/>
            </w:tcMar>
            <w:vAlign w:val="center"/>
          </w:tcPr>
          <w:p w14:paraId="3013C3AD" w14:textId="2D43D76E" w:rsidR="00ED366C" w:rsidRPr="00DA2EDF" w:rsidRDefault="00ED366C" w:rsidP="00ED366C">
            <w:pPr>
              <w:jc w:val="center"/>
              <w:rPr>
                <w:b/>
                <w:bCs/>
                <w:spacing w:val="-8"/>
                <w:sz w:val="20"/>
                <w:szCs w:val="20"/>
                <w:lang w:val="en-US" w:eastAsia="en-US"/>
              </w:rPr>
            </w:pPr>
            <w:r w:rsidRPr="00DA2EDF">
              <w:rPr>
                <w:b/>
                <w:bCs/>
                <w:color w:val="000000"/>
                <w:spacing w:val="-8"/>
                <w:kern w:val="24"/>
                <w:sz w:val="20"/>
                <w:szCs w:val="20"/>
                <w:lang w:eastAsia="en-US"/>
              </w:rPr>
              <w:t>Закон №</w:t>
            </w:r>
            <w:r w:rsidRPr="00DA2EDF">
              <w:rPr>
                <w:b/>
                <w:bCs/>
                <w:color w:val="000000"/>
                <w:spacing w:val="-8"/>
                <w:kern w:val="24"/>
                <w:sz w:val="20"/>
                <w:szCs w:val="20"/>
                <w:lang w:val="en-US" w:eastAsia="en-US"/>
              </w:rPr>
              <w:t>390-ФЗ</w:t>
            </w:r>
          </w:p>
        </w:tc>
        <w:tc>
          <w:tcPr>
            <w:tcW w:w="448" w:type="pct"/>
            <w:shd w:val="clear" w:color="auto" w:fill="auto"/>
            <w:tcMar>
              <w:left w:w="28" w:type="dxa"/>
              <w:right w:w="28" w:type="dxa"/>
            </w:tcMar>
            <w:vAlign w:val="center"/>
          </w:tcPr>
          <w:p w14:paraId="01468D22" w14:textId="77777777" w:rsidR="00ED366C" w:rsidRPr="00DA2EDF" w:rsidRDefault="00ED366C" w:rsidP="00ED366C">
            <w:pPr>
              <w:jc w:val="center"/>
              <w:rPr>
                <w:b/>
                <w:bCs/>
                <w:spacing w:val="-8"/>
                <w:sz w:val="20"/>
                <w:szCs w:val="20"/>
                <w:lang w:val="en-US" w:eastAsia="en-US"/>
              </w:rPr>
            </w:pPr>
            <w:proofErr w:type="spellStart"/>
            <w:r w:rsidRPr="00DA2EDF">
              <w:rPr>
                <w:b/>
                <w:bCs/>
                <w:color w:val="000000"/>
                <w:spacing w:val="-8"/>
                <w:kern w:val="24"/>
                <w:sz w:val="20"/>
                <w:szCs w:val="20"/>
                <w:lang w:val="en-US" w:eastAsia="en-US"/>
              </w:rPr>
              <w:t>Законо-проект</w:t>
            </w:r>
            <w:proofErr w:type="spellEnd"/>
          </w:p>
        </w:tc>
        <w:tc>
          <w:tcPr>
            <w:tcW w:w="352" w:type="pct"/>
            <w:tcMar>
              <w:left w:w="28" w:type="dxa"/>
              <w:right w:w="28" w:type="dxa"/>
            </w:tcMar>
            <w:vAlign w:val="center"/>
          </w:tcPr>
          <w:p w14:paraId="0AA0F732" w14:textId="77777777" w:rsidR="00ED366C" w:rsidRPr="00DA2EDF" w:rsidRDefault="00ED366C" w:rsidP="00ED366C">
            <w:pPr>
              <w:jc w:val="center"/>
              <w:rPr>
                <w:b/>
                <w:bCs/>
                <w:spacing w:val="-8"/>
                <w:sz w:val="20"/>
                <w:szCs w:val="20"/>
                <w:lang w:val="en-US" w:eastAsia="en-US"/>
              </w:rPr>
            </w:pPr>
            <w:r w:rsidRPr="00DA2EDF">
              <w:rPr>
                <w:b/>
                <w:bCs/>
                <w:spacing w:val="-8"/>
                <w:sz w:val="20"/>
                <w:szCs w:val="20"/>
                <w:lang w:val="en-US" w:eastAsia="en-US"/>
              </w:rPr>
              <w:t>Δ, %</w:t>
            </w:r>
          </w:p>
        </w:tc>
        <w:tc>
          <w:tcPr>
            <w:tcW w:w="427" w:type="pct"/>
            <w:tcMar>
              <w:left w:w="28" w:type="dxa"/>
              <w:right w:w="28" w:type="dxa"/>
            </w:tcMar>
            <w:vAlign w:val="center"/>
          </w:tcPr>
          <w:p w14:paraId="5C37E239" w14:textId="451765C3" w:rsidR="00ED366C" w:rsidRPr="00DA2EDF" w:rsidRDefault="00ED366C" w:rsidP="00ED366C">
            <w:pPr>
              <w:jc w:val="center"/>
              <w:rPr>
                <w:b/>
                <w:bCs/>
                <w:spacing w:val="-8"/>
                <w:sz w:val="20"/>
                <w:szCs w:val="20"/>
                <w:lang w:val="en-US" w:eastAsia="en-US"/>
              </w:rPr>
            </w:pPr>
            <w:r w:rsidRPr="00DA2EDF">
              <w:rPr>
                <w:b/>
                <w:bCs/>
                <w:color w:val="000000"/>
                <w:spacing w:val="-8"/>
                <w:kern w:val="24"/>
                <w:sz w:val="20"/>
                <w:szCs w:val="20"/>
                <w:lang w:eastAsia="en-US"/>
              </w:rPr>
              <w:t>Закон №</w:t>
            </w:r>
            <w:r w:rsidRPr="00DA2EDF">
              <w:rPr>
                <w:b/>
                <w:bCs/>
                <w:color w:val="000000"/>
                <w:spacing w:val="-8"/>
                <w:kern w:val="24"/>
                <w:sz w:val="20"/>
                <w:szCs w:val="20"/>
                <w:lang w:val="en-US" w:eastAsia="en-US"/>
              </w:rPr>
              <w:t>390-ФЗ</w:t>
            </w:r>
          </w:p>
        </w:tc>
        <w:tc>
          <w:tcPr>
            <w:tcW w:w="442" w:type="pct"/>
            <w:shd w:val="clear" w:color="auto" w:fill="auto"/>
            <w:tcMar>
              <w:left w:w="28" w:type="dxa"/>
              <w:right w:w="28" w:type="dxa"/>
            </w:tcMar>
            <w:vAlign w:val="center"/>
          </w:tcPr>
          <w:p w14:paraId="66EE9EBA" w14:textId="77777777" w:rsidR="00ED366C" w:rsidRPr="00DA2EDF" w:rsidRDefault="00ED366C" w:rsidP="00ED366C">
            <w:pPr>
              <w:jc w:val="center"/>
              <w:rPr>
                <w:b/>
                <w:bCs/>
                <w:spacing w:val="-8"/>
                <w:sz w:val="20"/>
                <w:szCs w:val="20"/>
                <w:lang w:val="en-US" w:eastAsia="en-US"/>
              </w:rPr>
            </w:pPr>
            <w:proofErr w:type="spellStart"/>
            <w:r w:rsidRPr="00DA2EDF">
              <w:rPr>
                <w:b/>
                <w:bCs/>
                <w:color w:val="000000"/>
                <w:spacing w:val="-8"/>
                <w:kern w:val="24"/>
                <w:sz w:val="20"/>
                <w:szCs w:val="20"/>
                <w:lang w:val="en-US" w:eastAsia="en-US"/>
              </w:rPr>
              <w:t>Законо-проект</w:t>
            </w:r>
            <w:proofErr w:type="spellEnd"/>
          </w:p>
        </w:tc>
        <w:tc>
          <w:tcPr>
            <w:tcW w:w="339" w:type="pct"/>
            <w:tcMar>
              <w:left w:w="28" w:type="dxa"/>
              <w:right w:w="28" w:type="dxa"/>
            </w:tcMar>
            <w:vAlign w:val="center"/>
          </w:tcPr>
          <w:p w14:paraId="6B4C2B05" w14:textId="77777777" w:rsidR="00ED366C" w:rsidRPr="00DA2EDF" w:rsidRDefault="00ED366C" w:rsidP="00ED366C">
            <w:pPr>
              <w:jc w:val="center"/>
              <w:rPr>
                <w:b/>
                <w:bCs/>
                <w:spacing w:val="-8"/>
                <w:sz w:val="20"/>
                <w:szCs w:val="20"/>
                <w:lang w:val="en-US" w:eastAsia="en-US"/>
              </w:rPr>
            </w:pPr>
            <w:r w:rsidRPr="00DA2EDF">
              <w:rPr>
                <w:b/>
                <w:bCs/>
                <w:spacing w:val="-8"/>
                <w:sz w:val="20"/>
                <w:szCs w:val="20"/>
                <w:lang w:val="en-US" w:eastAsia="en-US"/>
              </w:rPr>
              <w:t>Δ, %</w:t>
            </w:r>
          </w:p>
        </w:tc>
        <w:tc>
          <w:tcPr>
            <w:tcW w:w="448" w:type="pct"/>
            <w:tcMar>
              <w:left w:w="28" w:type="dxa"/>
              <w:right w:w="28" w:type="dxa"/>
            </w:tcMar>
            <w:vAlign w:val="center"/>
          </w:tcPr>
          <w:p w14:paraId="641B5CC5" w14:textId="77777777" w:rsidR="00ED366C" w:rsidRPr="00DA2EDF" w:rsidRDefault="00ED366C" w:rsidP="00ED366C">
            <w:pPr>
              <w:jc w:val="center"/>
              <w:rPr>
                <w:b/>
                <w:bCs/>
                <w:color w:val="000000"/>
                <w:spacing w:val="-8"/>
                <w:kern w:val="24"/>
                <w:sz w:val="20"/>
                <w:szCs w:val="20"/>
                <w:lang w:val="en-US" w:eastAsia="en-US"/>
              </w:rPr>
            </w:pPr>
            <w:proofErr w:type="spellStart"/>
            <w:r w:rsidRPr="00DA2EDF">
              <w:rPr>
                <w:b/>
                <w:bCs/>
                <w:color w:val="000000"/>
                <w:spacing w:val="-8"/>
                <w:kern w:val="24"/>
                <w:sz w:val="20"/>
                <w:szCs w:val="20"/>
                <w:lang w:val="en-US" w:eastAsia="en-US"/>
              </w:rPr>
              <w:t>Бюджетный</w:t>
            </w:r>
            <w:proofErr w:type="spellEnd"/>
            <w:r w:rsidRPr="00DA2EDF">
              <w:rPr>
                <w:b/>
                <w:bCs/>
                <w:color w:val="000000"/>
                <w:spacing w:val="-8"/>
                <w:kern w:val="24"/>
                <w:sz w:val="20"/>
                <w:szCs w:val="20"/>
                <w:lang w:val="en-US" w:eastAsia="en-US"/>
              </w:rPr>
              <w:t xml:space="preserve"> </w:t>
            </w:r>
            <w:proofErr w:type="spellStart"/>
            <w:r w:rsidRPr="00DA2EDF">
              <w:rPr>
                <w:b/>
                <w:bCs/>
                <w:color w:val="000000"/>
                <w:spacing w:val="-8"/>
                <w:kern w:val="24"/>
                <w:sz w:val="20"/>
                <w:szCs w:val="20"/>
                <w:lang w:val="en-US" w:eastAsia="en-US"/>
              </w:rPr>
              <w:t>прогноз</w:t>
            </w:r>
            <w:proofErr w:type="spellEnd"/>
            <w:r w:rsidRPr="00DA2EDF">
              <w:rPr>
                <w:b/>
                <w:bCs/>
                <w:color w:val="000000"/>
                <w:spacing w:val="-8"/>
                <w:kern w:val="24"/>
                <w:sz w:val="20"/>
                <w:szCs w:val="20"/>
                <w:lang w:val="en-US" w:eastAsia="en-US"/>
              </w:rPr>
              <w:t>**</w:t>
            </w:r>
          </w:p>
        </w:tc>
        <w:tc>
          <w:tcPr>
            <w:tcW w:w="468" w:type="pct"/>
            <w:shd w:val="clear" w:color="auto" w:fill="auto"/>
            <w:tcMar>
              <w:left w:w="28" w:type="dxa"/>
              <w:right w:w="28" w:type="dxa"/>
            </w:tcMar>
            <w:vAlign w:val="center"/>
          </w:tcPr>
          <w:p w14:paraId="08C2D872" w14:textId="77777777" w:rsidR="00ED366C" w:rsidRPr="00DA2EDF" w:rsidRDefault="00ED366C" w:rsidP="00ED366C">
            <w:pPr>
              <w:jc w:val="center"/>
              <w:rPr>
                <w:b/>
                <w:bCs/>
                <w:color w:val="000000"/>
                <w:spacing w:val="-8"/>
                <w:kern w:val="24"/>
                <w:sz w:val="20"/>
                <w:szCs w:val="20"/>
                <w:lang w:val="en-US" w:eastAsia="en-US"/>
              </w:rPr>
            </w:pPr>
            <w:proofErr w:type="spellStart"/>
            <w:r w:rsidRPr="00DA2EDF">
              <w:rPr>
                <w:b/>
                <w:bCs/>
                <w:color w:val="000000"/>
                <w:spacing w:val="-8"/>
                <w:kern w:val="24"/>
                <w:sz w:val="20"/>
                <w:szCs w:val="20"/>
                <w:lang w:val="en-US" w:eastAsia="en-US"/>
              </w:rPr>
              <w:t>Законо</w:t>
            </w:r>
            <w:proofErr w:type="spellEnd"/>
            <w:r w:rsidRPr="00DA2EDF">
              <w:rPr>
                <w:b/>
                <w:bCs/>
                <w:color w:val="000000"/>
                <w:spacing w:val="-8"/>
                <w:kern w:val="24"/>
                <w:sz w:val="20"/>
                <w:szCs w:val="20"/>
                <w:lang w:val="en-US" w:eastAsia="en-US"/>
              </w:rPr>
              <w:t>-</w:t>
            </w:r>
          </w:p>
          <w:p w14:paraId="35F64FF4" w14:textId="77777777" w:rsidR="00ED366C" w:rsidRPr="00DA2EDF" w:rsidRDefault="00ED366C" w:rsidP="00ED366C">
            <w:pPr>
              <w:jc w:val="center"/>
              <w:rPr>
                <w:b/>
                <w:bCs/>
                <w:spacing w:val="-8"/>
                <w:sz w:val="20"/>
                <w:szCs w:val="20"/>
                <w:lang w:val="en-US" w:eastAsia="en-US"/>
              </w:rPr>
            </w:pPr>
            <w:proofErr w:type="spellStart"/>
            <w:r w:rsidRPr="00DA2EDF">
              <w:rPr>
                <w:b/>
                <w:bCs/>
                <w:color w:val="000000"/>
                <w:spacing w:val="-8"/>
                <w:kern w:val="24"/>
                <w:sz w:val="20"/>
                <w:szCs w:val="20"/>
                <w:lang w:val="en-US" w:eastAsia="en-US"/>
              </w:rPr>
              <w:t>проект</w:t>
            </w:r>
            <w:proofErr w:type="spellEnd"/>
          </w:p>
        </w:tc>
        <w:tc>
          <w:tcPr>
            <w:tcW w:w="531" w:type="pct"/>
            <w:tcMar>
              <w:left w:w="28" w:type="dxa"/>
              <w:right w:w="28" w:type="dxa"/>
            </w:tcMar>
            <w:vAlign w:val="center"/>
          </w:tcPr>
          <w:p w14:paraId="45660281" w14:textId="77777777" w:rsidR="00ED366C" w:rsidRPr="00DA2EDF" w:rsidRDefault="00ED366C" w:rsidP="00ED366C">
            <w:pPr>
              <w:jc w:val="center"/>
              <w:rPr>
                <w:b/>
                <w:bCs/>
                <w:spacing w:val="-8"/>
                <w:sz w:val="20"/>
                <w:szCs w:val="20"/>
                <w:lang w:val="en-US" w:eastAsia="en-US"/>
              </w:rPr>
            </w:pPr>
            <w:r w:rsidRPr="00DA2EDF">
              <w:rPr>
                <w:b/>
                <w:bCs/>
                <w:spacing w:val="-8"/>
                <w:sz w:val="20"/>
                <w:szCs w:val="20"/>
                <w:lang w:val="en-US" w:eastAsia="en-US"/>
              </w:rPr>
              <w:t>Δ, %</w:t>
            </w:r>
          </w:p>
        </w:tc>
      </w:tr>
      <w:tr w:rsidR="00ED366C" w:rsidRPr="009D5B83" w14:paraId="57F7310A" w14:textId="77777777" w:rsidTr="006C084D">
        <w:trPr>
          <w:trHeight w:val="190"/>
          <w:tblHeader/>
        </w:trPr>
        <w:tc>
          <w:tcPr>
            <w:tcW w:w="697" w:type="pct"/>
            <w:shd w:val="clear" w:color="auto" w:fill="auto"/>
            <w:tcMar>
              <w:left w:w="28" w:type="dxa"/>
              <w:right w:w="28" w:type="dxa"/>
            </w:tcMar>
            <w:vAlign w:val="center"/>
          </w:tcPr>
          <w:p w14:paraId="098598D0" w14:textId="77777777" w:rsidR="00ED366C" w:rsidRPr="00DA2EDF" w:rsidRDefault="00ED366C" w:rsidP="00ED366C">
            <w:pPr>
              <w:jc w:val="center"/>
              <w:rPr>
                <w:b/>
                <w:bCs/>
                <w:sz w:val="20"/>
                <w:szCs w:val="20"/>
                <w:lang w:val="en-US" w:eastAsia="en-US"/>
              </w:rPr>
            </w:pPr>
            <w:r w:rsidRPr="00DA2EDF">
              <w:rPr>
                <w:b/>
                <w:bCs/>
                <w:sz w:val="20"/>
                <w:szCs w:val="20"/>
                <w:lang w:val="en-US" w:eastAsia="en-US"/>
              </w:rPr>
              <w:t>1</w:t>
            </w:r>
          </w:p>
        </w:tc>
        <w:tc>
          <w:tcPr>
            <w:tcW w:w="422" w:type="pct"/>
            <w:shd w:val="clear" w:color="auto" w:fill="auto"/>
            <w:tcMar>
              <w:left w:w="28" w:type="dxa"/>
              <w:right w:w="28" w:type="dxa"/>
            </w:tcMar>
            <w:vAlign w:val="center"/>
          </w:tcPr>
          <w:p w14:paraId="65441E14" w14:textId="77777777" w:rsidR="00ED366C" w:rsidRPr="00DA2EDF" w:rsidRDefault="00ED366C" w:rsidP="00ED366C">
            <w:pPr>
              <w:ind w:hanging="55"/>
              <w:jc w:val="center"/>
              <w:rPr>
                <w:b/>
                <w:bCs/>
                <w:color w:val="000000"/>
                <w:sz w:val="20"/>
                <w:szCs w:val="20"/>
                <w:lang w:val="en-US" w:eastAsia="en-US"/>
              </w:rPr>
            </w:pPr>
            <w:r w:rsidRPr="00DA2EDF">
              <w:rPr>
                <w:b/>
                <w:bCs/>
                <w:sz w:val="20"/>
                <w:szCs w:val="20"/>
                <w:lang w:val="en-US" w:eastAsia="en-US"/>
              </w:rPr>
              <w:t>2</w:t>
            </w:r>
          </w:p>
        </w:tc>
        <w:tc>
          <w:tcPr>
            <w:tcW w:w="427" w:type="pct"/>
            <w:shd w:val="clear" w:color="auto" w:fill="auto"/>
            <w:tcMar>
              <w:left w:w="28" w:type="dxa"/>
              <w:right w:w="28" w:type="dxa"/>
            </w:tcMar>
            <w:vAlign w:val="center"/>
          </w:tcPr>
          <w:p w14:paraId="0142E027" w14:textId="77777777" w:rsidR="00ED366C" w:rsidRPr="00DA2EDF" w:rsidRDefault="00ED366C" w:rsidP="00ED366C">
            <w:pPr>
              <w:jc w:val="center"/>
              <w:rPr>
                <w:b/>
                <w:bCs/>
                <w:sz w:val="20"/>
                <w:szCs w:val="20"/>
                <w:lang w:val="en-US" w:eastAsia="en-US"/>
              </w:rPr>
            </w:pPr>
            <w:r w:rsidRPr="00DA2EDF">
              <w:rPr>
                <w:b/>
                <w:bCs/>
                <w:sz w:val="20"/>
                <w:szCs w:val="20"/>
                <w:lang w:val="en-US" w:eastAsia="en-US"/>
              </w:rPr>
              <w:t>3</w:t>
            </w:r>
          </w:p>
        </w:tc>
        <w:tc>
          <w:tcPr>
            <w:tcW w:w="448" w:type="pct"/>
            <w:shd w:val="clear" w:color="auto" w:fill="auto"/>
            <w:tcMar>
              <w:left w:w="28" w:type="dxa"/>
              <w:right w:w="28" w:type="dxa"/>
            </w:tcMar>
            <w:vAlign w:val="center"/>
          </w:tcPr>
          <w:p w14:paraId="7D9DE772" w14:textId="77777777" w:rsidR="00ED366C" w:rsidRPr="00DA2EDF" w:rsidRDefault="00ED366C" w:rsidP="00ED366C">
            <w:pPr>
              <w:jc w:val="center"/>
              <w:rPr>
                <w:b/>
                <w:bCs/>
                <w:sz w:val="20"/>
                <w:szCs w:val="20"/>
                <w:lang w:val="en-US" w:eastAsia="en-US"/>
              </w:rPr>
            </w:pPr>
            <w:r w:rsidRPr="00DA2EDF">
              <w:rPr>
                <w:b/>
                <w:bCs/>
                <w:sz w:val="20"/>
                <w:szCs w:val="20"/>
                <w:lang w:val="en-US" w:eastAsia="en-US"/>
              </w:rPr>
              <w:t>4</w:t>
            </w:r>
          </w:p>
        </w:tc>
        <w:tc>
          <w:tcPr>
            <w:tcW w:w="352" w:type="pct"/>
            <w:tcMar>
              <w:left w:w="28" w:type="dxa"/>
              <w:right w:w="28" w:type="dxa"/>
            </w:tcMar>
            <w:vAlign w:val="center"/>
          </w:tcPr>
          <w:p w14:paraId="2DC4F1DC" w14:textId="77777777" w:rsidR="00ED366C" w:rsidRPr="00DA2EDF" w:rsidRDefault="00ED366C" w:rsidP="00ED366C">
            <w:pPr>
              <w:jc w:val="center"/>
              <w:rPr>
                <w:b/>
                <w:bCs/>
                <w:sz w:val="20"/>
                <w:szCs w:val="20"/>
                <w:lang w:val="en-US" w:eastAsia="en-US"/>
              </w:rPr>
            </w:pPr>
            <w:r w:rsidRPr="00DA2EDF">
              <w:rPr>
                <w:b/>
                <w:bCs/>
                <w:sz w:val="20"/>
                <w:szCs w:val="20"/>
                <w:lang w:val="en-US" w:eastAsia="en-US"/>
              </w:rPr>
              <w:t>5=4/3*100</w:t>
            </w:r>
          </w:p>
        </w:tc>
        <w:tc>
          <w:tcPr>
            <w:tcW w:w="427" w:type="pct"/>
            <w:tcMar>
              <w:left w:w="28" w:type="dxa"/>
              <w:right w:w="28" w:type="dxa"/>
            </w:tcMar>
            <w:vAlign w:val="center"/>
          </w:tcPr>
          <w:p w14:paraId="777F4415" w14:textId="77777777" w:rsidR="00ED366C" w:rsidRPr="00DA2EDF" w:rsidRDefault="00ED366C" w:rsidP="00ED366C">
            <w:pPr>
              <w:ind w:hanging="55"/>
              <w:jc w:val="center"/>
              <w:rPr>
                <w:b/>
                <w:bCs/>
                <w:color w:val="000000"/>
                <w:sz w:val="20"/>
                <w:szCs w:val="20"/>
                <w:lang w:val="en-US" w:eastAsia="en-US"/>
              </w:rPr>
            </w:pPr>
            <w:r w:rsidRPr="00DA2EDF">
              <w:rPr>
                <w:b/>
                <w:bCs/>
                <w:color w:val="000000"/>
                <w:sz w:val="20"/>
                <w:szCs w:val="20"/>
                <w:lang w:val="en-US" w:eastAsia="en-US"/>
              </w:rPr>
              <w:t>6</w:t>
            </w:r>
          </w:p>
        </w:tc>
        <w:tc>
          <w:tcPr>
            <w:tcW w:w="442" w:type="pct"/>
            <w:shd w:val="clear" w:color="auto" w:fill="auto"/>
            <w:tcMar>
              <w:left w:w="28" w:type="dxa"/>
              <w:right w:w="28" w:type="dxa"/>
            </w:tcMar>
            <w:vAlign w:val="center"/>
          </w:tcPr>
          <w:p w14:paraId="6863DE8D" w14:textId="77777777" w:rsidR="00ED366C" w:rsidRPr="00DA2EDF" w:rsidRDefault="00ED366C" w:rsidP="00ED366C">
            <w:pPr>
              <w:ind w:hanging="55"/>
              <w:jc w:val="center"/>
              <w:rPr>
                <w:b/>
                <w:bCs/>
                <w:color w:val="000000"/>
                <w:sz w:val="20"/>
                <w:szCs w:val="20"/>
                <w:lang w:val="en-US" w:eastAsia="en-US"/>
              </w:rPr>
            </w:pPr>
            <w:r w:rsidRPr="00DA2EDF">
              <w:rPr>
                <w:b/>
                <w:bCs/>
                <w:color w:val="000000"/>
                <w:sz w:val="20"/>
                <w:szCs w:val="20"/>
                <w:lang w:val="en-US" w:eastAsia="en-US"/>
              </w:rPr>
              <w:t>7</w:t>
            </w:r>
          </w:p>
        </w:tc>
        <w:tc>
          <w:tcPr>
            <w:tcW w:w="339" w:type="pct"/>
            <w:tcMar>
              <w:left w:w="28" w:type="dxa"/>
              <w:right w:w="28" w:type="dxa"/>
            </w:tcMar>
            <w:vAlign w:val="center"/>
          </w:tcPr>
          <w:p w14:paraId="5A5DAA0D" w14:textId="77777777" w:rsidR="00ED366C" w:rsidRPr="00DA2EDF" w:rsidRDefault="00ED366C" w:rsidP="00ED366C">
            <w:pPr>
              <w:ind w:hanging="55"/>
              <w:jc w:val="center"/>
              <w:rPr>
                <w:b/>
                <w:bCs/>
                <w:color w:val="000000"/>
                <w:sz w:val="20"/>
                <w:szCs w:val="20"/>
                <w:lang w:val="en-US" w:eastAsia="en-US"/>
              </w:rPr>
            </w:pPr>
            <w:r w:rsidRPr="00DA2EDF">
              <w:rPr>
                <w:b/>
                <w:bCs/>
                <w:color w:val="000000"/>
                <w:sz w:val="20"/>
                <w:szCs w:val="20"/>
                <w:lang w:val="en-US" w:eastAsia="en-US"/>
              </w:rPr>
              <w:t>8=7/6*100</w:t>
            </w:r>
          </w:p>
        </w:tc>
        <w:tc>
          <w:tcPr>
            <w:tcW w:w="448" w:type="pct"/>
            <w:tcMar>
              <w:left w:w="28" w:type="dxa"/>
              <w:right w:w="28" w:type="dxa"/>
            </w:tcMar>
            <w:vAlign w:val="center"/>
          </w:tcPr>
          <w:p w14:paraId="5651A4F7" w14:textId="77777777" w:rsidR="00ED366C" w:rsidRPr="00DA2EDF" w:rsidRDefault="00ED366C" w:rsidP="00ED366C">
            <w:pPr>
              <w:ind w:hanging="55"/>
              <w:jc w:val="center"/>
              <w:rPr>
                <w:b/>
                <w:bCs/>
                <w:color w:val="000000"/>
                <w:sz w:val="20"/>
                <w:szCs w:val="20"/>
                <w:lang w:val="en-US" w:eastAsia="en-US"/>
              </w:rPr>
            </w:pPr>
            <w:r w:rsidRPr="00DA2EDF">
              <w:rPr>
                <w:b/>
                <w:bCs/>
                <w:color w:val="000000"/>
                <w:sz w:val="20"/>
                <w:szCs w:val="20"/>
                <w:lang w:val="en-US" w:eastAsia="en-US"/>
              </w:rPr>
              <w:t>9</w:t>
            </w:r>
          </w:p>
        </w:tc>
        <w:tc>
          <w:tcPr>
            <w:tcW w:w="468" w:type="pct"/>
            <w:shd w:val="clear" w:color="auto" w:fill="auto"/>
            <w:tcMar>
              <w:left w:w="28" w:type="dxa"/>
              <w:right w:w="28" w:type="dxa"/>
            </w:tcMar>
            <w:vAlign w:val="center"/>
          </w:tcPr>
          <w:p w14:paraId="15327552" w14:textId="77777777" w:rsidR="00ED366C" w:rsidRPr="00DA2EDF" w:rsidRDefault="00ED366C" w:rsidP="00ED366C">
            <w:pPr>
              <w:ind w:hanging="55"/>
              <w:jc w:val="center"/>
              <w:rPr>
                <w:b/>
                <w:bCs/>
                <w:color w:val="000000"/>
                <w:sz w:val="20"/>
                <w:szCs w:val="20"/>
                <w:lang w:val="en-US" w:eastAsia="en-US"/>
              </w:rPr>
            </w:pPr>
            <w:r w:rsidRPr="00DA2EDF">
              <w:rPr>
                <w:b/>
                <w:bCs/>
                <w:color w:val="000000"/>
                <w:sz w:val="20"/>
                <w:szCs w:val="20"/>
                <w:lang w:val="en-US" w:eastAsia="en-US"/>
              </w:rPr>
              <w:t>10</w:t>
            </w:r>
          </w:p>
        </w:tc>
        <w:tc>
          <w:tcPr>
            <w:tcW w:w="531" w:type="pct"/>
            <w:tcMar>
              <w:left w:w="28" w:type="dxa"/>
              <w:right w:w="28" w:type="dxa"/>
            </w:tcMar>
            <w:vAlign w:val="center"/>
          </w:tcPr>
          <w:p w14:paraId="4BCB793F" w14:textId="77777777" w:rsidR="00ED366C" w:rsidRPr="00DA2EDF" w:rsidRDefault="00ED366C" w:rsidP="00ED366C">
            <w:pPr>
              <w:ind w:hanging="55"/>
              <w:jc w:val="center"/>
              <w:rPr>
                <w:b/>
                <w:bCs/>
                <w:color w:val="000000"/>
                <w:sz w:val="20"/>
                <w:szCs w:val="20"/>
                <w:lang w:val="en-US" w:eastAsia="en-US"/>
              </w:rPr>
            </w:pPr>
            <w:r w:rsidRPr="00DA2EDF">
              <w:rPr>
                <w:b/>
                <w:bCs/>
                <w:color w:val="000000"/>
                <w:sz w:val="20"/>
                <w:szCs w:val="20"/>
                <w:lang w:val="en-US" w:eastAsia="en-US"/>
              </w:rPr>
              <w:t>11=10/9*100</w:t>
            </w:r>
          </w:p>
        </w:tc>
      </w:tr>
      <w:tr w:rsidR="00ED366C" w:rsidRPr="009D5B83" w14:paraId="1B888E20" w14:textId="77777777" w:rsidTr="006C084D">
        <w:trPr>
          <w:trHeight w:val="190"/>
        </w:trPr>
        <w:tc>
          <w:tcPr>
            <w:tcW w:w="697" w:type="pct"/>
            <w:shd w:val="clear" w:color="auto" w:fill="auto"/>
            <w:vAlign w:val="center"/>
          </w:tcPr>
          <w:p w14:paraId="41212D97" w14:textId="77777777" w:rsidR="00ED366C" w:rsidRPr="00DA2EDF" w:rsidRDefault="00ED366C" w:rsidP="00ED366C">
            <w:pPr>
              <w:kinsoku w:val="0"/>
              <w:overflowPunct w:val="0"/>
              <w:textAlignment w:val="baseline"/>
              <w:rPr>
                <w:color w:val="000000"/>
                <w:kern w:val="24"/>
                <w:sz w:val="20"/>
                <w:szCs w:val="20"/>
              </w:rPr>
            </w:pPr>
            <w:r w:rsidRPr="00DA2EDF">
              <w:rPr>
                <w:color w:val="000000"/>
                <w:kern w:val="24"/>
                <w:sz w:val="20"/>
                <w:szCs w:val="20"/>
              </w:rPr>
              <w:t>Обслуживание государственного (муниципального) долга</w:t>
            </w:r>
          </w:p>
        </w:tc>
        <w:tc>
          <w:tcPr>
            <w:tcW w:w="422" w:type="pct"/>
            <w:shd w:val="clear" w:color="auto" w:fill="auto"/>
            <w:tcMar>
              <w:left w:w="57" w:type="dxa"/>
              <w:right w:w="57" w:type="dxa"/>
            </w:tcMar>
            <w:vAlign w:val="center"/>
          </w:tcPr>
          <w:p w14:paraId="30DED558"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1 403,4</w:t>
            </w:r>
          </w:p>
        </w:tc>
        <w:tc>
          <w:tcPr>
            <w:tcW w:w="427" w:type="pct"/>
            <w:shd w:val="clear" w:color="auto" w:fill="auto"/>
            <w:tcMar>
              <w:left w:w="57" w:type="dxa"/>
              <w:right w:w="57" w:type="dxa"/>
            </w:tcMar>
            <w:vAlign w:val="center"/>
          </w:tcPr>
          <w:p w14:paraId="6FAB627D"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1 702,3</w:t>
            </w:r>
          </w:p>
        </w:tc>
        <w:tc>
          <w:tcPr>
            <w:tcW w:w="448" w:type="pct"/>
            <w:shd w:val="clear" w:color="auto" w:fill="auto"/>
            <w:tcMar>
              <w:left w:w="57" w:type="dxa"/>
              <w:right w:w="57" w:type="dxa"/>
            </w:tcMar>
            <w:vAlign w:val="center"/>
          </w:tcPr>
          <w:p w14:paraId="1CEE473B"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1 519,3</w:t>
            </w:r>
          </w:p>
        </w:tc>
        <w:tc>
          <w:tcPr>
            <w:tcW w:w="352" w:type="pct"/>
            <w:tcMar>
              <w:left w:w="57" w:type="dxa"/>
              <w:right w:w="57" w:type="dxa"/>
            </w:tcMar>
            <w:vAlign w:val="center"/>
          </w:tcPr>
          <w:p w14:paraId="7C2F529C"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89,3</w:t>
            </w:r>
          </w:p>
        </w:tc>
        <w:tc>
          <w:tcPr>
            <w:tcW w:w="427" w:type="pct"/>
            <w:tcMar>
              <w:left w:w="57" w:type="dxa"/>
              <w:right w:w="57" w:type="dxa"/>
            </w:tcMar>
            <w:vAlign w:val="center"/>
          </w:tcPr>
          <w:p w14:paraId="3E812302"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1 861,8</w:t>
            </w:r>
          </w:p>
        </w:tc>
        <w:tc>
          <w:tcPr>
            <w:tcW w:w="442" w:type="pct"/>
            <w:shd w:val="clear" w:color="auto" w:fill="auto"/>
            <w:tcMar>
              <w:left w:w="57" w:type="dxa"/>
              <w:right w:w="57" w:type="dxa"/>
            </w:tcMar>
            <w:vAlign w:val="center"/>
          </w:tcPr>
          <w:p w14:paraId="7B28D2C6"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1 625,2</w:t>
            </w:r>
          </w:p>
        </w:tc>
        <w:tc>
          <w:tcPr>
            <w:tcW w:w="339" w:type="pct"/>
            <w:tcMar>
              <w:left w:w="57" w:type="dxa"/>
              <w:right w:w="57" w:type="dxa"/>
            </w:tcMar>
            <w:vAlign w:val="center"/>
          </w:tcPr>
          <w:p w14:paraId="682AE7F8"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87,3</w:t>
            </w:r>
          </w:p>
        </w:tc>
        <w:tc>
          <w:tcPr>
            <w:tcW w:w="448" w:type="pct"/>
            <w:tcMar>
              <w:left w:w="57" w:type="dxa"/>
              <w:right w:w="57" w:type="dxa"/>
            </w:tcMar>
            <w:vAlign w:val="center"/>
          </w:tcPr>
          <w:p w14:paraId="5112009D"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2 005,0</w:t>
            </w:r>
          </w:p>
        </w:tc>
        <w:tc>
          <w:tcPr>
            <w:tcW w:w="468" w:type="pct"/>
            <w:shd w:val="clear" w:color="auto" w:fill="auto"/>
            <w:tcMar>
              <w:left w:w="57" w:type="dxa"/>
              <w:right w:w="57" w:type="dxa"/>
            </w:tcMar>
            <w:vAlign w:val="center"/>
          </w:tcPr>
          <w:p w14:paraId="3AAE79FA"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1 878,3</w:t>
            </w:r>
          </w:p>
        </w:tc>
        <w:tc>
          <w:tcPr>
            <w:tcW w:w="531" w:type="pct"/>
            <w:tcMar>
              <w:left w:w="57" w:type="dxa"/>
              <w:right w:w="57" w:type="dxa"/>
            </w:tcMar>
            <w:vAlign w:val="center"/>
          </w:tcPr>
          <w:p w14:paraId="528A37B9" w14:textId="77777777" w:rsidR="00ED366C" w:rsidRPr="00DA2EDF" w:rsidRDefault="00ED366C" w:rsidP="00ED366C">
            <w:pPr>
              <w:kinsoku w:val="0"/>
              <w:overflowPunct w:val="0"/>
              <w:jc w:val="center"/>
              <w:textAlignment w:val="baseline"/>
              <w:rPr>
                <w:color w:val="000000"/>
                <w:kern w:val="24"/>
                <w:sz w:val="20"/>
                <w:szCs w:val="20"/>
              </w:rPr>
            </w:pPr>
            <w:r w:rsidRPr="00DA2EDF">
              <w:rPr>
                <w:color w:val="000000"/>
                <w:kern w:val="24"/>
                <w:sz w:val="20"/>
                <w:szCs w:val="20"/>
              </w:rPr>
              <w:t>93,7</w:t>
            </w:r>
          </w:p>
        </w:tc>
      </w:tr>
      <w:tr w:rsidR="00ED366C" w:rsidRPr="009D5B83" w14:paraId="773E2963" w14:textId="77777777" w:rsidTr="006C084D">
        <w:trPr>
          <w:trHeight w:val="190"/>
        </w:trPr>
        <w:tc>
          <w:tcPr>
            <w:tcW w:w="697" w:type="pct"/>
            <w:shd w:val="clear" w:color="auto" w:fill="auto"/>
            <w:vAlign w:val="center"/>
          </w:tcPr>
          <w:p w14:paraId="60C113E6" w14:textId="77777777" w:rsidR="00ED366C" w:rsidRPr="00DA2EDF" w:rsidRDefault="00ED366C" w:rsidP="00ED366C">
            <w:pPr>
              <w:kinsoku w:val="0"/>
              <w:overflowPunct w:val="0"/>
              <w:textAlignment w:val="baseline"/>
              <w:rPr>
                <w:i/>
                <w:iCs/>
                <w:color w:val="000000"/>
                <w:kern w:val="24"/>
                <w:sz w:val="20"/>
                <w:szCs w:val="20"/>
              </w:rPr>
            </w:pPr>
            <w:r w:rsidRPr="00DA2EDF">
              <w:rPr>
                <w:i/>
                <w:iCs/>
                <w:color w:val="000000"/>
                <w:kern w:val="24"/>
                <w:sz w:val="20"/>
                <w:szCs w:val="20"/>
              </w:rPr>
              <w:t>%% к ВВП</w:t>
            </w:r>
          </w:p>
        </w:tc>
        <w:tc>
          <w:tcPr>
            <w:tcW w:w="422" w:type="pct"/>
            <w:shd w:val="clear" w:color="auto" w:fill="auto"/>
            <w:tcMar>
              <w:left w:w="57" w:type="dxa"/>
              <w:right w:w="57" w:type="dxa"/>
            </w:tcMar>
            <w:vAlign w:val="center"/>
          </w:tcPr>
          <w:p w14:paraId="6A255A2F"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1,0</w:t>
            </w:r>
          </w:p>
        </w:tc>
        <w:tc>
          <w:tcPr>
            <w:tcW w:w="427" w:type="pct"/>
            <w:shd w:val="clear" w:color="auto" w:fill="auto"/>
            <w:tcMar>
              <w:left w:w="57" w:type="dxa"/>
              <w:right w:w="57" w:type="dxa"/>
            </w:tcMar>
            <w:vAlign w:val="center"/>
          </w:tcPr>
          <w:p w14:paraId="3601B20A"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1,2</w:t>
            </w:r>
          </w:p>
        </w:tc>
        <w:tc>
          <w:tcPr>
            <w:tcW w:w="448" w:type="pct"/>
            <w:shd w:val="clear" w:color="auto" w:fill="auto"/>
            <w:tcMar>
              <w:left w:w="57" w:type="dxa"/>
              <w:right w:w="57" w:type="dxa"/>
            </w:tcMar>
            <w:vAlign w:val="center"/>
          </w:tcPr>
          <w:p w14:paraId="7A17F1DC"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1,0</w:t>
            </w:r>
          </w:p>
        </w:tc>
        <w:tc>
          <w:tcPr>
            <w:tcW w:w="352" w:type="pct"/>
            <w:tcMar>
              <w:left w:w="57" w:type="dxa"/>
              <w:right w:w="57" w:type="dxa"/>
            </w:tcMar>
            <w:vAlign w:val="center"/>
          </w:tcPr>
          <w:p w14:paraId="03A68906" w14:textId="77777777" w:rsidR="00ED366C" w:rsidRPr="00DA2EDF" w:rsidRDefault="00ED366C" w:rsidP="00ED366C">
            <w:pPr>
              <w:kinsoku w:val="0"/>
              <w:overflowPunct w:val="0"/>
              <w:jc w:val="center"/>
              <w:textAlignment w:val="baseline"/>
              <w:rPr>
                <w:i/>
                <w:iCs/>
                <w:color w:val="000000"/>
                <w:kern w:val="24"/>
                <w:sz w:val="20"/>
                <w:szCs w:val="20"/>
              </w:rPr>
            </w:pPr>
          </w:p>
        </w:tc>
        <w:tc>
          <w:tcPr>
            <w:tcW w:w="427" w:type="pct"/>
            <w:tcMar>
              <w:left w:w="57" w:type="dxa"/>
              <w:right w:w="57" w:type="dxa"/>
            </w:tcMar>
            <w:vAlign w:val="center"/>
          </w:tcPr>
          <w:p w14:paraId="26E367A6"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1,2</w:t>
            </w:r>
          </w:p>
        </w:tc>
        <w:tc>
          <w:tcPr>
            <w:tcW w:w="442" w:type="pct"/>
            <w:shd w:val="clear" w:color="auto" w:fill="auto"/>
            <w:tcMar>
              <w:left w:w="57" w:type="dxa"/>
              <w:right w:w="57" w:type="dxa"/>
            </w:tcMar>
            <w:vAlign w:val="center"/>
          </w:tcPr>
          <w:p w14:paraId="7D0C152E"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1,0</w:t>
            </w:r>
          </w:p>
        </w:tc>
        <w:tc>
          <w:tcPr>
            <w:tcW w:w="339" w:type="pct"/>
            <w:tcMar>
              <w:left w:w="57" w:type="dxa"/>
              <w:right w:w="57" w:type="dxa"/>
            </w:tcMar>
            <w:vAlign w:val="center"/>
          </w:tcPr>
          <w:p w14:paraId="539589A9" w14:textId="77777777" w:rsidR="00ED366C" w:rsidRPr="00DA2EDF" w:rsidRDefault="00ED366C" w:rsidP="00ED366C">
            <w:pPr>
              <w:kinsoku w:val="0"/>
              <w:overflowPunct w:val="0"/>
              <w:jc w:val="center"/>
              <w:textAlignment w:val="baseline"/>
              <w:rPr>
                <w:i/>
                <w:iCs/>
                <w:color w:val="000000"/>
                <w:kern w:val="24"/>
                <w:sz w:val="20"/>
                <w:szCs w:val="20"/>
              </w:rPr>
            </w:pPr>
          </w:p>
        </w:tc>
        <w:tc>
          <w:tcPr>
            <w:tcW w:w="448" w:type="pct"/>
            <w:tcMar>
              <w:left w:w="57" w:type="dxa"/>
              <w:right w:w="57" w:type="dxa"/>
            </w:tcMar>
            <w:vAlign w:val="center"/>
          </w:tcPr>
          <w:p w14:paraId="2ACEED4A"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1,2</w:t>
            </w:r>
          </w:p>
        </w:tc>
        <w:tc>
          <w:tcPr>
            <w:tcW w:w="468" w:type="pct"/>
            <w:shd w:val="clear" w:color="auto" w:fill="auto"/>
            <w:tcMar>
              <w:left w:w="57" w:type="dxa"/>
              <w:right w:w="57" w:type="dxa"/>
            </w:tcMar>
            <w:vAlign w:val="center"/>
          </w:tcPr>
          <w:p w14:paraId="5F720201"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1,1</w:t>
            </w:r>
          </w:p>
        </w:tc>
        <w:tc>
          <w:tcPr>
            <w:tcW w:w="531" w:type="pct"/>
            <w:tcMar>
              <w:left w:w="57" w:type="dxa"/>
              <w:right w:w="57" w:type="dxa"/>
            </w:tcMar>
            <w:vAlign w:val="center"/>
          </w:tcPr>
          <w:p w14:paraId="33C3BD33" w14:textId="77777777" w:rsidR="00ED366C" w:rsidRPr="00DA2EDF" w:rsidRDefault="00ED366C" w:rsidP="00ED366C">
            <w:pPr>
              <w:kinsoku w:val="0"/>
              <w:overflowPunct w:val="0"/>
              <w:jc w:val="center"/>
              <w:textAlignment w:val="baseline"/>
              <w:rPr>
                <w:i/>
                <w:iCs/>
                <w:color w:val="000000"/>
                <w:kern w:val="24"/>
                <w:sz w:val="20"/>
                <w:szCs w:val="20"/>
              </w:rPr>
            </w:pPr>
          </w:p>
        </w:tc>
      </w:tr>
      <w:tr w:rsidR="00ED366C" w:rsidRPr="009D5B83" w14:paraId="44152142" w14:textId="77777777" w:rsidTr="006C084D">
        <w:trPr>
          <w:trHeight w:val="190"/>
        </w:trPr>
        <w:tc>
          <w:tcPr>
            <w:tcW w:w="697" w:type="pct"/>
            <w:shd w:val="clear" w:color="auto" w:fill="auto"/>
            <w:vAlign w:val="center"/>
          </w:tcPr>
          <w:p w14:paraId="26C6AF55" w14:textId="3BFB3161" w:rsidR="00ED366C" w:rsidRPr="00DA2EDF" w:rsidRDefault="00ED366C" w:rsidP="00ED366C">
            <w:pPr>
              <w:kinsoku w:val="0"/>
              <w:overflowPunct w:val="0"/>
              <w:textAlignment w:val="baseline"/>
              <w:rPr>
                <w:i/>
                <w:iCs/>
                <w:color w:val="000000"/>
                <w:kern w:val="24"/>
                <w:sz w:val="20"/>
                <w:szCs w:val="20"/>
              </w:rPr>
            </w:pPr>
            <w:r w:rsidRPr="00DA2EDF">
              <w:rPr>
                <w:i/>
                <w:iCs/>
                <w:color w:val="000000"/>
                <w:kern w:val="24"/>
                <w:sz w:val="20"/>
                <w:szCs w:val="20"/>
              </w:rPr>
              <w:t xml:space="preserve">доля в общем объеме расходов, % (без учета </w:t>
            </w:r>
            <w:r w:rsidR="00E2204F">
              <w:rPr>
                <w:i/>
                <w:iCs/>
                <w:color w:val="000000"/>
                <w:kern w:val="24"/>
                <w:sz w:val="20"/>
                <w:szCs w:val="20"/>
              </w:rPr>
              <w:t>УУР</w:t>
            </w:r>
            <w:r w:rsidRPr="00DA2EDF">
              <w:rPr>
                <w:i/>
                <w:iCs/>
                <w:color w:val="000000"/>
                <w:kern w:val="24"/>
                <w:sz w:val="20"/>
                <w:szCs w:val="20"/>
              </w:rPr>
              <w:t>)</w:t>
            </w:r>
          </w:p>
        </w:tc>
        <w:tc>
          <w:tcPr>
            <w:tcW w:w="422" w:type="pct"/>
            <w:shd w:val="clear" w:color="auto" w:fill="auto"/>
            <w:tcMar>
              <w:left w:w="57" w:type="dxa"/>
              <w:right w:w="57" w:type="dxa"/>
            </w:tcMar>
            <w:vAlign w:val="center"/>
          </w:tcPr>
          <w:p w14:paraId="2F4106CD"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5,1</w:t>
            </w:r>
          </w:p>
        </w:tc>
        <w:tc>
          <w:tcPr>
            <w:tcW w:w="427" w:type="pct"/>
            <w:shd w:val="clear" w:color="auto" w:fill="auto"/>
            <w:tcMar>
              <w:left w:w="57" w:type="dxa"/>
              <w:right w:w="57" w:type="dxa"/>
            </w:tcMar>
            <w:vAlign w:val="center"/>
          </w:tcPr>
          <w:p w14:paraId="6CAEC5C7"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6,9</w:t>
            </w:r>
          </w:p>
        </w:tc>
        <w:tc>
          <w:tcPr>
            <w:tcW w:w="448" w:type="pct"/>
            <w:shd w:val="clear" w:color="auto" w:fill="auto"/>
            <w:tcMar>
              <w:left w:w="57" w:type="dxa"/>
              <w:right w:w="57" w:type="dxa"/>
            </w:tcMar>
            <w:vAlign w:val="center"/>
          </w:tcPr>
          <w:p w14:paraId="07E6654C"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5,2</w:t>
            </w:r>
          </w:p>
        </w:tc>
        <w:tc>
          <w:tcPr>
            <w:tcW w:w="352" w:type="pct"/>
            <w:tcMar>
              <w:left w:w="57" w:type="dxa"/>
              <w:right w:w="57" w:type="dxa"/>
            </w:tcMar>
            <w:vAlign w:val="center"/>
          </w:tcPr>
          <w:p w14:paraId="2CC8CDC8" w14:textId="77777777" w:rsidR="00ED366C" w:rsidRPr="00DA2EDF" w:rsidRDefault="00ED366C" w:rsidP="00ED366C">
            <w:pPr>
              <w:kinsoku w:val="0"/>
              <w:overflowPunct w:val="0"/>
              <w:jc w:val="center"/>
              <w:textAlignment w:val="baseline"/>
              <w:rPr>
                <w:i/>
                <w:iCs/>
                <w:color w:val="000000"/>
                <w:kern w:val="24"/>
                <w:sz w:val="20"/>
                <w:szCs w:val="20"/>
              </w:rPr>
            </w:pPr>
          </w:p>
        </w:tc>
        <w:tc>
          <w:tcPr>
            <w:tcW w:w="427" w:type="pct"/>
            <w:tcMar>
              <w:left w:w="57" w:type="dxa"/>
              <w:right w:w="57" w:type="dxa"/>
            </w:tcMar>
            <w:vAlign w:val="center"/>
          </w:tcPr>
          <w:p w14:paraId="2E8B3BD6"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7,4</w:t>
            </w:r>
          </w:p>
        </w:tc>
        <w:tc>
          <w:tcPr>
            <w:tcW w:w="442" w:type="pct"/>
            <w:shd w:val="clear" w:color="auto" w:fill="auto"/>
            <w:tcMar>
              <w:left w:w="57" w:type="dxa"/>
              <w:right w:w="57" w:type="dxa"/>
            </w:tcMar>
            <w:vAlign w:val="center"/>
          </w:tcPr>
          <w:p w14:paraId="2E8353D7"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5,7</w:t>
            </w:r>
          </w:p>
        </w:tc>
        <w:tc>
          <w:tcPr>
            <w:tcW w:w="339" w:type="pct"/>
            <w:tcMar>
              <w:left w:w="57" w:type="dxa"/>
              <w:right w:w="57" w:type="dxa"/>
            </w:tcMar>
            <w:vAlign w:val="center"/>
          </w:tcPr>
          <w:p w14:paraId="7F342370" w14:textId="77777777" w:rsidR="00ED366C" w:rsidRPr="00DA2EDF" w:rsidRDefault="00ED366C" w:rsidP="00ED366C">
            <w:pPr>
              <w:kinsoku w:val="0"/>
              <w:overflowPunct w:val="0"/>
              <w:jc w:val="center"/>
              <w:textAlignment w:val="baseline"/>
              <w:rPr>
                <w:i/>
                <w:iCs/>
                <w:color w:val="000000"/>
                <w:kern w:val="24"/>
                <w:sz w:val="20"/>
                <w:szCs w:val="20"/>
              </w:rPr>
            </w:pPr>
          </w:p>
        </w:tc>
        <w:tc>
          <w:tcPr>
            <w:tcW w:w="448" w:type="pct"/>
            <w:tcMar>
              <w:left w:w="57" w:type="dxa"/>
              <w:right w:w="57" w:type="dxa"/>
            </w:tcMar>
            <w:vAlign w:val="center"/>
          </w:tcPr>
          <w:p w14:paraId="0E4072B5"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7,7</w:t>
            </w:r>
          </w:p>
        </w:tc>
        <w:tc>
          <w:tcPr>
            <w:tcW w:w="468" w:type="pct"/>
            <w:shd w:val="clear" w:color="auto" w:fill="auto"/>
            <w:tcMar>
              <w:left w:w="57" w:type="dxa"/>
              <w:right w:w="57" w:type="dxa"/>
            </w:tcMar>
            <w:vAlign w:val="center"/>
          </w:tcPr>
          <w:p w14:paraId="597D3656" w14:textId="77777777" w:rsidR="00ED366C" w:rsidRPr="00DA2EDF" w:rsidRDefault="00ED366C" w:rsidP="00ED366C">
            <w:pPr>
              <w:kinsoku w:val="0"/>
              <w:overflowPunct w:val="0"/>
              <w:jc w:val="center"/>
              <w:textAlignment w:val="baseline"/>
              <w:rPr>
                <w:i/>
                <w:iCs/>
                <w:color w:val="000000"/>
                <w:kern w:val="24"/>
                <w:sz w:val="20"/>
                <w:szCs w:val="20"/>
              </w:rPr>
            </w:pPr>
            <w:r w:rsidRPr="00DA2EDF">
              <w:rPr>
                <w:i/>
                <w:iCs/>
                <w:color w:val="000000"/>
                <w:kern w:val="24"/>
                <w:sz w:val="20"/>
                <w:szCs w:val="20"/>
              </w:rPr>
              <w:t>6,8</w:t>
            </w:r>
          </w:p>
        </w:tc>
        <w:tc>
          <w:tcPr>
            <w:tcW w:w="531" w:type="pct"/>
            <w:tcMar>
              <w:left w:w="57" w:type="dxa"/>
              <w:right w:w="57" w:type="dxa"/>
            </w:tcMar>
            <w:vAlign w:val="center"/>
          </w:tcPr>
          <w:p w14:paraId="339A5E01" w14:textId="77777777" w:rsidR="00ED366C" w:rsidRPr="00DA2EDF" w:rsidRDefault="00ED366C" w:rsidP="00ED366C">
            <w:pPr>
              <w:kinsoku w:val="0"/>
              <w:overflowPunct w:val="0"/>
              <w:jc w:val="center"/>
              <w:textAlignment w:val="baseline"/>
              <w:rPr>
                <w:i/>
                <w:iCs/>
                <w:color w:val="000000"/>
                <w:kern w:val="24"/>
                <w:sz w:val="20"/>
                <w:szCs w:val="20"/>
              </w:rPr>
            </w:pPr>
          </w:p>
        </w:tc>
      </w:tr>
    </w:tbl>
    <w:p w14:paraId="79A9B318" w14:textId="6A74DD16" w:rsidR="00ED366C" w:rsidRPr="009D5B83" w:rsidRDefault="00ED366C" w:rsidP="00DA2EDF">
      <w:pPr>
        <w:widowControl w:val="0"/>
        <w:autoSpaceDE w:val="0"/>
        <w:autoSpaceDN w:val="0"/>
        <w:adjustRightInd w:val="0"/>
        <w:ind w:firstLine="709"/>
        <w:jc w:val="both"/>
        <w:rPr>
          <w:sz w:val="20"/>
          <w:szCs w:val="20"/>
          <w:lang w:eastAsia="en-US"/>
        </w:rPr>
      </w:pPr>
      <w:r w:rsidRPr="009D5B83">
        <w:rPr>
          <w:sz w:val="20"/>
          <w:szCs w:val="20"/>
          <w:lang w:eastAsia="en-US"/>
        </w:rPr>
        <w:t>Примечания: * - показатели сводной бюджетной росписи по состоянию на 1 сентября 2022 г.</w:t>
      </w:r>
    </w:p>
    <w:p w14:paraId="7E48A2EA" w14:textId="5CEAA8D6" w:rsidR="00ED366C" w:rsidRPr="009D5B83" w:rsidRDefault="00ED366C" w:rsidP="00DA2EDF">
      <w:pPr>
        <w:widowControl w:val="0"/>
        <w:autoSpaceDE w:val="0"/>
        <w:autoSpaceDN w:val="0"/>
        <w:adjustRightInd w:val="0"/>
        <w:ind w:firstLine="709"/>
        <w:jc w:val="both"/>
        <w:rPr>
          <w:sz w:val="20"/>
          <w:szCs w:val="20"/>
          <w:lang w:eastAsia="en-US"/>
        </w:rPr>
      </w:pPr>
      <w:r w:rsidRPr="009D5B83">
        <w:rPr>
          <w:sz w:val="20"/>
          <w:szCs w:val="20"/>
          <w:lang w:eastAsia="en-US"/>
        </w:rPr>
        <w:t>** - в части базовых бюджетных ассигнований, распределенных по госпрограммам и непрограммным направлениям деятельности.</w:t>
      </w:r>
    </w:p>
    <w:p w14:paraId="439EED4F" w14:textId="4BD612B1" w:rsidR="00ED366C" w:rsidRPr="009D5B83" w:rsidRDefault="00ED366C" w:rsidP="00DA2EDF">
      <w:pPr>
        <w:widowControl w:val="0"/>
        <w:autoSpaceDE w:val="0"/>
        <w:autoSpaceDN w:val="0"/>
        <w:adjustRightInd w:val="0"/>
        <w:ind w:firstLine="709"/>
        <w:jc w:val="both"/>
        <w:rPr>
          <w:sz w:val="20"/>
          <w:szCs w:val="20"/>
          <w:lang w:eastAsia="en-US"/>
        </w:rPr>
      </w:pPr>
      <w:r w:rsidRPr="009D5B83">
        <w:rPr>
          <w:i/>
          <w:iCs/>
          <w:sz w:val="20"/>
          <w:szCs w:val="20"/>
          <w:lang w:eastAsia="en-US"/>
        </w:rPr>
        <w:t>Источник:</w:t>
      </w:r>
      <w:r w:rsidRPr="009D5B83">
        <w:rPr>
          <w:sz w:val="20"/>
          <w:szCs w:val="20"/>
          <w:lang w:eastAsia="en-US"/>
        </w:rPr>
        <w:t xml:space="preserve"> Пояснительная записка.</w:t>
      </w:r>
    </w:p>
    <w:p w14:paraId="4302C4BE" w14:textId="77777777" w:rsidR="00ED366C" w:rsidRPr="009D5B83" w:rsidRDefault="00ED366C" w:rsidP="00ED366C">
      <w:pPr>
        <w:widowControl w:val="0"/>
        <w:autoSpaceDE w:val="0"/>
        <w:autoSpaceDN w:val="0"/>
        <w:adjustRightInd w:val="0"/>
        <w:jc w:val="both"/>
        <w:rPr>
          <w:lang w:eastAsia="en-US"/>
        </w:rPr>
      </w:pPr>
    </w:p>
    <w:p w14:paraId="5C428D15" w14:textId="3B152C7C" w:rsidR="00ED366C" w:rsidRPr="00E103B9" w:rsidRDefault="00ED366C" w:rsidP="00ED366C">
      <w:pPr>
        <w:widowControl w:val="0"/>
        <w:autoSpaceDE w:val="0"/>
        <w:autoSpaceDN w:val="0"/>
        <w:adjustRightInd w:val="0"/>
        <w:spacing w:after="120"/>
        <w:ind w:firstLine="709"/>
        <w:jc w:val="both"/>
        <w:rPr>
          <w:sz w:val="28"/>
          <w:lang w:eastAsia="en-US"/>
        </w:rPr>
      </w:pPr>
      <w:proofErr w:type="gramStart"/>
      <w:r w:rsidRPr="00E103B9">
        <w:rPr>
          <w:sz w:val="28"/>
          <w:lang w:eastAsia="en-US"/>
        </w:rPr>
        <w:t>При этом более заметный рост наблюдается у доли расходов на обслуживание госдолга в общем объеме расходов ФБ – с 5,1% в 2022 г. до 6,8% в 2025 г. Еще более наглядно видна тенденция увеличения доли процентных расходов в ФБ, если сравнить запланированные на 2025 г. значения, например, с докризисным 2019 г., когда процентные расходы составили 0,7% ВВП и всего 4,0% от</w:t>
      </w:r>
      <w:proofErr w:type="gramEnd"/>
      <w:r w:rsidRPr="00E103B9">
        <w:rPr>
          <w:sz w:val="28"/>
          <w:lang w:eastAsia="en-US"/>
        </w:rPr>
        <w:t xml:space="preserve"> совокупных бюджетных расходов.</w:t>
      </w:r>
    </w:p>
    <w:p w14:paraId="002B333A" w14:textId="20D9BFA6" w:rsidR="00ED366C" w:rsidRPr="00E103B9" w:rsidRDefault="00ED366C" w:rsidP="00ED366C">
      <w:pPr>
        <w:widowControl w:val="0"/>
        <w:autoSpaceDE w:val="0"/>
        <w:autoSpaceDN w:val="0"/>
        <w:adjustRightInd w:val="0"/>
        <w:spacing w:after="120"/>
        <w:ind w:firstLine="709"/>
        <w:jc w:val="both"/>
        <w:rPr>
          <w:sz w:val="28"/>
          <w:lang w:eastAsia="en-US"/>
        </w:rPr>
      </w:pPr>
      <w:r w:rsidRPr="00E103B9">
        <w:rPr>
          <w:sz w:val="28"/>
          <w:lang w:eastAsia="en-US"/>
        </w:rPr>
        <w:t xml:space="preserve">Динамика процентных расходов является естественным следствием наращивания объема государственного долга. Проведенные на выборке из 82 стран мира за период с 1995 по 2020 гг. расчеты </w:t>
      </w:r>
      <w:r w:rsidRPr="00E103B9">
        <w:rPr>
          <w:i/>
          <w:iCs/>
          <w:sz w:val="28"/>
          <w:lang w:eastAsia="en-US"/>
        </w:rPr>
        <w:t xml:space="preserve">(рисунок </w:t>
      </w:r>
      <w:r w:rsidR="0098620E" w:rsidRPr="00E103B9">
        <w:rPr>
          <w:i/>
          <w:iCs/>
          <w:sz w:val="28"/>
          <w:lang w:eastAsia="en-US"/>
        </w:rPr>
        <w:t>4</w:t>
      </w:r>
      <w:r w:rsidR="0056025D" w:rsidRPr="00E103B9">
        <w:rPr>
          <w:i/>
          <w:iCs/>
          <w:sz w:val="28"/>
          <w:lang w:eastAsia="en-US"/>
        </w:rPr>
        <w:t>)</w:t>
      </w:r>
      <w:r w:rsidRPr="00E103B9">
        <w:rPr>
          <w:sz w:val="28"/>
          <w:lang w:eastAsia="en-US"/>
        </w:rPr>
        <w:t>, использована модель с фиксированными эффектами, с временным лагом) демонстрируют, что влияние объема долга центрального правительства</w:t>
      </w:r>
      <w:r w:rsidRPr="00E103B9">
        <w:rPr>
          <w:sz w:val="28"/>
          <w:vertAlign w:val="superscript"/>
          <w:lang w:eastAsia="en-US"/>
        </w:rPr>
        <w:footnoteReference w:id="58"/>
      </w:r>
      <w:r w:rsidRPr="00E103B9">
        <w:rPr>
          <w:sz w:val="28"/>
          <w:lang w:eastAsia="en-US"/>
        </w:rPr>
        <w:t xml:space="preserve"> на процентные расходы</w:t>
      </w:r>
      <w:r w:rsidRPr="00E103B9">
        <w:rPr>
          <w:sz w:val="28"/>
          <w:vertAlign w:val="superscript"/>
          <w:lang w:eastAsia="en-US"/>
        </w:rPr>
        <w:footnoteReference w:id="59"/>
      </w:r>
      <w:r w:rsidRPr="00E103B9">
        <w:rPr>
          <w:sz w:val="28"/>
          <w:lang w:eastAsia="en-US"/>
        </w:rPr>
        <w:t xml:space="preserve"> положительное и статистически значимое. Другими словами, по мере накопления госдолга рост доли процентных расходов в общем объеме бюджетных расходов неизбежен.</w:t>
      </w:r>
    </w:p>
    <w:p w14:paraId="1458EE52" w14:textId="77777777" w:rsidR="00ED366C" w:rsidRPr="009D5B83" w:rsidRDefault="00ED366C" w:rsidP="00ED366C">
      <w:pPr>
        <w:widowControl w:val="0"/>
        <w:autoSpaceDE w:val="0"/>
        <w:autoSpaceDN w:val="0"/>
        <w:adjustRightInd w:val="0"/>
        <w:jc w:val="center"/>
        <w:rPr>
          <w:lang w:eastAsia="en-US"/>
        </w:rPr>
      </w:pPr>
      <w:r w:rsidRPr="009D5B83">
        <w:rPr>
          <w:noProof/>
          <w:sz w:val="22"/>
          <w:szCs w:val="22"/>
        </w:rPr>
        <w:lastRenderedPageBreak/>
        <w:drawing>
          <wp:inline distT="0" distB="0" distL="0" distR="0" wp14:anchorId="03F5BB6A" wp14:editId="0523873C">
            <wp:extent cx="4572000" cy="2743200"/>
            <wp:effectExtent l="0" t="0" r="0" b="0"/>
            <wp:docPr id="13" name="Диаграмма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2E4334-BD52-A1E7-F595-60858AD65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BB86C0" w14:textId="521B8E07" w:rsidR="00ED366C" w:rsidRPr="00DA2EDF" w:rsidRDefault="00ED366C" w:rsidP="00ED366C">
      <w:pPr>
        <w:widowControl w:val="0"/>
        <w:autoSpaceDE w:val="0"/>
        <w:autoSpaceDN w:val="0"/>
        <w:adjustRightInd w:val="0"/>
        <w:jc w:val="center"/>
        <w:rPr>
          <w:b/>
          <w:bCs/>
          <w:lang w:eastAsia="en-US"/>
        </w:rPr>
      </w:pPr>
      <w:r w:rsidRPr="00DA2EDF">
        <w:rPr>
          <w:b/>
          <w:bCs/>
          <w:i/>
          <w:iCs/>
          <w:lang w:eastAsia="en-US"/>
        </w:rPr>
        <w:t xml:space="preserve">Рисунок </w:t>
      </w:r>
      <w:r w:rsidR="0098620E" w:rsidRPr="009D5B83">
        <w:rPr>
          <w:b/>
          <w:bCs/>
          <w:i/>
          <w:iCs/>
          <w:lang w:eastAsia="en-US"/>
        </w:rPr>
        <w:t>4</w:t>
      </w:r>
      <w:r w:rsidR="0098620E" w:rsidRPr="009D5B83">
        <w:rPr>
          <w:b/>
          <w:bCs/>
          <w:lang w:eastAsia="en-US"/>
        </w:rPr>
        <w:t xml:space="preserve"> </w:t>
      </w:r>
      <w:r w:rsidRPr="00DA2EDF">
        <w:rPr>
          <w:b/>
          <w:bCs/>
          <w:lang w:eastAsia="en-US"/>
        </w:rPr>
        <w:t>- Зависимость доли процентных расходов (% от общих расходов, ось ординат) от величины долга центрального правительства (% ВВП, ось абсцисс)</w:t>
      </w:r>
    </w:p>
    <w:p w14:paraId="5F2D361E" w14:textId="77777777" w:rsidR="00ED366C" w:rsidRPr="009D5B83" w:rsidRDefault="00ED366C" w:rsidP="00ED366C">
      <w:pPr>
        <w:widowControl w:val="0"/>
        <w:autoSpaceDE w:val="0"/>
        <w:autoSpaceDN w:val="0"/>
        <w:adjustRightInd w:val="0"/>
        <w:spacing w:after="120"/>
        <w:ind w:firstLine="709"/>
        <w:jc w:val="both"/>
        <w:rPr>
          <w:lang w:eastAsia="en-US"/>
        </w:rPr>
      </w:pPr>
    </w:p>
    <w:p w14:paraId="6481FC0E" w14:textId="06248886" w:rsidR="00ED366C" w:rsidRPr="00E103B9" w:rsidRDefault="00ED366C" w:rsidP="00ED366C">
      <w:pPr>
        <w:widowControl w:val="0"/>
        <w:autoSpaceDE w:val="0"/>
        <w:autoSpaceDN w:val="0"/>
        <w:adjustRightInd w:val="0"/>
        <w:spacing w:after="120"/>
        <w:ind w:firstLine="709"/>
        <w:jc w:val="both"/>
        <w:rPr>
          <w:sz w:val="28"/>
          <w:lang w:eastAsia="en-US"/>
        </w:rPr>
      </w:pPr>
      <w:r w:rsidRPr="00E103B9">
        <w:rPr>
          <w:sz w:val="28"/>
          <w:lang w:eastAsia="en-US"/>
        </w:rPr>
        <w:t xml:space="preserve">Хотя по своему размеру накопленный Правительством РФ государственный долг на текущий момент по сравнению с большинством стран мира является более чем незначительным (порядка 16% ВВП), условия заимствований (сроки, доходность) могут существенным образом влиять на стоимость его обслуживания. </w:t>
      </w:r>
    </w:p>
    <w:p w14:paraId="69AF9926" w14:textId="77777777" w:rsidR="00ED366C" w:rsidRPr="00E103B9" w:rsidRDefault="00ED366C" w:rsidP="00ED366C">
      <w:pPr>
        <w:widowControl w:val="0"/>
        <w:autoSpaceDE w:val="0"/>
        <w:autoSpaceDN w:val="0"/>
        <w:adjustRightInd w:val="0"/>
        <w:spacing w:after="120"/>
        <w:ind w:firstLine="709"/>
        <w:jc w:val="both"/>
        <w:rPr>
          <w:sz w:val="28"/>
          <w:lang w:eastAsia="en-US"/>
        </w:rPr>
      </w:pPr>
      <w:r w:rsidRPr="00E103B9">
        <w:rPr>
          <w:sz w:val="28"/>
          <w:lang w:eastAsia="en-US"/>
        </w:rPr>
        <w:t>В то же время рост доли процентных расходов не столько оказывает заметное негативное влияние на бюджетную устойчивость, сколько явным образом ухудшает структуру и качество бюджетных расходов, вытесняя производительные траты. В первую очередь под давлением оказываются инвестиционные расходы бюджета как наиболее уязвимые в условиях вынужденной бюджетной консолидации.</w:t>
      </w:r>
    </w:p>
    <w:p w14:paraId="10932E82" w14:textId="617356E7" w:rsidR="00ED366C" w:rsidRPr="00E103B9" w:rsidRDefault="00ED366C" w:rsidP="00ED366C">
      <w:pPr>
        <w:widowControl w:val="0"/>
        <w:autoSpaceDE w:val="0"/>
        <w:autoSpaceDN w:val="0"/>
        <w:adjustRightInd w:val="0"/>
        <w:spacing w:after="120"/>
        <w:ind w:firstLine="709"/>
        <w:jc w:val="both"/>
        <w:rPr>
          <w:sz w:val="28"/>
          <w:lang w:eastAsia="en-US"/>
        </w:rPr>
      </w:pPr>
      <w:r w:rsidRPr="00E103B9">
        <w:rPr>
          <w:sz w:val="28"/>
          <w:lang w:eastAsia="en-US"/>
        </w:rPr>
        <w:t xml:space="preserve">Согласно нашим расчетам на выборке </w:t>
      </w:r>
      <w:r w:rsidR="008B3D8A" w:rsidRPr="00E103B9">
        <w:rPr>
          <w:sz w:val="28"/>
          <w:lang w:eastAsia="en-US"/>
        </w:rPr>
        <w:t>по</w:t>
      </w:r>
      <w:r w:rsidRPr="00E103B9">
        <w:rPr>
          <w:sz w:val="28"/>
          <w:lang w:eastAsia="en-US"/>
        </w:rPr>
        <w:t xml:space="preserve"> 33 странам ОЭСР за период с 1995 по 2020 гг. </w:t>
      </w:r>
      <w:r w:rsidRPr="00E103B9">
        <w:rPr>
          <w:i/>
          <w:iCs/>
          <w:sz w:val="28"/>
          <w:lang w:eastAsia="en-US"/>
        </w:rPr>
        <w:t xml:space="preserve">(рисунок </w:t>
      </w:r>
      <w:r w:rsidR="0098620E" w:rsidRPr="00E103B9">
        <w:rPr>
          <w:i/>
          <w:iCs/>
          <w:sz w:val="28"/>
          <w:lang w:eastAsia="en-US"/>
        </w:rPr>
        <w:t>5</w:t>
      </w:r>
      <w:r w:rsidR="0056025D" w:rsidRPr="00E103B9">
        <w:rPr>
          <w:i/>
          <w:iCs/>
          <w:sz w:val="28"/>
          <w:lang w:eastAsia="en-US"/>
        </w:rPr>
        <w:t>)</w:t>
      </w:r>
      <w:r w:rsidRPr="00E103B9">
        <w:rPr>
          <w:sz w:val="28"/>
          <w:lang w:eastAsia="en-US"/>
        </w:rPr>
        <w:t>, использована модель с фиксированными эффектами), влияние расходов на обслуживание госдолга</w:t>
      </w:r>
      <w:r w:rsidRPr="00E103B9">
        <w:rPr>
          <w:sz w:val="28"/>
          <w:vertAlign w:val="superscript"/>
          <w:lang w:eastAsia="en-US"/>
        </w:rPr>
        <w:footnoteReference w:id="60"/>
      </w:r>
      <w:r w:rsidRPr="00E103B9">
        <w:rPr>
          <w:sz w:val="28"/>
          <w:lang w:eastAsia="en-US"/>
        </w:rPr>
        <w:t xml:space="preserve"> на инвестиционные расходы</w:t>
      </w:r>
      <w:r w:rsidRPr="00E103B9">
        <w:rPr>
          <w:sz w:val="28"/>
          <w:vertAlign w:val="superscript"/>
          <w:lang w:eastAsia="en-US"/>
        </w:rPr>
        <w:footnoteReference w:id="61"/>
      </w:r>
      <w:r w:rsidRPr="00E103B9">
        <w:rPr>
          <w:sz w:val="28"/>
          <w:lang w:eastAsia="en-US"/>
        </w:rPr>
        <w:t xml:space="preserve"> отрицательное и статистически значимое, а эластичность инвестиционных расходов по расходам на обслуживание долга составляет от -0.23 до -0.25. Другими словами, увеличение расходов на обслуживание госдолга в долях от совокупных расходов на 4 </w:t>
      </w:r>
      <w:proofErr w:type="spellStart"/>
      <w:r w:rsidR="008B3D8A" w:rsidRPr="00E103B9">
        <w:rPr>
          <w:sz w:val="28"/>
          <w:lang w:eastAsia="en-US"/>
        </w:rPr>
        <w:t>п.п</w:t>
      </w:r>
      <w:proofErr w:type="spellEnd"/>
      <w:r w:rsidR="008B3D8A" w:rsidRPr="00E103B9">
        <w:rPr>
          <w:sz w:val="28"/>
          <w:lang w:eastAsia="en-US"/>
        </w:rPr>
        <w:t>.</w:t>
      </w:r>
      <w:r w:rsidRPr="00E103B9">
        <w:rPr>
          <w:sz w:val="28"/>
          <w:lang w:eastAsia="en-US"/>
        </w:rPr>
        <w:t xml:space="preserve"> способно приводить к падению доли инвестиционных расходов в совокупных расходах бюджета на 1 </w:t>
      </w:r>
      <w:proofErr w:type="spellStart"/>
      <w:r w:rsidR="008B3D8A" w:rsidRPr="00E103B9">
        <w:rPr>
          <w:sz w:val="28"/>
          <w:lang w:eastAsia="en-US"/>
        </w:rPr>
        <w:t>п.п</w:t>
      </w:r>
      <w:proofErr w:type="spellEnd"/>
      <w:r w:rsidRPr="00E103B9">
        <w:rPr>
          <w:sz w:val="28"/>
          <w:lang w:eastAsia="en-US"/>
        </w:rPr>
        <w:t>.</w:t>
      </w:r>
    </w:p>
    <w:p w14:paraId="796BF3AF" w14:textId="77777777" w:rsidR="00ED366C" w:rsidRPr="009D5B83" w:rsidRDefault="00ED366C" w:rsidP="00ED366C">
      <w:pPr>
        <w:widowControl w:val="0"/>
        <w:autoSpaceDE w:val="0"/>
        <w:autoSpaceDN w:val="0"/>
        <w:adjustRightInd w:val="0"/>
        <w:spacing w:after="120"/>
        <w:ind w:firstLine="709"/>
        <w:jc w:val="both"/>
        <w:rPr>
          <w:lang w:eastAsia="en-US"/>
        </w:rPr>
      </w:pPr>
      <w:r w:rsidRPr="009D5B83">
        <w:rPr>
          <w:noProof/>
          <w:sz w:val="22"/>
          <w:szCs w:val="22"/>
        </w:rPr>
        <w:lastRenderedPageBreak/>
        <w:drawing>
          <wp:inline distT="0" distB="0" distL="0" distR="0" wp14:anchorId="3F07C557" wp14:editId="282A6B74">
            <wp:extent cx="5536407" cy="2743200"/>
            <wp:effectExtent l="0" t="0" r="7620" b="0"/>
            <wp:docPr id="14" name="Диаграмма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B2BAEB-2830-992F-D99F-7AFD65F38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708533" w14:textId="003C0CFE" w:rsidR="00ED366C" w:rsidRPr="00E103B9" w:rsidRDefault="00ED366C" w:rsidP="00DA2EDF">
      <w:pPr>
        <w:widowControl w:val="0"/>
        <w:autoSpaceDE w:val="0"/>
        <w:autoSpaceDN w:val="0"/>
        <w:adjustRightInd w:val="0"/>
        <w:spacing w:after="120"/>
        <w:jc w:val="center"/>
        <w:rPr>
          <w:b/>
          <w:bCs/>
          <w:sz w:val="28"/>
          <w:lang w:eastAsia="en-US"/>
        </w:rPr>
      </w:pPr>
      <w:r w:rsidRPr="00E103B9">
        <w:rPr>
          <w:b/>
          <w:bCs/>
          <w:i/>
          <w:iCs/>
          <w:sz w:val="28"/>
          <w:lang w:eastAsia="en-US"/>
        </w:rPr>
        <w:t xml:space="preserve">Рисунок </w:t>
      </w:r>
      <w:r w:rsidR="0098620E" w:rsidRPr="00E103B9">
        <w:rPr>
          <w:b/>
          <w:bCs/>
          <w:i/>
          <w:iCs/>
          <w:sz w:val="28"/>
          <w:lang w:eastAsia="en-US"/>
        </w:rPr>
        <w:t>5</w:t>
      </w:r>
      <w:r w:rsidRPr="00E103B9">
        <w:rPr>
          <w:b/>
          <w:bCs/>
          <w:sz w:val="28"/>
          <w:lang w:eastAsia="en-US"/>
        </w:rPr>
        <w:t xml:space="preserve"> – Зависимость доли государственных инвестиций (% от общих расходов, ось ординат) от доли расходов на обслуживание долга (% от общих расходов, ось абсцисс)</w:t>
      </w:r>
    </w:p>
    <w:p w14:paraId="20B2BC7D" w14:textId="77777777" w:rsidR="00ED366C" w:rsidRPr="00E103B9" w:rsidRDefault="00ED366C" w:rsidP="00ED366C">
      <w:pPr>
        <w:widowControl w:val="0"/>
        <w:autoSpaceDE w:val="0"/>
        <w:autoSpaceDN w:val="0"/>
        <w:adjustRightInd w:val="0"/>
        <w:spacing w:after="120"/>
        <w:ind w:firstLine="709"/>
        <w:jc w:val="both"/>
        <w:rPr>
          <w:b/>
          <w:bCs/>
          <w:sz w:val="28"/>
          <w:lang w:eastAsia="en-US"/>
        </w:rPr>
      </w:pPr>
      <w:r w:rsidRPr="00E103B9">
        <w:rPr>
          <w:sz w:val="28"/>
          <w:lang w:eastAsia="en-US"/>
        </w:rPr>
        <w:t>Таким образом, наметившаяся в последние годы и продолжающаяся в среднесрочной перспективе динамика расходов федерального бюджета на обслуживание государственного долга таит в себе определенный риск вытеснения производительных расходов, в первую очередь инвестиционного характера, и тем самым снижения эффективности бюджетной политики в целом.</w:t>
      </w:r>
      <w:r w:rsidRPr="00E103B9">
        <w:rPr>
          <w:b/>
          <w:bCs/>
          <w:sz w:val="28"/>
          <w:lang w:eastAsia="en-US"/>
        </w:rPr>
        <w:t xml:space="preserve">  </w:t>
      </w:r>
    </w:p>
    <w:p w14:paraId="352A9725" w14:textId="3261ED56" w:rsidR="00963B7F" w:rsidRPr="009D5B83" w:rsidRDefault="00963B7F" w:rsidP="00963B7F">
      <w:pPr>
        <w:rPr>
          <w:b/>
        </w:rPr>
      </w:pPr>
      <w:r w:rsidRPr="009D5B83">
        <w:rPr>
          <w:b/>
        </w:rPr>
        <w:br w:type="page"/>
      </w:r>
    </w:p>
    <w:p w14:paraId="49221A32" w14:textId="2B4D17AC" w:rsidR="00995E45" w:rsidRPr="00E103B9" w:rsidRDefault="00995E45" w:rsidP="0080056C">
      <w:pPr>
        <w:pStyle w:val="afc"/>
        <w:keepNext/>
        <w:numPr>
          <w:ilvl w:val="0"/>
          <w:numId w:val="19"/>
        </w:numPr>
        <w:spacing w:before="240" w:after="360"/>
        <w:jc w:val="center"/>
        <w:outlineLvl w:val="0"/>
        <w:rPr>
          <w:b/>
          <w:kern w:val="28"/>
          <w:sz w:val="32"/>
        </w:rPr>
      </w:pPr>
      <w:bookmarkStart w:id="43" w:name="_Toc116593946"/>
      <w:r w:rsidRPr="00E103B9">
        <w:rPr>
          <w:b/>
          <w:kern w:val="28"/>
          <w:sz w:val="32"/>
        </w:rPr>
        <w:lastRenderedPageBreak/>
        <w:t>Финансовые взаимоотношения с регионами</w:t>
      </w:r>
      <w:bookmarkEnd w:id="41"/>
      <w:bookmarkEnd w:id="43"/>
    </w:p>
    <w:p w14:paraId="53145807" w14:textId="270BDD7D" w:rsidR="004455C6" w:rsidRPr="00E103B9" w:rsidRDefault="004455C6" w:rsidP="004455C6">
      <w:pPr>
        <w:spacing w:after="120"/>
        <w:ind w:firstLine="709"/>
        <w:jc w:val="both"/>
        <w:rPr>
          <w:rFonts w:eastAsia="Calibri"/>
          <w:sz w:val="28"/>
          <w:lang w:eastAsia="en-US"/>
        </w:rPr>
      </w:pPr>
      <w:r w:rsidRPr="00E103B9">
        <w:rPr>
          <w:rFonts w:eastAsia="Calibri"/>
          <w:sz w:val="28"/>
          <w:lang w:eastAsia="en-US"/>
        </w:rPr>
        <w:t xml:space="preserve">Прогнозные значения параметров субфедеральных бюджетов на период 2023–2025 гг. сформированы исходя из позиции </w:t>
      </w:r>
      <w:r w:rsidR="00492C32" w:rsidRPr="00E103B9">
        <w:rPr>
          <w:rFonts w:eastAsia="Calibri"/>
          <w:sz w:val="28"/>
          <w:lang w:eastAsia="en-US"/>
        </w:rPr>
        <w:t>«</w:t>
      </w:r>
      <w:r w:rsidRPr="00E103B9">
        <w:rPr>
          <w:rFonts w:eastAsia="Calibri"/>
          <w:sz w:val="28"/>
          <w:lang w:eastAsia="en-US"/>
        </w:rPr>
        <w:t>осторожного оптимизма</w:t>
      </w:r>
      <w:r w:rsidR="00492C32" w:rsidRPr="00E103B9">
        <w:rPr>
          <w:rFonts w:eastAsia="Calibri"/>
          <w:sz w:val="28"/>
          <w:lang w:eastAsia="en-US"/>
        </w:rPr>
        <w:t>»</w:t>
      </w:r>
      <w:r w:rsidRPr="00E103B9">
        <w:rPr>
          <w:rFonts w:eastAsia="Calibri"/>
          <w:sz w:val="28"/>
          <w:lang w:eastAsia="en-US"/>
        </w:rPr>
        <w:t xml:space="preserve">: в соответствии с </w:t>
      </w:r>
      <w:r w:rsidRPr="00E103B9">
        <w:rPr>
          <w:rFonts w:eastAsia="Calibri"/>
          <w:sz w:val="28"/>
          <w:szCs w:val="22"/>
          <w:lang w:eastAsia="en-US"/>
        </w:rPr>
        <w:t>ОНБНТТП</w:t>
      </w:r>
      <w:r w:rsidRPr="00E103B9">
        <w:rPr>
          <w:rFonts w:eastAsia="Calibri"/>
          <w:sz w:val="28"/>
          <w:lang w:eastAsia="en-US"/>
        </w:rPr>
        <w:t xml:space="preserve"> доходы регионов в реальном выражении</w:t>
      </w:r>
      <w:r w:rsidRPr="00E103B9">
        <w:rPr>
          <w:rFonts w:eastAsia="Calibri"/>
          <w:sz w:val="28"/>
          <w:vertAlign w:val="superscript"/>
          <w:lang w:eastAsia="en-US"/>
        </w:rPr>
        <w:footnoteReference w:id="62"/>
      </w:r>
      <w:r w:rsidRPr="00E103B9">
        <w:rPr>
          <w:rFonts w:eastAsia="Calibri"/>
          <w:sz w:val="28"/>
          <w:lang w:eastAsia="en-US"/>
        </w:rPr>
        <w:t xml:space="preserve"> снизятся в 2023 г., однако с 2024 г. они возобновят рост, который продолжится и в 2025 г. Аналогичная динамика предполагается и в отношении расходов (</w:t>
      </w:r>
      <w:r w:rsidRPr="00E103B9">
        <w:rPr>
          <w:rFonts w:eastAsia="Calibri"/>
          <w:i/>
          <w:iCs/>
          <w:sz w:val="28"/>
          <w:lang w:eastAsia="en-US"/>
        </w:rPr>
        <w:t>таблица</w:t>
      </w:r>
      <w:r w:rsidR="0098620E" w:rsidRPr="00E103B9">
        <w:rPr>
          <w:rFonts w:eastAsia="Calibri"/>
          <w:i/>
          <w:iCs/>
          <w:sz w:val="28"/>
          <w:lang w:eastAsia="en-US"/>
        </w:rPr>
        <w:t xml:space="preserve"> </w:t>
      </w:r>
      <w:r w:rsidR="007931B0" w:rsidRPr="00E103B9">
        <w:rPr>
          <w:rFonts w:eastAsia="Calibri"/>
          <w:i/>
          <w:iCs/>
          <w:sz w:val="28"/>
          <w:lang w:eastAsia="en-US"/>
        </w:rPr>
        <w:t>32</w:t>
      </w:r>
      <w:r w:rsidRPr="00E103B9">
        <w:rPr>
          <w:rFonts w:eastAsia="Calibri"/>
          <w:sz w:val="28"/>
          <w:lang w:eastAsia="en-US"/>
        </w:rPr>
        <w:t xml:space="preserve">). При этом запланированный дефицит консолидированных бюджетов российских регионов в 2023 г. составит 0,5% от прогноза налоговых и неналоговых доходов, а в плановом периоде 2024–2025 гг. будет снижаться на 0,01 </w:t>
      </w:r>
      <w:proofErr w:type="spellStart"/>
      <w:r w:rsidR="001A0136" w:rsidRPr="00E103B9">
        <w:rPr>
          <w:rFonts w:eastAsia="Calibri"/>
          <w:sz w:val="28"/>
          <w:lang w:eastAsia="en-US"/>
        </w:rPr>
        <w:t>п.п</w:t>
      </w:r>
      <w:proofErr w:type="spellEnd"/>
      <w:r w:rsidR="001A0136" w:rsidRPr="00E103B9">
        <w:rPr>
          <w:rFonts w:eastAsia="Calibri"/>
          <w:sz w:val="28"/>
          <w:lang w:eastAsia="en-US"/>
        </w:rPr>
        <w:t>.</w:t>
      </w:r>
      <w:r w:rsidRPr="00E103B9">
        <w:rPr>
          <w:rFonts w:eastAsia="Calibri"/>
          <w:sz w:val="28"/>
          <w:lang w:eastAsia="en-US"/>
        </w:rPr>
        <w:t xml:space="preserve"> в год.</w:t>
      </w:r>
    </w:p>
    <w:p w14:paraId="338680A1" w14:textId="2E482975" w:rsidR="004455C6" w:rsidRPr="009D5B83" w:rsidRDefault="004455C6" w:rsidP="004455C6">
      <w:pPr>
        <w:spacing w:line="360" w:lineRule="auto"/>
        <w:jc w:val="right"/>
        <w:rPr>
          <w:rFonts w:eastAsia="Calibri"/>
          <w:i/>
          <w:iCs/>
          <w:szCs w:val="22"/>
          <w:lang w:eastAsia="en-US"/>
        </w:rPr>
      </w:pPr>
      <w:r w:rsidRPr="009D5B83">
        <w:rPr>
          <w:rFonts w:eastAsia="Calibri"/>
          <w:i/>
          <w:iCs/>
          <w:szCs w:val="22"/>
          <w:lang w:eastAsia="en-US"/>
        </w:rPr>
        <w:t xml:space="preserve">Таблица </w:t>
      </w:r>
      <w:r w:rsidR="007931B0" w:rsidRPr="009D5B83">
        <w:rPr>
          <w:rFonts w:eastAsia="Calibri"/>
          <w:i/>
          <w:iCs/>
          <w:szCs w:val="22"/>
          <w:lang w:eastAsia="en-US"/>
        </w:rPr>
        <w:t>32</w:t>
      </w:r>
    </w:p>
    <w:p w14:paraId="4E81D517" w14:textId="28C1F2A6" w:rsidR="004455C6" w:rsidRPr="009D5B83" w:rsidRDefault="004455C6" w:rsidP="004455C6">
      <w:pPr>
        <w:spacing w:line="360" w:lineRule="auto"/>
        <w:jc w:val="center"/>
        <w:rPr>
          <w:rFonts w:eastAsia="Calibri"/>
          <w:b/>
          <w:bCs/>
          <w:szCs w:val="22"/>
          <w:lang w:eastAsia="en-US"/>
        </w:rPr>
      </w:pPr>
      <w:r w:rsidRPr="009D5B83">
        <w:rPr>
          <w:rFonts w:eastAsia="Calibri"/>
          <w:b/>
          <w:bCs/>
          <w:szCs w:val="22"/>
          <w:lang w:eastAsia="en-US"/>
        </w:rPr>
        <w:t>Основные параметры консолидированных региональных бюджетов</w:t>
      </w:r>
    </w:p>
    <w:tbl>
      <w:tblPr>
        <w:tblStyle w:val="42"/>
        <w:tblW w:w="0" w:type="auto"/>
        <w:tblInd w:w="0" w:type="dxa"/>
        <w:tblLayout w:type="fixed"/>
        <w:tblLook w:val="04A0" w:firstRow="1" w:lastRow="0" w:firstColumn="1" w:lastColumn="0" w:noHBand="0" w:noVBand="1"/>
      </w:tblPr>
      <w:tblGrid>
        <w:gridCol w:w="2830"/>
        <w:gridCol w:w="930"/>
        <w:gridCol w:w="931"/>
        <w:gridCol w:w="931"/>
        <w:gridCol w:w="930"/>
        <w:gridCol w:w="931"/>
        <w:gridCol w:w="931"/>
        <w:gridCol w:w="931"/>
      </w:tblGrid>
      <w:tr w:rsidR="004455C6" w:rsidRPr="009D5B83" w14:paraId="7169AFFB" w14:textId="77777777" w:rsidTr="004455C6">
        <w:trPr>
          <w:trHeight w:val="280"/>
          <w:tblHeader/>
        </w:trPr>
        <w:tc>
          <w:tcPr>
            <w:tcW w:w="2830" w:type="dxa"/>
            <w:tcBorders>
              <w:top w:val="single" w:sz="4" w:space="0" w:color="auto"/>
              <w:left w:val="single" w:sz="4" w:space="0" w:color="auto"/>
              <w:bottom w:val="single" w:sz="4" w:space="0" w:color="auto"/>
              <w:right w:val="single" w:sz="4" w:space="0" w:color="auto"/>
            </w:tcBorders>
            <w:noWrap/>
            <w:hideMark/>
          </w:tcPr>
          <w:p w14:paraId="65D8B74F" w14:textId="77777777"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Показатель</w:t>
            </w:r>
          </w:p>
        </w:tc>
        <w:tc>
          <w:tcPr>
            <w:tcW w:w="930" w:type="dxa"/>
            <w:tcBorders>
              <w:top w:val="single" w:sz="4" w:space="0" w:color="auto"/>
              <w:left w:val="single" w:sz="4" w:space="0" w:color="auto"/>
              <w:bottom w:val="single" w:sz="4" w:space="0" w:color="auto"/>
              <w:right w:val="single" w:sz="4" w:space="0" w:color="auto"/>
            </w:tcBorders>
            <w:hideMark/>
          </w:tcPr>
          <w:p w14:paraId="45FD3760" w14:textId="5C86D66F"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2019 г.</w:t>
            </w:r>
          </w:p>
        </w:tc>
        <w:tc>
          <w:tcPr>
            <w:tcW w:w="931" w:type="dxa"/>
            <w:tcBorders>
              <w:top w:val="single" w:sz="4" w:space="0" w:color="auto"/>
              <w:left w:val="single" w:sz="4" w:space="0" w:color="auto"/>
              <w:bottom w:val="single" w:sz="4" w:space="0" w:color="auto"/>
              <w:right w:val="single" w:sz="4" w:space="0" w:color="auto"/>
            </w:tcBorders>
            <w:hideMark/>
          </w:tcPr>
          <w:p w14:paraId="1E424A60" w14:textId="1CE3BE29"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2020 г.</w:t>
            </w:r>
          </w:p>
        </w:tc>
        <w:tc>
          <w:tcPr>
            <w:tcW w:w="931" w:type="dxa"/>
            <w:tcBorders>
              <w:top w:val="single" w:sz="4" w:space="0" w:color="auto"/>
              <w:left w:val="single" w:sz="4" w:space="0" w:color="auto"/>
              <w:bottom w:val="single" w:sz="4" w:space="0" w:color="auto"/>
              <w:right w:val="single" w:sz="4" w:space="0" w:color="auto"/>
            </w:tcBorders>
            <w:noWrap/>
            <w:hideMark/>
          </w:tcPr>
          <w:p w14:paraId="702BF8F3" w14:textId="4E328F7B"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2021 г.</w:t>
            </w:r>
          </w:p>
        </w:tc>
        <w:tc>
          <w:tcPr>
            <w:tcW w:w="930" w:type="dxa"/>
            <w:tcBorders>
              <w:top w:val="single" w:sz="4" w:space="0" w:color="auto"/>
              <w:left w:val="single" w:sz="4" w:space="0" w:color="auto"/>
              <w:bottom w:val="single" w:sz="4" w:space="0" w:color="auto"/>
              <w:right w:val="single" w:sz="4" w:space="0" w:color="auto"/>
            </w:tcBorders>
            <w:noWrap/>
            <w:hideMark/>
          </w:tcPr>
          <w:p w14:paraId="61FA6555" w14:textId="2D31CF48"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2022 г.</w:t>
            </w:r>
          </w:p>
        </w:tc>
        <w:tc>
          <w:tcPr>
            <w:tcW w:w="931" w:type="dxa"/>
            <w:tcBorders>
              <w:top w:val="single" w:sz="4" w:space="0" w:color="auto"/>
              <w:left w:val="single" w:sz="4" w:space="0" w:color="auto"/>
              <w:bottom w:val="single" w:sz="4" w:space="0" w:color="auto"/>
              <w:right w:val="single" w:sz="4" w:space="0" w:color="auto"/>
            </w:tcBorders>
            <w:noWrap/>
            <w:hideMark/>
          </w:tcPr>
          <w:p w14:paraId="5E0E4CD0" w14:textId="04806DA5"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2023 г.</w:t>
            </w:r>
          </w:p>
        </w:tc>
        <w:tc>
          <w:tcPr>
            <w:tcW w:w="931" w:type="dxa"/>
            <w:tcBorders>
              <w:top w:val="single" w:sz="4" w:space="0" w:color="auto"/>
              <w:left w:val="single" w:sz="4" w:space="0" w:color="auto"/>
              <w:bottom w:val="single" w:sz="4" w:space="0" w:color="auto"/>
              <w:right w:val="single" w:sz="4" w:space="0" w:color="auto"/>
            </w:tcBorders>
            <w:noWrap/>
            <w:hideMark/>
          </w:tcPr>
          <w:p w14:paraId="65A5A6B8" w14:textId="7820D8F7"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2024 г.</w:t>
            </w:r>
          </w:p>
        </w:tc>
        <w:tc>
          <w:tcPr>
            <w:tcW w:w="931" w:type="dxa"/>
            <w:tcBorders>
              <w:top w:val="single" w:sz="4" w:space="0" w:color="auto"/>
              <w:left w:val="single" w:sz="4" w:space="0" w:color="auto"/>
              <w:bottom w:val="single" w:sz="4" w:space="0" w:color="auto"/>
              <w:right w:val="single" w:sz="4" w:space="0" w:color="auto"/>
            </w:tcBorders>
            <w:noWrap/>
            <w:hideMark/>
          </w:tcPr>
          <w:p w14:paraId="1EF9D4E9" w14:textId="20ECA3AE" w:rsidR="004455C6" w:rsidRPr="009D5B83" w:rsidRDefault="004455C6" w:rsidP="004455C6">
            <w:pPr>
              <w:jc w:val="center"/>
              <w:rPr>
                <w:rFonts w:ascii="Times New Roman" w:hAnsi="Times New Roman"/>
                <w:b/>
                <w:bCs/>
                <w:sz w:val="20"/>
                <w:szCs w:val="20"/>
              </w:rPr>
            </w:pPr>
            <w:r w:rsidRPr="009D5B83">
              <w:rPr>
                <w:rFonts w:ascii="Times New Roman" w:hAnsi="Times New Roman"/>
                <w:b/>
                <w:bCs/>
                <w:sz w:val="20"/>
                <w:szCs w:val="20"/>
              </w:rPr>
              <w:t>2025 г.</w:t>
            </w:r>
          </w:p>
        </w:tc>
      </w:tr>
      <w:tr w:rsidR="004455C6" w:rsidRPr="009D5B83" w14:paraId="1F794010" w14:textId="77777777" w:rsidTr="004455C6">
        <w:trPr>
          <w:trHeight w:val="280"/>
        </w:trPr>
        <w:tc>
          <w:tcPr>
            <w:tcW w:w="9345" w:type="dxa"/>
            <w:gridSpan w:val="8"/>
            <w:tcBorders>
              <w:top w:val="single" w:sz="4" w:space="0" w:color="auto"/>
              <w:left w:val="single" w:sz="4" w:space="0" w:color="auto"/>
              <w:bottom w:val="single" w:sz="4" w:space="0" w:color="auto"/>
              <w:right w:val="single" w:sz="4" w:space="0" w:color="auto"/>
            </w:tcBorders>
            <w:hideMark/>
          </w:tcPr>
          <w:p w14:paraId="7E911901" w14:textId="77777777" w:rsidR="004455C6" w:rsidRPr="009D5B83" w:rsidRDefault="004455C6" w:rsidP="004455C6">
            <w:pPr>
              <w:jc w:val="center"/>
              <w:rPr>
                <w:rFonts w:ascii="Times New Roman" w:hAnsi="Times New Roman"/>
                <w:sz w:val="20"/>
                <w:szCs w:val="20"/>
              </w:rPr>
            </w:pPr>
            <w:r w:rsidRPr="009D5B83">
              <w:rPr>
                <w:rFonts w:ascii="Times New Roman" w:hAnsi="Times New Roman"/>
                <w:b/>
                <w:bCs/>
                <w:i/>
                <w:iCs/>
                <w:sz w:val="20"/>
                <w:szCs w:val="20"/>
              </w:rPr>
              <w:t xml:space="preserve">Номинальный объем, </w:t>
            </w:r>
            <w:proofErr w:type="gramStart"/>
            <w:r w:rsidRPr="009D5B83">
              <w:rPr>
                <w:rFonts w:ascii="Times New Roman" w:hAnsi="Times New Roman"/>
                <w:b/>
                <w:bCs/>
                <w:i/>
                <w:iCs/>
                <w:sz w:val="20"/>
                <w:szCs w:val="20"/>
              </w:rPr>
              <w:t>млрд</w:t>
            </w:r>
            <w:proofErr w:type="gramEnd"/>
            <w:r w:rsidRPr="009D5B83">
              <w:rPr>
                <w:rFonts w:ascii="Times New Roman" w:hAnsi="Times New Roman"/>
                <w:b/>
                <w:bCs/>
                <w:i/>
                <w:iCs/>
                <w:sz w:val="20"/>
                <w:szCs w:val="20"/>
              </w:rPr>
              <w:t xml:space="preserve"> руб.</w:t>
            </w:r>
          </w:p>
        </w:tc>
      </w:tr>
      <w:tr w:rsidR="004455C6" w:rsidRPr="009D5B83" w14:paraId="0FD6A514"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099B73AB" w14:textId="0D3CC993" w:rsidR="004455C6" w:rsidRPr="009D5B83" w:rsidRDefault="004455C6" w:rsidP="004455C6">
            <w:pPr>
              <w:rPr>
                <w:rFonts w:ascii="Times New Roman" w:hAnsi="Times New Roman"/>
                <w:b/>
                <w:bCs/>
                <w:sz w:val="20"/>
                <w:szCs w:val="20"/>
              </w:rPr>
            </w:pPr>
            <w:r w:rsidRPr="009D5B83">
              <w:rPr>
                <w:rFonts w:ascii="Times New Roman" w:hAnsi="Times New Roman"/>
                <w:b/>
                <w:bCs/>
                <w:sz w:val="20"/>
                <w:szCs w:val="20"/>
              </w:rPr>
              <w:t xml:space="preserve">Доходы, </w:t>
            </w:r>
            <w:r w:rsidR="002606E9">
              <w:rPr>
                <w:rFonts w:ascii="Times New Roman" w:hAnsi="Times New Roman"/>
                <w:b/>
                <w:bCs/>
                <w:sz w:val="20"/>
                <w:szCs w:val="20"/>
              </w:rPr>
              <w:t>ВСЕГО</w:t>
            </w:r>
          </w:p>
        </w:tc>
        <w:tc>
          <w:tcPr>
            <w:tcW w:w="930" w:type="dxa"/>
            <w:tcBorders>
              <w:top w:val="single" w:sz="4" w:space="0" w:color="auto"/>
              <w:left w:val="single" w:sz="4" w:space="0" w:color="auto"/>
              <w:bottom w:val="single" w:sz="4" w:space="0" w:color="auto"/>
              <w:right w:val="single" w:sz="4" w:space="0" w:color="auto"/>
            </w:tcBorders>
            <w:vAlign w:val="center"/>
            <w:hideMark/>
          </w:tcPr>
          <w:p w14:paraId="2BB11009" w14:textId="77777777" w:rsidR="004455C6" w:rsidRPr="009D5B83" w:rsidRDefault="004455C6" w:rsidP="004455C6">
            <w:pPr>
              <w:jc w:val="right"/>
              <w:rPr>
                <w:rFonts w:ascii="Times New Roman" w:hAnsi="Times New Roman"/>
                <w:b/>
                <w:bCs/>
                <w:color w:val="000000"/>
                <w:sz w:val="20"/>
                <w:szCs w:val="20"/>
              </w:rPr>
            </w:pPr>
            <w:r w:rsidRPr="009D5B83">
              <w:rPr>
                <w:rFonts w:ascii="Times New Roman" w:hAnsi="Times New Roman"/>
                <w:b/>
                <w:bCs/>
                <w:color w:val="000000"/>
                <w:sz w:val="20"/>
                <w:szCs w:val="20"/>
              </w:rPr>
              <w:t>13 572,3</w:t>
            </w:r>
          </w:p>
        </w:tc>
        <w:tc>
          <w:tcPr>
            <w:tcW w:w="931" w:type="dxa"/>
            <w:tcBorders>
              <w:top w:val="single" w:sz="4" w:space="0" w:color="auto"/>
              <w:left w:val="single" w:sz="4" w:space="0" w:color="auto"/>
              <w:bottom w:val="single" w:sz="4" w:space="0" w:color="auto"/>
              <w:right w:val="single" w:sz="4" w:space="0" w:color="auto"/>
            </w:tcBorders>
            <w:vAlign w:val="center"/>
            <w:hideMark/>
          </w:tcPr>
          <w:p w14:paraId="42C0E37D" w14:textId="77777777" w:rsidR="004455C6" w:rsidRPr="009D5B83" w:rsidRDefault="004455C6" w:rsidP="004455C6">
            <w:pPr>
              <w:jc w:val="right"/>
              <w:rPr>
                <w:rFonts w:ascii="Times New Roman" w:hAnsi="Times New Roman"/>
                <w:b/>
                <w:bCs/>
                <w:sz w:val="20"/>
                <w:szCs w:val="20"/>
              </w:rPr>
            </w:pPr>
            <w:r w:rsidRPr="009D5B83">
              <w:rPr>
                <w:rFonts w:ascii="Times New Roman" w:hAnsi="Times New Roman"/>
                <w:b/>
                <w:bCs/>
                <w:color w:val="000000"/>
                <w:sz w:val="20"/>
                <w:szCs w:val="20"/>
              </w:rPr>
              <w:t>14 901,2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CE4116A" w14:textId="77777777" w:rsidR="004455C6" w:rsidRPr="009D5B83" w:rsidRDefault="004455C6" w:rsidP="004455C6">
            <w:pPr>
              <w:jc w:val="right"/>
              <w:rPr>
                <w:rFonts w:ascii="Times New Roman" w:hAnsi="Times New Roman"/>
                <w:b/>
                <w:bCs/>
                <w:sz w:val="20"/>
                <w:szCs w:val="20"/>
              </w:rPr>
            </w:pPr>
            <w:r w:rsidRPr="009D5B83">
              <w:rPr>
                <w:rFonts w:ascii="Times New Roman" w:hAnsi="Times New Roman"/>
                <w:b/>
                <w:bCs/>
                <w:sz w:val="20"/>
                <w:szCs w:val="20"/>
              </w:rPr>
              <w:t>17 542,7</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547D1BFF" w14:textId="77777777" w:rsidR="004455C6" w:rsidRPr="009D5B83" w:rsidRDefault="004455C6" w:rsidP="004455C6">
            <w:pPr>
              <w:jc w:val="right"/>
              <w:rPr>
                <w:rFonts w:ascii="Times New Roman" w:hAnsi="Times New Roman"/>
                <w:b/>
                <w:bCs/>
                <w:sz w:val="20"/>
                <w:szCs w:val="20"/>
              </w:rPr>
            </w:pPr>
            <w:r w:rsidRPr="009D5B83">
              <w:rPr>
                <w:rFonts w:ascii="Times New Roman" w:hAnsi="Times New Roman"/>
                <w:b/>
                <w:bCs/>
                <w:sz w:val="20"/>
                <w:szCs w:val="20"/>
              </w:rPr>
              <w:t>19 174,1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EA7F5A7" w14:textId="77777777" w:rsidR="004455C6" w:rsidRPr="009D5B83" w:rsidRDefault="004455C6" w:rsidP="004455C6">
            <w:pPr>
              <w:jc w:val="right"/>
              <w:rPr>
                <w:rFonts w:ascii="Times New Roman" w:hAnsi="Times New Roman"/>
                <w:b/>
                <w:bCs/>
                <w:sz w:val="20"/>
                <w:szCs w:val="20"/>
              </w:rPr>
            </w:pPr>
            <w:r w:rsidRPr="009D5B83">
              <w:rPr>
                <w:rFonts w:ascii="Times New Roman" w:hAnsi="Times New Roman"/>
                <w:b/>
                <w:bCs/>
                <w:sz w:val="20"/>
                <w:szCs w:val="20"/>
              </w:rPr>
              <w:t>19 283,1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C87F6B6" w14:textId="77777777" w:rsidR="004455C6" w:rsidRPr="009D5B83" w:rsidRDefault="004455C6" w:rsidP="004455C6">
            <w:pPr>
              <w:jc w:val="right"/>
              <w:rPr>
                <w:rFonts w:ascii="Times New Roman" w:hAnsi="Times New Roman"/>
                <w:b/>
                <w:bCs/>
                <w:sz w:val="20"/>
                <w:szCs w:val="20"/>
              </w:rPr>
            </w:pPr>
            <w:r w:rsidRPr="009D5B83">
              <w:rPr>
                <w:rFonts w:ascii="Times New Roman" w:hAnsi="Times New Roman"/>
                <w:b/>
                <w:bCs/>
                <w:sz w:val="20"/>
                <w:szCs w:val="20"/>
              </w:rPr>
              <w:t>20 344,3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710854D" w14:textId="77777777" w:rsidR="004455C6" w:rsidRPr="009D5B83" w:rsidRDefault="004455C6" w:rsidP="004455C6">
            <w:pPr>
              <w:jc w:val="right"/>
              <w:rPr>
                <w:rFonts w:ascii="Times New Roman" w:hAnsi="Times New Roman"/>
                <w:b/>
                <w:bCs/>
                <w:sz w:val="20"/>
                <w:szCs w:val="20"/>
              </w:rPr>
            </w:pPr>
            <w:r w:rsidRPr="009D5B83">
              <w:rPr>
                <w:rFonts w:ascii="Times New Roman" w:hAnsi="Times New Roman"/>
                <w:b/>
                <w:bCs/>
                <w:sz w:val="20"/>
                <w:szCs w:val="20"/>
              </w:rPr>
              <w:t>21 237,1</w:t>
            </w:r>
          </w:p>
        </w:tc>
      </w:tr>
      <w:tr w:rsidR="004455C6" w:rsidRPr="009D5B83" w14:paraId="329339EC"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3887BC65" w14:textId="77777777" w:rsidR="004455C6" w:rsidRPr="009D5B83" w:rsidRDefault="004455C6" w:rsidP="004455C6">
            <w:pPr>
              <w:rPr>
                <w:rFonts w:ascii="Times New Roman" w:hAnsi="Times New Roman"/>
                <w:sz w:val="20"/>
                <w:szCs w:val="20"/>
              </w:rPr>
            </w:pPr>
            <w:r w:rsidRPr="009D5B83">
              <w:rPr>
                <w:rFonts w:ascii="Times New Roman" w:hAnsi="Times New Roman"/>
                <w:sz w:val="20"/>
                <w:szCs w:val="20"/>
              </w:rPr>
              <w:t>Налоговые и неналоговые доходы</w:t>
            </w:r>
          </w:p>
        </w:tc>
        <w:tc>
          <w:tcPr>
            <w:tcW w:w="930" w:type="dxa"/>
            <w:tcBorders>
              <w:top w:val="single" w:sz="4" w:space="0" w:color="auto"/>
              <w:left w:val="single" w:sz="4" w:space="0" w:color="auto"/>
              <w:bottom w:val="single" w:sz="4" w:space="0" w:color="auto"/>
              <w:right w:val="single" w:sz="4" w:space="0" w:color="auto"/>
            </w:tcBorders>
            <w:vAlign w:val="center"/>
            <w:hideMark/>
          </w:tcPr>
          <w:p w14:paraId="4A533726" w14:textId="77777777" w:rsidR="004455C6" w:rsidRPr="009D5B83" w:rsidRDefault="004455C6" w:rsidP="004455C6">
            <w:pPr>
              <w:jc w:val="right"/>
              <w:rPr>
                <w:rFonts w:ascii="Times New Roman" w:hAnsi="Times New Roman"/>
                <w:color w:val="000000"/>
                <w:sz w:val="20"/>
                <w:szCs w:val="20"/>
              </w:rPr>
            </w:pPr>
            <w:r w:rsidRPr="009D5B83">
              <w:rPr>
                <w:rFonts w:ascii="Times New Roman" w:hAnsi="Times New Roman"/>
                <w:color w:val="000000"/>
                <w:sz w:val="20"/>
                <w:szCs w:val="20"/>
              </w:rPr>
              <w:t>11 185,1</w:t>
            </w:r>
          </w:p>
        </w:tc>
        <w:tc>
          <w:tcPr>
            <w:tcW w:w="931" w:type="dxa"/>
            <w:tcBorders>
              <w:top w:val="single" w:sz="4" w:space="0" w:color="auto"/>
              <w:left w:val="single" w:sz="4" w:space="0" w:color="auto"/>
              <w:bottom w:val="single" w:sz="4" w:space="0" w:color="auto"/>
              <w:right w:val="single" w:sz="4" w:space="0" w:color="auto"/>
            </w:tcBorders>
            <w:vAlign w:val="center"/>
            <w:hideMark/>
          </w:tcPr>
          <w:p w14:paraId="75777914" w14:textId="77777777" w:rsidR="004455C6" w:rsidRPr="009D5B83" w:rsidRDefault="004455C6" w:rsidP="004455C6">
            <w:pPr>
              <w:jc w:val="right"/>
              <w:rPr>
                <w:rFonts w:ascii="Times New Roman" w:hAnsi="Times New Roman"/>
                <w:sz w:val="20"/>
                <w:szCs w:val="20"/>
              </w:rPr>
            </w:pPr>
            <w:r w:rsidRPr="009D5B83">
              <w:rPr>
                <w:rFonts w:ascii="Times New Roman" w:hAnsi="Times New Roman"/>
                <w:color w:val="000000"/>
                <w:sz w:val="20"/>
                <w:szCs w:val="20"/>
              </w:rPr>
              <w:t>11 202,8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36CF106"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13 915,5</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0567374B"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15 523,7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3C0EFFE"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16 076,1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BC3C281"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17 370,1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009C9E6"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18 680,5</w:t>
            </w:r>
          </w:p>
        </w:tc>
      </w:tr>
      <w:tr w:rsidR="004455C6" w:rsidRPr="009D5B83" w14:paraId="26D2AE94"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5521E382" w14:textId="77777777" w:rsidR="004455C6" w:rsidRPr="009D5B83" w:rsidRDefault="004455C6" w:rsidP="004455C6">
            <w:pPr>
              <w:rPr>
                <w:rFonts w:ascii="Times New Roman" w:hAnsi="Times New Roman"/>
                <w:sz w:val="20"/>
                <w:szCs w:val="20"/>
              </w:rPr>
            </w:pPr>
            <w:r w:rsidRPr="009D5B83">
              <w:rPr>
                <w:rFonts w:ascii="Times New Roman" w:hAnsi="Times New Roman"/>
                <w:sz w:val="20"/>
                <w:szCs w:val="20"/>
              </w:rPr>
              <w:t>Межбюджетные трансферты из федерального бюджета</w:t>
            </w:r>
          </w:p>
        </w:tc>
        <w:tc>
          <w:tcPr>
            <w:tcW w:w="930" w:type="dxa"/>
            <w:tcBorders>
              <w:top w:val="single" w:sz="4" w:space="0" w:color="auto"/>
              <w:left w:val="single" w:sz="4" w:space="0" w:color="auto"/>
              <w:bottom w:val="single" w:sz="4" w:space="0" w:color="auto"/>
              <w:right w:val="single" w:sz="4" w:space="0" w:color="auto"/>
            </w:tcBorders>
            <w:vAlign w:val="center"/>
            <w:hideMark/>
          </w:tcPr>
          <w:p w14:paraId="1021C4BA" w14:textId="77777777" w:rsidR="004455C6" w:rsidRPr="009D5B83" w:rsidRDefault="004455C6" w:rsidP="004455C6">
            <w:pPr>
              <w:jc w:val="right"/>
              <w:rPr>
                <w:rFonts w:ascii="Times New Roman" w:hAnsi="Times New Roman"/>
                <w:color w:val="000000"/>
                <w:sz w:val="20"/>
                <w:szCs w:val="20"/>
              </w:rPr>
            </w:pPr>
            <w:r w:rsidRPr="009D5B83">
              <w:rPr>
                <w:rFonts w:ascii="Times New Roman" w:hAnsi="Times New Roman"/>
                <w:color w:val="000000"/>
                <w:sz w:val="20"/>
                <w:szCs w:val="20"/>
              </w:rPr>
              <w:t>2 387,2</w:t>
            </w:r>
          </w:p>
        </w:tc>
        <w:tc>
          <w:tcPr>
            <w:tcW w:w="931" w:type="dxa"/>
            <w:tcBorders>
              <w:top w:val="single" w:sz="4" w:space="0" w:color="auto"/>
              <w:left w:val="single" w:sz="4" w:space="0" w:color="auto"/>
              <w:bottom w:val="single" w:sz="4" w:space="0" w:color="auto"/>
              <w:right w:val="single" w:sz="4" w:space="0" w:color="auto"/>
            </w:tcBorders>
            <w:vAlign w:val="center"/>
            <w:hideMark/>
          </w:tcPr>
          <w:p w14:paraId="7A84C685" w14:textId="77777777" w:rsidR="004455C6" w:rsidRPr="009D5B83" w:rsidRDefault="004455C6" w:rsidP="004455C6">
            <w:pPr>
              <w:jc w:val="right"/>
              <w:rPr>
                <w:rFonts w:ascii="Times New Roman" w:hAnsi="Times New Roman"/>
                <w:sz w:val="20"/>
                <w:szCs w:val="20"/>
              </w:rPr>
            </w:pPr>
            <w:r w:rsidRPr="009D5B83">
              <w:rPr>
                <w:rFonts w:ascii="Times New Roman" w:hAnsi="Times New Roman"/>
                <w:color w:val="000000"/>
                <w:sz w:val="20"/>
                <w:szCs w:val="20"/>
              </w:rPr>
              <w:t>3 698,4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2C0C9F0"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3 627,2</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490FCC23"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3 650,4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E172D48"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3 207,0</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A3129CD"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2 974,2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B1D870C" w14:textId="77777777" w:rsidR="004455C6" w:rsidRPr="009D5B83" w:rsidRDefault="004455C6" w:rsidP="004455C6">
            <w:pPr>
              <w:jc w:val="right"/>
              <w:rPr>
                <w:rFonts w:ascii="Times New Roman" w:hAnsi="Times New Roman"/>
                <w:sz w:val="20"/>
                <w:szCs w:val="20"/>
              </w:rPr>
            </w:pPr>
            <w:r w:rsidRPr="009D5B83">
              <w:rPr>
                <w:rFonts w:ascii="Times New Roman" w:hAnsi="Times New Roman"/>
                <w:sz w:val="20"/>
                <w:szCs w:val="20"/>
              </w:rPr>
              <w:t>2 556,6</w:t>
            </w:r>
          </w:p>
        </w:tc>
      </w:tr>
      <w:tr w:rsidR="004455C6" w:rsidRPr="00AF49F9" w14:paraId="7228F127"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7B8027B9" w14:textId="77777777" w:rsidR="004455C6" w:rsidRPr="00AF49F9" w:rsidRDefault="004455C6" w:rsidP="004455C6">
            <w:pPr>
              <w:rPr>
                <w:rFonts w:ascii="Times New Roman" w:hAnsi="Times New Roman"/>
                <w:sz w:val="20"/>
                <w:szCs w:val="20"/>
              </w:rPr>
            </w:pPr>
            <w:r w:rsidRPr="00AF49F9">
              <w:rPr>
                <w:rFonts w:ascii="Times New Roman" w:hAnsi="Times New Roman"/>
                <w:sz w:val="20"/>
                <w:szCs w:val="20"/>
              </w:rPr>
              <w:t>Доходы за вычетом субвенций</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80DABD" w14:textId="77777777" w:rsidR="004455C6" w:rsidRPr="00AF49F9" w:rsidRDefault="004455C6" w:rsidP="004455C6">
            <w:pPr>
              <w:jc w:val="right"/>
              <w:rPr>
                <w:rFonts w:ascii="Times New Roman" w:hAnsi="Times New Roman"/>
                <w:color w:val="000000"/>
                <w:sz w:val="20"/>
                <w:szCs w:val="20"/>
              </w:rPr>
            </w:pPr>
            <w:r w:rsidRPr="00AF49F9">
              <w:rPr>
                <w:rFonts w:ascii="Times New Roman" w:hAnsi="Times New Roman"/>
                <w:color w:val="000000"/>
                <w:sz w:val="20"/>
                <w:szCs w:val="20"/>
              </w:rPr>
              <w:t>13 175,7</w:t>
            </w:r>
          </w:p>
        </w:tc>
        <w:tc>
          <w:tcPr>
            <w:tcW w:w="931" w:type="dxa"/>
            <w:tcBorders>
              <w:top w:val="single" w:sz="4" w:space="0" w:color="auto"/>
              <w:left w:val="single" w:sz="4" w:space="0" w:color="auto"/>
              <w:bottom w:val="single" w:sz="4" w:space="0" w:color="auto"/>
              <w:right w:val="single" w:sz="4" w:space="0" w:color="auto"/>
            </w:tcBorders>
            <w:vAlign w:val="center"/>
            <w:hideMark/>
          </w:tcPr>
          <w:p w14:paraId="305492A7" w14:textId="77777777" w:rsidR="004455C6" w:rsidRPr="00AF49F9" w:rsidRDefault="004455C6" w:rsidP="004455C6">
            <w:pPr>
              <w:jc w:val="right"/>
              <w:rPr>
                <w:rFonts w:ascii="Times New Roman" w:hAnsi="Times New Roman"/>
                <w:sz w:val="20"/>
                <w:szCs w:val="20"/>
              </w:rPr>
            </w:pPr>
            <w:r w:rsidRPr="00AF49F9">
              <w:rPr>
                <w:rFonts w:ascii="Times New Roman" w:hAnsi="Times New Roman"/>
                <w:color w:val="000000"/>
                <w:sz w:val="20"/>
                <w:szCs w:val="20"/>
              </w:rPr>
              <w:t>14 295,0</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78ACC3D"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17 023,1</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62CA0325"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18 721,8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AE78B1D"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18 982,7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FD0CE39"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20 013,6</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8842FC2"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20 896,8</w:t>
            </w:r>
          </w:p>
        </w:tc>
      </w:tr>
      <w:tr w:rsidR="004455C6" w:rsidRPr="00AF49F9" w14:paraId="13BFCE4D"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27B8508B" w14:textId="77777777" w:rsidR="004455C6" w:rsidRPr="00AF49F9" w:rsidRDefault="004455C6" w:rsidP="004455C6">
            <w:pPr>
              <w:rPr>
                <w:rFonts w:ascii="Times New Roman" w:hAnsi="Times New Roman"/>
                <w:b/>
                <w:bCs/>
                <w:sz w:val="20"/>
                <w:szCs w:val="20"/>
              </w:rPr>
            </w:pPr>
            <w:r w:rsidRPr="00AF49F9">
              <w:rPr>
                <w:rFonts w:ascii="Times New Roman" w:hAnsi="Times New Roman"/>
                <w:b/>
                <w:bCs/>
                <w:sz w:val="20"/>
                <w:szCs w:val="20"/>
              </w:rPr>
              <w:t>Расходы</w:t>
            </w:r>
          </w:p>
        </w:tc>
        <w:tc>
          <w:tcPr>
            <w:tcW w:w="930" w:type="dxa"/>
            <w:tcBorders>
              <w:top w:val="single" w:sz="4" w:space="0" w:color="auto"/>
              <w:left w:val="single" w:sz="4" w:space="0" w:color="auto"/>
              <w:bottom w:val="single" w:sz="4" w:space="0" w:color="auto"/>
              <w:right w:val="single" w:sz="4" w:space="0" w:color="auto"/>
            </w:tcBorders>
            <w:vAlign w:val="center"/>
            <w:hideMark/>
          </w:tcPr>
          <w:p w14:paraId="64F6A336" w14:textId="77777777" w:rsidR="004455C6" w:rsidRPr="00AF49F9" w:rsidRDefault="004455C6" w:rsidP="004455C6">
            <w:pPr>
              <w:jc w:val="right"/>
              <w:rPr>
                <w:rFonts w:ascii="Times New Roman" w:hAnsi="Times New Roman"/>
                <w:b/>
                <w:bCs/>
                <w:color w:val="000000"/>
                <w:sz w:val="20"/>
                <w:szCs w:val="20"/>
              </w:rPr>
            </w:pPr>
            <w:r w:rsidRPr="00AF49F9">
              <w:rPr>
                <w:rFonts w:ascii="Times New Roman" w:hAnsi="Times New Roman"/>
                <w:b/>
                <w:bCs/>
                <w:color w:val="000000"/>
                <w:sz w:val="20"/>
                <w:szCs w:val="20"/>
              </w:rPr>
              <w:t>13 567,6</w:t>
            </w:r>
          </w:p>
        </w:tc>
        <w:tc>
          <w:tcPr>
            <w:tcW w:w="931" w:type="dxa"/>
            <w:tcBorders>
              <w:top w:val="single" w:sz="4" w:space="0" w:color="auto"/>
              <w:left w:val="single" w:sz="4" w:space="0" w:color="auto"/>
              <w:bottom w:val="single" w:sz="4" w:space="0" w:color="auto"/>
              <w:right w:val="single" w:sz="4" w:space="0" w:color="auto"/>
            </w:tcBorders>
            <w:vAlign w:val="center"/>
            <w:hideMark/>
          </w:tcPr>
          <w:p w14:paraId="64E029BA"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color w:val="000000"/>
                <w:sz w:val="20"/>
                <w:szCs w:val="20"/>
              </w:rPr>
              <w:t>15 577,7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6ADBFFB"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16 882,0</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52AAB9E1"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19 071,7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AA9C154"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19 360,5</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D6AB67D"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20 415,4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1E7C6BB"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21 284,9</w:t>
            </w:r>
          </w:p>
        </w:tc>
      </w:tr>
      <w:tr w:rsidR="004455C6" w:rsidRPr="00AF49F9" w14:paraId="71FAD58D"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405A15B2" w14:textId="77777777" w:rsidR="004455C6" w:rsidRPr="00AF49F9" w:rsidRDefault="004455C6" w:rsidP="004455C6">
            <w:pPr>
              <w:rPr>
                <w:rFonts w:ascii="Times New Roman" w:hAnsi="Times New Roman"/>
                <w:b/>
                <w:bCs/>
                <w:sz w:val="20"/>
                <w:szCs w:val="20"/>
              </w:rPr>
            </w:pPr>
            <w:r w:rsidRPr="00AF49F9">
              <w:rPr>
                <w:rFonts w:ascii="Times New Roman" w:hAnsi="Times New Roman"/>
                <w:b/>
                <w:bCs/>
                <w:sz w:val="20"/>
                <w:szCs w:val="20"/>
              </w:rPr>
              <w:t>Профицит / дефицит</w:t>
            </w:r>
          </w:p>
        </w:tc>
        <w:tc>
          <w:tcPr>
            <w:tcW w:w="930" w:type="dxa"/>
            <w:tcBorders>
              <w:top w:val="single" w:sz="4" w:space="0" w:color="auto"/>
              <w:left w:val="single" w:sz="4" w:space="0" w:color="auto"/>
              <w:bottom w:val="single" w:sz="4" w:space="0" w:color="auto"/>
              <w:right w:val="single" w:sz="4" w:space="0" w:color="auto"/>
            </w:tcBorders>
            <w:vAlign w:val="center"/>
            <w:hideMark/>
          </w:tcPr>
          <w:p w14:paraId="5AFF3091" w14:textId="77777777" w:rsidR="004455C6" w:rsidRPr="00AF49F9" w:rsidRDefault="004455C6" w:rsidP="004455C6">
            <w:pPr>
              <w:jc w:val="right"/>
              <w:rPr>
                <w:rFonts w:ascii="Times New Roman" w:hAnsi="Times New Roman"/>
                <w:b/>
                <w:bCs/>
                <w:color w:val="000000"/>
                <w:sz w:val="20"/>
                <w:szCs w:val="20"/>
              </w:rPr>
            </w:pPr>
            <w:r w:rsidRPr="00AF49F9">
              <w:rPr>
                <w:rFonts w:ascii="Times New Roman" w:hAnsi="Times New Roman"/>
                <w:b/>
                <w:bCs/>
                <w:color w:val="000000"/>
                <w:sz w:val="20"/>
                <w:szCs w:val="20"/>
              </w:rPr>
              <w:t>4,7</w:t>
            </w:r>
          </w:p>
        </w:tc>
        <w:tc>
          <w:tcPr>
            <w:tcW w:w="931" w:type="dxa"/>
            <w:tcBorders>
              <w:top w:val="single" w:sz="4" w:space="0" w:color="auto"/>
              <w:left w:val="single" w:sz="4" w:space="0" w:color="auto"/>
              <w:bottom w:val="single" w:sz="4" w:space="0" w:color="auto"/>
              <w:right w:val="single" w:sz="4" w:space="0" w:color="auto"/>
            </w:tcBorders>
            <w:vAlign w:val="center"/>
            <w:hideMark/>
          </w:tcPr>
          <w:p w14:paraId="0AF721E4"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color w:val="000000"/>
                <w:sz w:val="20"/>
                <w:szCs w:val="20"/>
              </w:rPr>
              <w:t>-676,5</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5DBDAEE"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660,7</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1E6AB1A8"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102,4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E2E41A9"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-77,4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F99E31C"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-71,1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DAA869B"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-47,8</w:t>
            </w:r>
          </w:p>
        </w:tc>
      </w:tr>
      <w:tr w:rsidR="004455C6" w:rsidRPr="00AF49F9" w14:paraId="1EA42C78" w14:textId="77777777" w:rsidTr="004455C6">
        <w:trPr>
          <w:trHeight w:val="280"/>
        </w:trPr>
        <w:tc>
          <w:tcPr>
            <w:tcW w:w="9345" w:type="dxa"/>
            <w:gridSpan w:val="8"/>
            <w:tcBorders>
              <w:top w:val="single" w:sz="4" w:space="0" w:color="auto"/>
              <w:left w:val="single" w:sz="4" w:space="0" w:color="auto"/>
              <w:bottom w:val="single" w:sz="4" w:space="0" w:color="auto"/>
              <w:right w:val="single" w:sz="4" w:space="0" w:color="auto"/>
            </w:tcBorders>
            <w:hideMark/>
          </w:tcPr>
          <w:p w14:paraId="3EDF7BFB" w14:textId="77777777" w:rsidR="004455C6" w:rsidRPr="00AF49F9" w:rsidRDefault="004455C6" w:rsidP="004455C6">
            <w:pPr>
              <w:jc w:val="center"/>
              <w:rPr>
                <w:rFonts w:ascii="Times New Roman" w:hAnsi="Times New Roman"/>
                <w:sz w:val="20"/>
                <w:szCs w:val="20"/>
              </w:rPr>
            </w:pPr>
            <w:r w:rsidRPr="00AF49F9">
              <w:rPr>
                <w:rFonts w:ascii="Times New Roman" w:hAnsi="Times New Roman"/>
                <w:b/>
                <w:bCs/>
                <w:i/>
                <w:iCs/>
                <w:sz w:val="20"/>
                <w:szCs w:val="20"/>
              </w:rPr>
              <w:t>в % ВВП</w:t>
            </w:r>
          </w:p>
        </w:tc>
      </w:tr>
      <w:tr w:rsidR="004455C6" w:rsidRPr="00AF49F9" w14:paraId="11BA7041"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1B4ABABB" w14:textId="700DB29D" w:rsidR="004455C6" w:rsidRPr="00AF49F9" w:rsidRDefault="004455C6" w:rsidP="004455C6">
            <w:pPr>
              <w:rPr>
                <w:rFonts w:ascii="Times New Roman" w:hAnsi="Times New Roman"/>
                <w:b/>
                <w:bCs/>
                <w:i/>
                <w:iCs/>
                <w:sz w:val="20"/>
                <w:szCs w:val="20"/>
              </w:rPr>
            </w:pPr>
            <w:r w:rsidRPr="00AF49F9">
              <w:rPr>
                <w:rFonts w:ascii="Times New Roman" w:hAnsi="Times New Roman"/>
                <w:b/>
                <w:bCs/>
                <w:i/>
                <w:iCs/>
                <w:sz w:val="20"/>
                <w:szCs w:val="20"/>
              </w:rPr>
              <w:t xml:space="preserve">Доходы, </w:t>
            </w:r>
            <w:r w:rsidR="002606E9" w:rsidRPr="00AF49F9">
              <w:rPr>
                <w:rFonts w:ascii="Times New Roman" w:hAnsi="Times New Roman"/>
                <w:b/>
                <w:bCs/>
                <w:i/>
                <w:iCs/>
                <w:sz w:val="20"/>
                <w:szCs w:val="20"/>
              </w:rPr>
              <w:t>ВСЕГО</w:t>
            </w:r>
          </w:p>
        </w:tc>
        <w:tc>
          <w:tcPr>
            <w:tcW w:w="930" w:type="dxa"/>
            <w:tcBorders>
              <w:top w:val="single" w:sz="4" w:space="0" w:color="auto"/>
              <w:left w:val="single" w:sz="4" w:space="0" w:color="auto"/>
              <w:bottom w:val="single" w:sz="4" w:space="0" w:color="auto"/>
              <w:right w:val="single" w:sz="4" w:space="0" w:color="auto"/>
            </w:tcBorders>
            <w:vAlign w:val="center"/>
            <w:hideMark/>
          </w:tcPr>
          <w:p w14:paraId="1CEA682F" w14:textId="588A234D" w:rsidR="004455C6" w:rsidRPr="00AF49F9" w:rsidRDefault="004455C6" w:rsidP="004455C6">
            <w:pPr>
              <w:jc w:val="right"/>
              <w:rPr>
                <w:rFonts w:ascii="Times New Roman" w:hAnsi="Times New Roman"/>
                <w:b/>
                <w:bCs/>
                <w:i/>
                <w:iCs/>
                <w:color w:val="000000"/>
                <w:sz w:val="20"/>
                <w:szCs w:val="20"/>
              </w:rPr>
            </w:pPr>
            <w:r w:rsidRPr="00AF49F9">
              <w:rPr>
                <w:rFonts w:ascii="Times New Roman" w:hAnsi="Times New Roman"/>
                <w:b/>
                <w:bCs/>
                <w:i/>
                <w:iCs/>
                <w:color w:val="000000"/>
                <w:sz w:val="20"/>
                <w:szCs w:val="20"/>
              </w:rPr>
              <w:t>12,38</w:t>
            </w:r>
          </w:p>
        </w:tc>
        <w:tc>
          <w:tcPr>
            <w:tcW w:w="931" w:type="dxa"/>
            <w:tcBorders>
              <w:top w:val="single" w:sz="4" w:space="0" w:color="auto"/>
              <w:left w:val="single" w:sz="4" w:space="0" w:color="auto"/>
              <w:bottom w:val="single" w:sz="4" w:space="0" w:color="auto"/>
              <w:right w:val="single" w:sz="4" w:space="0" w:color="auto"/>
            </w:tcBorders>
            <w:vAlign w:val="center"/>
            <w:hideMark/>
          </w:tcPr>
          <w:p w14:paraId="67AB9B27" w14:textId="46791AF6"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color w:val="000000"/>
                <w:sz w:val="20"/>
                <w:szCs w:val="20"/>
              </w:rPr>
              <w:t>13,88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D6C1D55"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13,39</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77AE0A83"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13,13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AD62C1D"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12,86</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5673D5C"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12,74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4A9D0C1"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12,45</w:t>
            </w:r>
          </w:p>
        </w:tc>
      </w:tr>
      <w:tr w:rsidR="004455C6" w:rsidRPr="00AF49F9" w14:paraId="1FFC87B0"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387135EB" w14:textId="77777777" w:rsidR="004455C6" w:rsidRPr="00AF49F9" w:rsidRDefault="004455C6" w:rsidP="004455C6">
            <w:pPr>
              <w:rPr>
                <w:rFonts w:ascii="Times New Roman" w:hAnsi="Times New Roman"/>
                <w:i/>
                <w:iCs/>
                <w:sz w:val="20"/>
                <w:szCs w:val="20"/>
              </w:rPr>
            </w:pPr>
            <w:r w:rsidRPr="00AF49F9">
              <w:rPr>
                <w:rFonts w:ascii="Times New Roman" w:hAnsi="Times New Roman"/>
                <w:i/>
                <w:iCs/>
                <w:sz w:val="20"/>
                <w:szCs w:val="20"/>
              </w:rPr>
              <w:t>Налоговые и неналоговые доходы</w:t>
            </w:r>
          </w:p>
        </w:tc>
        <w:tc>
          <w:tcPr>
            <w:tcW w:w="930" w:type="dxa"/>
            <w:tcBorders>
              <w:top w:val="single" w:sz="4" w:space="0" w:color="auto"/>
              <w:left w:val="single" w:sz="4" w:space="0" w:color="auto"/>
              <w:bottom w:val="single" w:sz="4" w:space="0" w:color="auto"/>
              <w:right w:val="single" w:sz="4" w:space="0" w:color="auto"/>
            </w:tcBorders>
            <w:vAlign w:val="center"/>
            <w:hideMark/>
          </w:tcPr>
          <w:p w14:paraId="6A2E5D13" w14:textId="2F0C2EFA" w:rsidR="004455C6" w:rsidRPr="00AF49F9" w:rsidRDefault="004455C6" w:rsidP="004455C6">
            <w:pPr>
              <w:jc w:val="right"/>
              <w:rPr>
                <w:rFonts w:ascii="Times New Roman" w:hAnsi="Times New Roman"/>
                <w:i/>
                <w:iCs/>
                <w:color w:val="000000"/>
                <w:sz w:val="20"/>
                <w:szCs w:val="20"/>
              </w:rPr>
            </w:pPr>
            <w:r w:rsidRPr="00AF49F9">
              <w:rPr>
                <w:rFonts w:ascii="Times New Roman" w:hAnsi="Times New Roman"/>
                <w:i/>
                <w:iCs/>
                <w:color w:val="000000"/>
                <w:sz w:val="20"/>
                <w:szCs w:val="20"/>
              </w:rPr>
              <w:t>10,20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0FB5808A" w14:textId="0172FDF9" w:rsidR="004455C6" w:rsidRPr="00AF49F9" w:rsidRDefault="004455C6" w:rsidP="004455C6">
            <w:pPr>
              <w:jc w:val="right"/>
              <w:rPr>
                <w:rFonts w:ascii="Times New Roman" w:hAnsi="Times New Roman"/>
                <w:i/>
                <w:iCs/>
                <w:sz w:val="20"/>
                <w:szCs w:val="20"/>
              </w:rPr>
            </w:pPr>
            <w:r w:rsidRPr="00AF49F9">
              <w:rPr>
                <w:rFonts w:ascii="Times New Roman" w:hAnsi="Times New Roman"/>
                <w:i/>
                <w:iCs/>
                <w:color w:val="000000"/>
                <w:sz w:val="20"/>
                <w:szCs w:val="20"/>
              </w:rPr>
              <w:t>10,43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110F16B"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10,62</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420A740E"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10,63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613234A"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10,72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73D9E6E"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10,88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1F3C5EB"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10,95</w:t>
            </w:r>
          </w:p>
        </w:tc>
      </w:tr>
      <w:tr w:rsidR="004455C6" w:rsidRPr="00AF49F9" w14:paraId="644BB01D"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35EE3112" w14:textId="77777777" w:rsidR="004455C6" w:rsidRPr="00AF49F9" w:rsidRDefault="004455C6" w:rsidP="004455C6">
            <w:pPr>
              <w:rPr>
                <w:rFonts w:ascii="Times New Roman" w:hAnsi="Times New Roman"/>
                <w:i/>
                <w:iCs/>
                <w:sz w:val="20"/>
                <w:szCs w:val="20"/>
              </w:rPr>
            </w:pPr>
            <w:r w:rsidRPr="00AF49F9">
              <w:rPr>
                <w:rFonts w:ascii="Times New Roman" w:hAnsi="Times New Roman"/>
                <w:i/>
                <w:iCs/>
                <w:sz w:val="20"/>
                <w:szCs w:val="20"/>
              </w:rPr>
              <w:t>Межбюджетные трансферты из федерального бюджета</w:t>
            </w:r>
          </w:p>
        </w:tc>
        <w:tc>
          <w:tcPr>
            <w:tcW w:w="930" w:type="dxa"/>
            <w:tcBorders>
              <w:top w:val="single" w:sz="4" w:space="0" w:color="auto"/>
              <w:left w:val="single" w:sz="4" w:space="0" w:color="auto"/>
              <w:bottom w:val="single" w:sz="4" w:space="0" w:color="auto"/>
              <w:right w:val="single" w:sz="4" w:space="0" w:color="auto"/>
            </w:tcBorders>
            <w:vAlign w:val="center"/>
            <w:hideMark/>
          </w:tcPr>
          <w:p w14:paraId="0DDD59FB" w14:textId="3385E212" w:rsidR="004455C6" w:rsidRPr="00AF49F9" w:rsidRDefault="004455C6" w:rsidP="004455C6">
            <w:pPr>
              <w:jc w:val="right"/>
              <w:rPr>
                <w:rFonts w:ascii="Times New Roman" w:hAnsi="Times New Roman"/>
                <w:i/>
                <w:iCs/>
                <w:color w:val="000000"/>
                <w:sz w:val="20"/>
                <w:szCs w:val="20"/>
              </w:rPr>
            </w:pPr>
            <w:r w:rsidRPr="00AF49F9">
              <w:rPr>
                <w:rFonts w:ascii="Times New Roman" w:hAnsi="Times New Roman"/>
                <w:i/>
                <w:iCs/>
                <w:color w:val="000000"/>
                <w:sz w:val="20"/>
                <w:szCs w:val="20"/>
              </w:rPr>
              <w:t>2,18</w:t>
            </w:r>
          </w:p>
        </w:tc>
        <w:tc>
          <w:tcPr>
            <w:tcW w:w="931" w:type="dxa"/>
            <w:tcBorders>
              <w:top w:val="single" w:sz="4" w:space="0" w:color="auto"/>
              <w:left w:val="single" w:sz="4" w:space="0" w:color="auto"/>
              <w:bottom w:val="single" w:sz="4" w:space="0" w:color="auto"/>
              <w:right w:val="single" w:sz="4" w:space="0" w:color="auto"/>
            </w:tcBorders>
            <w:vAlign w:val="center"/>
            <w:hideMark/>
          </w:tcPr>
          <w:p w14:paraId="7FD1AEDF" w14:textId="323E9140" w:rsidR="004455C6" w:rsidRPr="00AF49F9" w:rsidRDefault="004455C6" w:rsidP="004455C6">
            <w:pPr>
              <w:jc w:val="right"/>
              <w:rPr>
                <w:rFonts w:ascii="Times New Roman" w:hAnsi="Times New Roman"/>
                <w:i/>
                <w:iCs/>
                <w:sz w:val="20"/>
                <w:szCs w:val="20"/>
              </w:rPr>
            </w:pPr>
            <w:r w:rsidRPr="00AF49F9">
              <w:rPr>
                <w:rFonts w:ascii="Times New Roman" w:hAnsi="Times New Roman"/>
                <w:i/>
                <w:iCs/>
                <w:color w:val="000000"/>
                <w:sz w:val="20"/>
                <w:szCs w:val="20"/>
              </w:rPr>
              <w:t>3,44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A2EA629"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2,77</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5AA94431"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2,50</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AA9E8B7"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2,14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35170F2"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1,86</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666E427"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1,50</w:t>
            </w:r>
          </w:p>
        </w:tc>
      </w:tr>
      <w:tr w:rsidR="004455C6" w:rsidRPr="00AF49F9" w14:paraId="4D6FFF9D"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46B043CB" w14:textId="77777777" w:rsidR="004455C6" w:rsidRPr="00AF49F9" w:rsidRDefault="004455C6" w:rsidP="004455C6">
            <w:pPr>
              <w:rPr>
                <w:rFonts w:ascii="Times New Roman" w:hAnsi="Times New Roman"/>
                <w:i/>
                <w:iCs/>
                <w:sz w:val="20"/>
                <w:szCs w:val="20"/>
              </w:rPr>
            </w:pPr>
            <w:r w:rsidRPr="00AF49F9">
              <w:rPr>
                <w:rFonts w:ascii="Times New Roman" w:hAnsi="Times New Roman"/>
                <w:i/>
                <w:iCs/>
                <w:sz w:val="20"/>
                <w:szCs w:val="20"/>
              </w:rPr>
              <w:t>Доходы за вычетом субвенций</w:t>
            </w:r>
          </w:p>
        </w:tc>
        <w:tc>
          <w:tcPr>
            <w:tcW w:w="930" w:type="dxa"/>
            <w:tcBorders>
              <w:top w:val="single" w:sz="4" w:space="0" w:color="auto"/>
              <w:left w:val="single" w:sz="4" w:space="0" w:color="auto"/>
              <w:bottom w:val="single" w:sz="4" w:space="0" w:color="auto"/>
              <w:right w:val="single" w:sz="4" w:space="0" w:color="auto"/>
            </w:tcBorders>
            <w:vAlign w:val="center"/>
            <w:hideMark/>
          </w:tcPr>
          <w:p w14:paraId="732594DD" w14:textId="255718E2" w:rsidR="004455C6" w:rsidRPr="00AF49F9" w:rsidRDefault="004455C6" w:rsidP="004455C6">
            <w:pPr>
              <w:jc w:val="right"/>
              <w:rPr>
                <w:rFonts w:ascii="Times New Roman" w:hAnsi="Times New Roman"/>
                <w:i/>
                <w:iCs/>
                <w:color w:val="000000"/>
                <w:sz w:val="20"/>
                <w:szCs w:val="20"/>
              </w:rPr>
            </w:pPr>
            <w:r w:rsidRPr="00AF49F9">
              <w:rPr>
                <w:rFonts w:ascii="Times New Roman" w:hAnsi="Times New Roman"/>
                <w:i/>
                <w:iCs/>
                <w:color w:val="000000"/>
                <w:sz w:val="20"/>
                <w:szCs w:val="20"/>
              </w:rPr>
              <w:t>12,02</w:t>
            </w:r>
          </w:p>
        </w:tc>
        <w:tc>
          <w:tcPr>
            <w:tcW w:w="931" w:type="dxa"/>
            <w:tcBorders>
              <w:top w:val="single" w:sz="4" w:space="0" w:color="auto"/>
              <w:left w:val="single" w:sz="4" w:space="0" w:color="auto"/>
              <w:bottom w:val="single" w:sz="4" w:space="0" w:color="auto"/>
              <w:right w:val="single" w:sz="4" w:space="0" w:color="auto"/>
            </w:tcBorders>
            <w:vAlign w:val="center"/>
            <w:hideMark/>
          </w:tcPr>
          <w:p w14:paraId="03CCE57D" w14:textId="19626305" w:rsidR="004455C6" w:rsidRPr="00AF49F9" w:rsidRDefault="004455C6" w:rsidP="004455C6">
            <w:pPr>
              <w:jc w:val="right"/>
              <w:rPr>
                <w:rFonts w:ascii="Times New Roman" w:hAnsi="Times New Roman"/>
                <w:i/>
                <w:iCs/>
                <w:sz w:val="20"/>
                <w:szCs w:val="20"/>
              </w:rPr>
            </w:pPr>
            <w:r w:rsidRPr="00AF49F9">
              <w:rPr>
                <w:rFonts w:ascii="Times New Roman" w:hAnsi="Times New Roman"/>
                <w:i/>
                <w:iCs/>
                <w:color w:val="000000"/>
                <w:sz w:val="20"/>
                <w:szCs w:val="20"/>
              </w:rPr>
              <w:t>13,31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68CA1FB"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12,99</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3C2F1584"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12,82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559420A"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12,66</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C4778B5"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12,53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5CEEBA5A" w14:textId="77777777" w:rsidR="004455C6" w:rsidRPr="00AF49F9" w:rsidRDefault="004455C6" w:rsidP="004455C6">
            <w:pPr>
              <w:jc w:val="right"/>
              <w:rPr>
                <w:rFonts w:ascii="Times New Roman" w:hAnsi="Times New Roman"/>
                <w:i/>
                <w:iCs/>
                <w:sz w:val="20"/>
                <w:szCs w:val="20"/>
              </w:rPr>
            </w:pPr>
            <w:r w:rsidRPr="00AF49F9">
              <w:rPr>
                <w:rFonts w:ascii="Times New Roman" w:hAnsi="Times New Roman"/>
                <w:i/>
                <w:iCs/>
                <w:sz w:val="20"/>
                <w:szCs w:val="20"/>
              </w:rPr>
              <w:t>12,25</w:t>
            </w:r>
          </w:p>
        </w:tc>
      </w:tr>
      <w:tr w:rsidR="004455C6" w:rsidRPr="00AF49F9" w14:paraId="79E939FE"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5CADF99C" w14:textId="77777777" w:rsidR="004455C6" w:rsidRPr="00AF49F9" w:rsidRDefault="004455C6" w:rsidP="004455C6">
            <w:pPr>
              <w:rPr>
                <w:rFonts w:ascii="Times New Roman" w:hAnsi="Times New Roman"/>
                <w:b/>
                <w:bCs/>
                <w:i/>
                <w:iCs/>
                <w:sz w:val="20"/>
                <w:szCs w:val="20"/>
              </w:rPr>
            </w:pPr>
            <w:r w:rsidRPr="00AF49F9">
              <w:rPr>
                <w:rFonts w:ascii="Times New Roman" w:hAnsi="Times New Roman"/>
                <w:b/>
                <w:bCs/>
                <w:i/>
                <w:iCs/>
                <w:sz w:val="20"/>
                <w:szCs w:val="20"/>
              </w:rPr>
              <w:t>Расходы</w:t>
            </w:r>
          </w:p>
        </w:tc>
        <w:tc>
          <w:tcPr>
            <w:tcW w:w="930" w:type="dxa"/>
            <w:tcBorders>
              <w:top w:val="single" w:sz="4" w:space="0" w:color="auto"/>
              <w:left w:val="single" w:sz="4" w:space="0" w:color="auto"/>
              <w:bottom w:val="single" w:sz="4" w:space="0" w:color="auto"/>
              <w:right w:val="single" w:sz="4" w:space="0" w:color="auto"/>
            </w:tcBorders>
            <w:vAlign w:val="center"/>
            <w:hideMark/>
          </w:tcPr>
          <w:p w14:paraId="194DABC4" w14:textId="6E7D6887" w:rsidR="004455C6" w:rsidRPr="00AF49F9" w:rsidRDefault="004455C6" w:rsidP="004455C6">
            <w:pPr>
              <w:jc w:val="right"/>
              <w:rPr>
                <w:rFonts w:ascii="Times New Roman" w:hAnsi="Times New Roman"/>
                <w:b/>
                <w:bCs/>
                <w:i/>
                <w:iCs/>
                <w:color w:val="000000"/>
                <w:sz w:val="20"/>
                <w:szCs w:val="20"/>
              </w:rPr>
            </w:pPr>
            <w:r w:rsidRPr="00AF49F9">
              <w:rPr>
                <w:rFonts w:ascii="Times New Roman" w:hAnsi="Times New Roman"/>
                <w:b/>
                <w:bCs/>
                <w:i/>
                <w:iCs/>
                <w:color w:val="000000"/>
                <w:sz w:val="20"/>
                <w:szCs w:val="20"/>
              </w:rPr>
              <w:t>12,38</w:t>
            </w:r>
          </w:p>
        </w:tc>
        <w:tc>
          <w:tcPr>
            <w:tcW w:w="931" w:type="dxa"/>
            <w:tcBorders>
              <w:top w:val="single" w:sz="4" w:space="0" w:color="auto"/>
              <w:left w:val="single" w:sz="4" w:space="0" w:color="auto"/>
              <w:bottom w:val="single" w:sz="4" w:space="0" w:color="auto"/>
              <w:right w:val="single" w:sz="4" w:space="0" w:color="auto"/>
            </w:tcBorders>
            <w:vAlign w:val="center"/>
            <w:hideMark/>
          </w:tcPr>
          <w:p w14:paraId="53C34CBA" w14:textId="5C2003F5"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color w:val="000000"/>
                <w:sz w:val="20"/>
                <w:szCs w:val="20"/>
              </w:rPr>
              <w:t>14,51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6636333"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12,89</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2DE15706"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13,06</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8D43D33"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12,91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13C93F6"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12,78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C051451"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12,48</w:t>
            </w:r>
          </w:p>
        </w:tc>
      </w:tr>
      <w:tr w:rsidR="004455C6" w:rsidRPr="00AF49F9" w14:paraId="46184C89"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0362CBEC" w14:textId="77777777" w:rsidR="004455C6" w:rsidRPr="00AF49F9" w:rsidRDefault="004455C6" w:rsidP="004455C6">
            <w:pPr>
              <w:rPr>
                <w:rFonts w:ascii="Times New Roman" w:hAnsi="Times New Roman"/>
                <w:b/>
                <w:bCs/>
                <w:i/>
                <w:iCs/>
                <w:sz w:val="20"/>
                <w:szCs w:val="20"/>
              </w:rPr>
            </w:pPr>
            <w:r w:rsidRPr="00AF49F9">
              <w:rPr>
                <w:rFonts w:ascii="Times New Roman" w:hAnsi="Times New Roman"/>
                <w:b/>
                <w:bCs/>
                <w:i/>
                <w:iCs/>
                <w:sz w:val="20"/>
                <w:szCs w:val="20"/>
              </w:rPr>
              <w:t>Профицит / дефицит</w:t>
            </w:r>
          </w:p>
        </w:tc>
        <w:tc>
          <w:tcPr>
            <w:tcW w:w="930" w:type="dxa"/>
            <w:tcBorders>
              <w:top w:val="single" w:sz="4" w:space="0" w:color="auto"/>
              <w:left w:val="single" w:sz="4" w:space="0" w:color="auto"/>
              <w:bottom w:val="single" w:sz="4" w:space="0" w:color="auto"/>
              <w:right w:val="single" w:sz="4" w:space="0" w:color="auto"/>
            </w:tcBorders>
            <w:vAlign w:val="center"/>
            <w:hideMark/>
          </w:tcPr>
          <w:p w14:paraId="0035DFF3" w14:textId="5344A871" w:rsidR="004455C6" w:rsidRPr="00AF49F9" w:rsidRDefault="004455C6" w:rsidP="004455C6">
            <w:pPr>
              <w:jc w:val="right"/>
              <w:rPr>
                <w:rFonts w:ascii="Times New Roman" w:hAnsi="Times New Roman"/>
                <w:b/>
                <w:bCs/>
                <w:i/>
                <w:iCs/>
                <w:color w:val="000000"/>
                <w:sz w:val="20"/>
                <w:szCs w:val="20"/>
              </w:rPr>
            </w:pPr>
            <w:r w:rsidRPr="00AF49F9">
              <w:rPr>
                <w:rFonts w:ascii="Times New Roman" w:hAnsi="Times New Roman"/>
                <w:b/>
                <w:bCs/>
                <w:i/>
                <w:iCs/>
                <w:color w:val="000000"/>
                <w:sz w:val="20"/>
                <w:szCs w:val="20"/>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14:paraId="2DDD1E22" w14:textId="0BFEDA1C"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color w:val="000000"/>
                <w:sz w:val="20"/>
                <w:szCs w:val="20"/>
              </w:rPr>
              <w:t>-0,63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6D9C251"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0,50</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3B00559F"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0,07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6E19772"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-0,05</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77BAC5B"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-0,04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E9004E4" w14:textId="77777777" w:rsidR="004455C6" w:rsidRPr="00AF49F9" w:rsidRDefault="004455C6" w:rsidP="004455C6">
            <w:pPr>
              <w:jc w:val="right"/>
              <w:rPr>
                <w:rFonts w:ascii="Times New Roman" w:hAnsi="Times New Roman"/>
                <w:b/>
                <w:bCs/>
                <w:i/>
                <w:iCs/>
                <w:sz w:val="20"/>
                <w:szCs w:val="20"/>
              </w:rPr>
            </w:pPr>
            <w:r w:rsidRPr="00AF49F9">
              <w:rPr>
                <w:rFonts w:ascii="Times New Roman" w:hAnsi="Times New Roman"/>
                <w:b/>
                <w:bCs/>
                <w:i/>
                <w:iCs/>
                <w:sz w:val="20"/>
                <w:szCs w:val="20"/>
              </w:rPr>
              <w:t>-0,03</w:t>
            </w:r>
          </w:p>
        </w:tc>
      </w:tr>
      <w:tr w:rsidR="004455C6" w:rsidRPr="00AF49F9" w14:paraId="16B4E88A" w14:textId="77777777" w:rsidTr="004455C6">
        <w:trPr>
          <w:trHeight w:val="280"/>
        </w:trPr>
        <w:tc>
          <w:tcPr>
            <w:tcW w:w="9345" w:type="dxa"/>
            <w:gridSpan w:val="8"/>
            <w:tcBorders>
              <w:top w:val="single" w:sz="4" w:space="0" w:color="auto"/>
              <w:left w:val="single" w:sz="4" w:space="0" w:color="auto"/>
              <w:bottom w:val="single" w:sz="4" w:space="0" w:color="auto"/>
              <w:right w:val="single" w:sz="4" w:space="0" w:color="auto"/>
            </w:tcBorders>
            <w:hideMark/>
          </w:tcPr>
          <w:p w14:paraId="2D3CF5F8" w14:textId="77777777" w:rsidR="004455C6" w:rsidRPr="00AF49F9" w:rsidRDefault="004455C6" w:rsidP="004455C6">
            <w:pPr>
              <w:jc w:val="center"/>
              <w:rPr>
                <w:rFonts w:ascii="Times New Roman" w:hAnsi="Times New Roman"/>
                <w:sz w:val="20"/>
                <w:szCs w:val="20"/>
              </w:rPr>
            </w:pPr>
            <w:r w:rsidRPr="00AF49F9">
              <w:rPr>
                <w:rFonts w:ascii="Times New Roman" w:hAnsi="Times New Roman"/>
                <w:b/>
                <w:bCs/>
                <w:i/>
                <w:iCs/>
                <w:sz w:val="20"/>
                <w:szCs w:val="20"/>
              </w:rPr>
              <w:t xml:space="preserve">Реальный объем в ценах 2021 г., </w:t>
            </w:r>
            <w:proofErr w:type="gramStart"/>
            <w:r w:rsidRPr="00AF49F9">
              <w:rPr>
                <w:rFonts w:ascii="Times New Roman" w:hAnsi="Times New Roman"/>
                <w:b/>
                <w:bCs/>
                <w:i/>
                <w:iCs/>
                <w:sz w:val="20"/>
                <w:szCs w:val="20"/>
              </w:rPr>
              <w:t>млрд</w:t>
            </w:r>
            <w:proofErr w:type="gramEnd"/>
            <w:r w:rsidRPr="00AF49F9">
              <w:rPr>
                <w:rFonts w:ascii="Times New Roman" w:hAnsi="Times New Roman"/>
                <w:b/>
                <w:bCs/>
                <w:i/>
                <w:iCs/>
                <w:sz w:val="20"/>
                <w:szCs w:val="20"/>
              </w:rPr>
              <w:t xml:space="preserve"> руб.</w:t>
            </w:r>
          </w:p>
        </w:tc>
      </w:tr>
      <w:tr w:rsidR="004455C6" w:rsidRPr="00AF49F9" w14:paraId="498CED32"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3549A783" w14:textId="77777777" w:rsidR="004455C6" w:rsidRPr="00AF49F9" w:rsidRDefault="004455C6" w:rsidP="004455C6">
            <w:pPr>
              <w:rPr>
                <w:rFonts w:ascii="Times New Roman" w:hAnsi="Times New Roman"/>
                <w:b/>
                <w:bCs/>
                <w:sz w:val="20"/>
                <w:szCs w:val="20"/>
              </w:rPr>
            </w:pPr>
            <w:r w:rsidRPr="00AF49F9">
              <w:rPr>
                <w:rFonts w:ascii="Times New Roman" w:hAnsi="Times New Roman"/>
                <w:b/>
                <w:bCs/>
                <w:sz w:val="20"/>
                <w:szCs w:val="20"/>
              </w:rPr>
              <w:t>Доходы, всего</w:t>
            </w:r>
          </w:p>
        </w:tc>
        <w:tc>
          <w:tcPr>
            <w:tcW w:w="930" w:type="dxa"/>
            <w:tcBorders>
              <w:top w:val="single" w:sz="4" w:space="0" w:color="auto"/>
              <w:left w:val="single" w:sz="4" w:space="0" w:color="auto"/>
              <w:bottom w:val="single" w:sz="4" w:space="0" w:color="auto"/>
              <w:right w:val="single" w:sz="4" w:space="0" w:color="auto"/>
            </w:tcBorders>
            <w:vAlign w:val="center"/>
            <w:hideMark/>
          </w:tcPr>
          <w:p w14:paraId="65AC1AF6" w14:textId="77777777" w:rsidR="004455C6" w:rsidRPr="00AF49F9" w:rsidRDefault="004455C6" w:rsidP="004455C6">
            <w:pPr>
              <w:jc w:val="right"/>
              <w:rPr>
                <w:rFonts w:ascii="Times New Roman" w:hAnsi="Times New Roman"/>
                <w:b/>
                <w:bCs/>
                <w:color w:val="000000"/>
                <w:sz w:val="20"/>
                <w:szCs w:val="20"/>
              </w:rPr>
            </w:pPr>
            <w:r w:rsidRPr="00AF49F9">
              <w:rPr>
                <w:rFonts w:ascii="Times New Roman" w:hAnsi="Times New Roman"/>
                <w:b/>
                <w:bCs/>
                <w:color w:val="000000"/>
                <w:sz w:val="20"/>
                <w:szCs w:val="20"/>
              </w:rPr>
              <w:t>15 434,8</w:t>
            </w:r>
          </w:p>
        </w:tc>
        <w:tc>
          <w:tcPr>
            <w:tcW w:w="931" w:type="dxa"/>
            <w:tcBorders>
              <w:top w:val="single" w:sz="4" w:space="0" w:color="auto"/>
              <w:left w:val="single" w:sz="4" w:space="0" w:color="auto"/>
              <w:bottom w:val="single" w:sz="4" w:space="0" w:color="auto"/>
              <w:right w:val="single" w:sz="4" w:space="0" w:color="auto"/>
            </w:tcBorders>
            <w:vAlign w:val="center"/>
            <w:hideMark/>
          </w:tcPr>
          <w:p w14:paraId="16934F6C"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color w:val="000000"/>
                <w:sz w:val="20"/>
                <w:szCs w:val="20"/>
              </w:rPr>
              <w:t>16 152,9</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C5AA5F9"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17 542,7</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2C9DFCBA"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17 058,8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3F5390C"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16 261,4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19A5428"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16 496,5</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89B515C"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16 558,1</w:t>
            </w:r>
          </w:p>
        </w:tc>
      </w:tr>
      <w:tr w:rsidR="004455C6" w:rsidRPr="00AF49F9" w14:paraId="22971645"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3E746889" w14:textId="77777777" w:rsidR="004455C6" w:rsidRPr="00AF49F9" w:rsidRDefault="004455C6" w:rsidP="004455C6">
            <w:pPr>
              <w:rPr>
                <w:rFonts w:ascii="Times New Roman" w:hAnsi="Times New Roman"/>
                <w:sz w:val="20"/>
                <w:szCs w:val="20"/>
              </w:rPr>
            </w:pPr>
            <w:r w:rsidRPr="00AF49F9">
              <w:rPr>
                <w:rFonts w:ascii="Times New Roman" w:hAnsi="Times New Roman"/>
                <w:sz w:val="20"/>
                <w:szCs w:val="20"/>
              </w:rPr>
              <w:t>Налоговые и неналоговые доходы</w:t>
            </w:r>
          </w:p>
        </w:tc>
        <w:tc>
          <w:tcPr>
            <w:tcW w:w="930" w:type="dxa"/>
            <w:tcBorders>
              <w:top w:val="single" w:sz="4" w:space="0" w:color="auto"/>
              <w:left w:val="single" w:sz="4" w:space="0" w:color="auto"/>
              <w:bottom w:val="single" w:sz="4" w:space="0" w:color="auto"/>
              <w:right w:val="single" w:sz="4" w:space="0" w:color="auto"/>
            </w:tcBorders>
            <w:vAlign w:val="center"/>
            <w:hideMark/>
          </w:tcPr>
          <w:p w14:paraId="12DB33A7" w14:textId="77777777" w:rsidR="004455C6" w:rsidRPr="00AF49F9" w:rsidRDefault="004455C6" w:rsidP="004455C6">
            <w:pPr>
              <w:jc w:val="right"/>
              <w:rPr>
                <w:rFonts w:ascii="Times New Roman" w:hAnsi="Times New Roman"/>
                <w:color w:val="000000"/>
                <w:sz w:val="20"/>
                <w:szCs w:val="20"/>
              </w:rPr>
            </w:pPr>
            <w:r w:rsidRPr="00AF49F9">
              <w:rPr>
                <w:rFonts w:ascii="Times New Roman" w:hAnsi="Times New Roman"/>
                <w:color w:val="000000"/>
                <w:sz w:val="20"/>
                <w:szCs w:val="20"/>
              </w:rPr>
              <w:t>12 720,0</w:t>
            </w:r>
          </w:p>
        </w:tc>
        <w:tc>
          <w:tcPr>
            <w:tcW w:w="931" w:type="dxa"/>
            <w:tcBorders>
              <w:top w:val="single" w:sz="4" w:space="0" w:color="auto"/>
              <w:left w:val="single" w:sz="4" w:space="0" w:color="auto"/>
              <w:bottom w:val="single" w:sz="4" w:space="0" w:color="auto"/>
              <w:right w:val="single" w:sz="4" w:space="0" w:color="auto"/>
            </w:tcBorders>
            <w:vAlign w:val="center"/>
            <w:hideMark/>
          </w:tcPr>
          <w:p w14:paraId="7E594603" w14:textId="77777777" w:rsidR="004455C6" w:rsidRPr="00AF49F9" w:rsidRDefault="004455C6" w:rsidP="004455C6">
            <w:pPr>
              <w:jc w:val="right"/>
              <w:rPr>
                <w:rFonts w:ascii="Times New Roman" w:hAnsi="Times New Roman"/>
                <w:sz w:val="20"/>
                <w:szCs w:val="20"/>
              </w:rPr>
            </w:pPr>
            <w:r w:rsidRPr="00AF49F9">
              <w:rPr>
                <w:rFonts w:ascii="Times New Roman" w:hAnsi="Times New Roman"/>
                <w:color w:val="000000"/>
                <w:sz w:val="20"/>
                <w:szCs w:val="20"/>
              </w:rPr>
              <w:t>12 143,8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1DFD1B5"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13 915,5</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427CE6E5"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13 811,1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CB2A65F"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13 556,9</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CA579C7"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14 084,8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33DBD61"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14 564,8</w:t>
            </w:r>
          </w:p>
        </w:tc>
      </w:tr>
      <w:tr w:rsidR="004455C6" w:rsidRPr="00AF49F9" w14:paraId="366EE3CD"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193E1B6D" w14:textId="77777777" w:rsidR="004455C6" w:rsidRPr="00AF49F9" w:rsidRDefault="004455C6" w:rsidP="004455C6">
            <w:pPr>
              <w:rPr>
                <w:rFonts w:ascii="Times New Roman" w:hAnsi="Times New Roman"/>
                <w:sz w:val="20"/>
                <w:szCs w:val="20"/>
              </w:rPr>
            </w:pPr>
            <w:r w:rsidRPr="00AF49F9">
              <w:rPr>
                <w:rFonts w:ascii="Times New Roman" w:hAnsi="Times New Roman"/>
                <w:sz w:val="20"/>
                <w:szCs w:val="20"/>
              </w:rPr>
              <w:t>Межбюджетные трансферты из федерального бюджета</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AEED93" w14:textId="77777777" w:rsidR="004455C6" w:rsidRPr="00AF49F9" w:rsidRDefault="004455C6" w:rsidP="004455C6">
            <w:pPr>
              <w:jc w:val="right"/>
              <w:rPr>
                <w:rFonts w:ascii="Times New Roman" w:hAnsi="Times New Roman"/>
                <w:color w:val="000000"/>
                <w:sz w:val="20"/>
                <w:szCs w:val="20"/>
              </w:rPr>
            </w:pPr>
            <w:r w:rsidRPr="00AF49F9">
              <w:rPr>
                <w:rFonts w:ascii="Times New Roman" w:hAnsi="Times New Roman"/>
                <w:color w:val="000000"/>
                <w:sz w:val="20"/>
                <w:szCs w:val="20"/>
              </w:rPr>
              <w:t>2 714,8</w:t>
            </w:r>
          </w:p>
        </w:tc>
        <w:tc>
          <w:tcPr>
            <w:tcW w:w="931" w:type="dxa"/>
            <w:tcBorders>
              <w:top w:val="single" w:sz="4" w:space="0" w:color="auto"/>
              <w:left w:val="single" w:sz="4" w:space="0" w:color="auto"/>
              <w:bottom w:val="single" w:sz="4" w:space="0" w:color="auto"/>
              <w:right w:val="single" w:sz="4" w:space="0" w:color="auto"/>
            </w:tcBorders>
            <w:vAlign w:val="center"/>
            <w:hideMark/>
          </w:tcPr>
          <w:p w14:paraId="17DD1D76" w14:textId="77777777" w:rsidR="004455C6" w:rsidRPr="00AF49F9" w:rsidRDefault="004455C6" w:rsidP="004455C6">
            <w:pPr>
              <w:jc w:val="right"/>
              <w:rPr>
                <w:rFonts w:ascii="Times New Roman" w:hAnsi="Times New Roman"/>
                <w:sz w:val="20"/>
                <w:szCs w:val="20"/>
              </w:rPr>
            </w:pPr>
            <w:r w:rsidRPr="00AF49F9">
              <w:rPr>
                <w:rFonts w:ascii="Times New Roman" w:hAnsi="Times New Roman"/>
                <w:color w:val="000000"/>
                <w:sz w:val="20"/>
                <w:szCs w:val="20"/>
              </w:rPr>
              <w:t>4 009,1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8BFF17D"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3 627,2</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16A0160A"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3 247,7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67A3801"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2 704,5</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69C344F2"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2 411,7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338D5CE"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1 993,3</w:t>
            </w:r>
          </w:p>
        </w:tc>
      </w:tr>
      <w:tr w:rsidR="004455C6" w:rsidRPr="00AF49F9" w14:paraId="6844ABB8"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57261082" w14:textId="77777777" w:rsidR="004455C6" w:rsidRPr="00AF49F9" w:rsidRDefault="004455C6" w:rsidP="004455C6">
            <w:pPr>
              <w:rPr>
                <w:rFonts w:ascii="Times New Roman" w:hAnsi="Times New Roman"/>
                <w:sz w:val="20"/>
                <w:szCs w:val="20"/>
              </w:rPr>
            </w:pPr>
            <w:r w:rsidRPr="00AF49F9">
              <w:rPr>
                <w:rFonts w:ascii="Times New Roman" w:hAnsi="Times New Roman"/>
                <w:sz w:val="20"/>
                <w:szCs w:val="20"/>
              </w:rPr>
              <w:t>Доходы за вычетом субвенций</w:t>
            </w:r>
          </w:p>
        </w:tc>
        <w:tc>
          <w:tcPr>
            <w:tcW w:w="930" w:type="dxa"/>
            <w:tcBorders>
              <w:top w:val="single" w:sz="4" w:space="0" w:color="auto"/>
              <w:left w:val="single" w:sz="4" w:space="0" w:color="auto"/>
              <w:bottom w:val="single" w:sz="4" w:space="0" w:color="auto"/>
              <w:right w:val="single" w:sz="4" w:space="0" w:color="auto"/>
            </w:tcBorders>
            <w:vAlign w:val="center"/>
            <w:hideMark/>
          </w:tcPr>
          <w:p w14:paraId="6A541E52" w14:textId="77777777" w:rsidR="004455C6" w:rsidRPr="00AF49F9" w:rsidRDefault="004455C6" w:rsidP="004455C6">
            <w:pPr>
              <w:jc w:val="right"/>
              <w:rPr>
                <w:rFonts w:ascii="Times New Roman" w:hAnsi="Times New Roman"/>
                <w:color w:val="000000"/>
                <w:sz w:val="20"/>
                <w:szCs w:val="20"/>
              </w:rPr>
            </w:pPr>
            <w:r w:rsidRPr="00AF49F9">
              <w:rPr>
                <w:rFonts w:ascii="Times New Roman" w:hAnsi="Times New Roman"/>
                <w:color w:val="000000"/>
                <w:sz w:val="20"/>
                <w:szCs w:val="20"/>
              </w:rPr>
              <w:t>14 983,7</w:t>
            </w:r>
          </w:p>
        </w:tc>
        <w:tc>
          <w:tcPr>
            <w:tcW w:w="931" w:type="dxa"/>
            <w:tcBorders>
              <w:top w:val="single" w:sz="4" w:space="0" w:color="auto"/>
              <w:left w:val="single" w:sz="4" w:space="0" w:color="auto"/>
              <w:bottom w:val="single" w:sz="4" w:space="0" w:color="auto"/>
              <w:right w:val="single" w:sz="4" w:space="0" w:color="auto"/>
            </w:tcBorders>
            <w:vAlign w:val="center"/>
            <w:hideMark/>
          </w:tcPr>
          <w:p w14:paraId="381C1A7D" w14:textId="77777777" w:rsidR="004455C6" w:rsidRPr="00AF49F9" w:rsidRDefault="004455C6" w:rsidP="004455C6">
            <w:pPr>
              <w:jc w:val="right"/>
              <w:rPr>
                <w:rFonts w:ascii="Times New Roman" w:hAnsi="Times New Roman"/>
                <w:sz w:val="20"/>
                <w:szCs w:val="20"/>
              </w:rPr>
            </w:pPr>
            <w:r w:rsidRPr="00AF49F9">
              <w:rPr>
                <w:rFonts w:ascii="Times New Roman" w:hAnsi="Times New Roman"/>
                <w:color w:val="000000"/>
                <w:sz w:val="20"/>
                <w:szCs w:val="20"/>
              </w:rPr>
              <w:t>15 495,8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930FA10"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17 023,1</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56F60AAF"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16 656,4</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804B15E"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16 008,1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7153C2A"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16 228,3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4B1E900" w14:textId="77777777" w:rsidR="004455C6" w:rsidRPr="00AF49F9" w:rsidRDefault="004455C6" w:rsidP="004455C6">
            <w:pPr>
              <w:jc w:val="right"/>
              <w:rPr>
                <w:rFonts w:ascii="Times New Roman" w:hAnsi="Times New Roman"/>
                <w:sz w:val="20"/>
                <w:szCs w:val="20"/>
              </w:rPr>
            </w:pPr>
            <w:r w:rsidRPr="00AF49F9">
              <w:rPr>
                <w:rFonts w:ascii="Times New Roman" w:hAnsi="Times New Roman"/>
                <w:sz w:val="20"/>
                <w:szCs w:val="20"/>
              </w:rPr>
              <w:t>16 292,8</w:t>
            </w:r>
          </w:p>
        </w:tc>
      </w:tr>
      <w:tr w:rsidR="004455C6" w:rsidRPr="00AF49F9" w14:paraId="2AEEFBF5"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2D7CA276" w14:textId="77777777" w:rsidR="004455C6" w:rsidRPr="00AF49F9" w:rsidRDefault="004455C6" w:rsidP="004455C6">
            <w:pPr>
              <w:rPr>
                <w:rFonts w:ascii="Times New Roman" w:hAnsi="Times New Roman"/>
                <w:b/>
                <w:bCs/>
                <w:sz w:val="20"/>
                <w:szCs w:val="20"/>
              </w:rPr>
            </w:pPr>
            <w:r w:rsidRPr="00AF49F9">
              <w:rPr>
                <w:rFonts w:ascii="Times New Roman" w:hAnsi="Times New Roman"/>
                <w:b/>
                <w:bCs/>
                <w:sz w:val="20"/>
                <w:szCs w:val="20"/>
              </w:rPr>
              <w:t>Расходы</w:t>
            </w:r>
          </w:p>
        </w:tc>
        <w:tc>
          <w:tcPr>
            <w:tcW w:w="930" w:type="dxa"/>
            <w:tcBorders>
              <w:top w:val="single" w:sz="4" w:space="0" w:color="auto"/>
              <w:left w:val="single" w:sz="4" w:space="0" w:color="auto"/>
              <w:bottom w:val="single" w:sz="4" w:space="0" w:color="auto"/>
              <w:right w:val="single" w:sz="4" w:space="0" w:color="auto"/>
            </w:tcBorders>
            <w:vAlign w:val="center"/>
            <w:hideMark/>
          </w:tcPr>
          <w:p w14:paraId="217162EF" w14:textId="77777777" w:rsidR="004455C6" w:rsidRPr="00AF49F9" w:rsidRDefault="004455C6" w:rsidP="004455C6">
            <w:pPr>
              <w:jc w:val="right"/>
              <w:rPr>
                <w:rFonts w:ascii="Times New Roman" w:hAnsi="Times New Roman"/>
                <w:b/>
                <w:bCs/>
                <w:color w:val="000000"/>
                <w:sz w:val="20"/>
                <w:szCs w:val="20"/>
              </w:rPr>
            </w:pPr>
            <w:r w:rsidRPr="00AF49F9">
              <w:rPr>
                <w:rFonts w:ascii="Times New Roman" w:hAnsi="Times New Roman"/>
                <w:b/>
                <w:bCs/>
                <w:color w:val="000000"/>
                <w:sz w:val="20"/>
                <w:szCs w:val="20"/>
              </w:rPr>
              <w:t>15 429,4</w:t>
            </w:r>
          </w:p>
        </w:tc>
        <w:tc>
          <w:tcPr>
            <w:tcW w:w="931" w:type="dxa"/>
            <w:tcBorders>
              <w:top w:val="single" w:sz="4" w:space="0" w:color="auto"/>
              <w:left w:val="single" w:sz="4" w:space="0" w:color="auto"/>
              <w:bottom w:val="single" w:sz="4" w:space="0" w:color="auto"/>
              <w:right w:val="single" w:sz="4" w:space="0" w:color="auto"/>
            </w:tcBorders>
            <w:vAlign w:val="center"/>
            <w:hideMark/>
          </w:tcPr>
          <w:p w14:paraId="15ED2B0A"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color w:val="000000"/>
                <w:sz w:val="20"/>
                <w:szCs w:val="20"/>
              </w:rPr>
              <w:t>16 886,2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698EBA9"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16 882,0</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739581BE"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16 967,7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99F3D93"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16 326,7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D0A0B70"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16 554,1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565BC21"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16 595,3</w:t>
            </w:r>
          </w:p>
        </w:tc>
      </w:tr>
      <w:tr w:rsidR="004455C6" w:rsidRPr="00AF49F9" w14:paraId="496241A2" w14:textId="77777777" w:rsidTr="004455C6">
        <w:trPr>
          <w:trHeight w:val="280"/>
        </w:trPr>
        <w:tc>
          <w:tcPr>
            <w:tcW w:w="2830" w:type="dxa"/>
            <w:tcBorders>
              <w:top w:val="single" w:sz="4" w:space="0" w:color="auto"/>
              <w:left w:val="single" w:sz="4" w:space="0" w:color="auto"/>
              <w:bottom w:val="single" w:sz="4" w:space="0" w:color="auto"/>
              <w:right w:val="single" w:sz="4" w:space="0" w:color="auto"/>
            </w:tcBorders>
            <w:noWrap/>
            <w:hideMark/>
          </w:tcPr>
          <w:p w14:paraId="2D44A1CC" w14:textId="77777777" w:rsidR="004455C6" w:rsidRPr="00AF49F9" w:rsidRDefault="004455C6" w:rsidP="004455C6">
            <w:pPr>
              <w:rPr>
                <w:rFonts w:ascii="Times New Roman" w:hAnsi="Times New Roman"/>
                <w:b/>
                <w:bCs/>
                <w:sz w:val="20"/>
                <w:szCs w:val="20"/>
              </w:rPr>
            </w:pPr>
            <w:r w:rsidRPr="00AF49F9">
              <w:rPr>
                <w:rFonts w:ascii="Times New Roman" w:hAnsi="Times New Roman"/>
                <w:b/>
                <w:bCs/>
                <w:sz w:val="20"/>
                <w:szCs w:val="20"/>
              </w:rPr>
              <w:t>Профицит / дефицит</w:t>
            </w:r>
          </w:p>
        </w:tc>
        <w:tc>
          <w:tcPr>
            <w:tcW w:w="930" w:type="dxa"/>
            <w:tcBorders>
              <w:top w:val="single" w:sz="4" w:space="0" w:color="auto"/>
              <w:left w:val="single" w:sz="4" w:space="0" w:color="auto"/>
              <w:bottom w:val="single" w:sz="4" w:space="0" w:color="auto"/>
              <w:right w:val="single" w:sz="4" w:space="0" w:color="auto"/>
            </w:tcBorders>
            <w:vAlign w:val="center"/>
            <w:hideMark/>
          </w:tcPr>
          <w:p w14:paraId="3CFFE700" w14:textId="77777777" w:rsidR="004455C6" w:rsidRPr="00AF49F9" w:rsidRDefault="004455C6" w:rsidP="004455C6">
            <w:pPr>
              <w:jc w:val="right"/>
              <w:rPr>
                <w:rFonts w:ascii="Times New Roman" w:hAnsi="Times New Roman"/>
                <w:b/>
                <w:bCs/>
                <w:color w:val="000000"/>
                <w:sz w:val="20"/>
                <w:szCs w:val="20"/>
              </w:rPr>
            </w:pPr>
            <w:r w:rsidRPr="00AF49F9">
              <w:rPr>
                <w:rFonts w:ascii="Times New Roman" w:hAnsi="Times New Roman"/>
                <w:b/>
                <w:bCs/>
                <w:color w:val="000000"/>
                <w:sz w:val="20"/>
                <w:szCs w:val="20"/>
              </w:rPr>
              <w:t>5,3</w:t>
            </w:r>
          </w:p>
        </w:tc>
        <w:tc>
          <w:tcPr>
            <w:tcW w:w="931" w:type="dxa"/>
            <w:tcBorders>
              <w:top w:val="single" w:sz="4" w:space="0" w:color="auto"/>
              <w:left w:val="single" w:sz="4" w:space="0" w:color="auto"/>
              <w:bottom w:val="single" w:sz="4" w:space="0" w:color="auto"/>
              <w:right w:val="single" w:sz="4" w:space="0" w:color="auto"/>
            </w:tcBorders>
            <w:vAlign w:val="center"/>
            <w:hideMark/>
          </w:tcPr>
          <w:p w14:paraId="404DC750"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color w:val="000000"/>
                <w:sz w:val="20"/>
                <w:szCs w:val="20"/>
              </w:rPr>
              <w:t>-733,3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2E41983"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660,7</w:t>
            </w:r>
          </w:p>
        </w:tc>
        <w:tc>
          <w:tcPr>
            <w:tcW w:w="930" w:type="dxa"/>
            <w:tcBorders>
              <w:top w:val="single" w:sz="4" w:space="0" w:color="auto"/>
              <w:left w:val="single" w:sz="4" w:space="0" w:color="auto"/>
              <w:bottom w:val="single" w:sz="4" w:space="0" w:color="auto"/>
              <w:right w:val="single" w:sz="4" w:space="0" w:color="auto"/>
            </w:tcBorders>
            <w:noWrap/>
            <w:vAlign w:val="center"/>
            <w:hideMark/>
          </w:tcPr>
          <w:p w14:paraId="03B37B14"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91,1</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785627F"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-65,3</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73205D65"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-57,7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3BABD049" w14:textId="77777777" w:rsidR="004455C6" w:rsidRPr="00AF49F9" w:rsidRDefault="004455C6" w:rsidP="004455C6">
            <w:pPr>
              <w:jc w:val="right"/>
              <w:rPr>
                <w:rFonts w:ascii="Times New Roman" w:hAnsi="Times New Roman"/>
                <w:b/>
                <w:bCs/>
                <w:sz w:val="20"/>
                <w:szCs w:val="20"/>
              </w:rPr>
            </w:pPr>
            <w:r w:rsidRPr="00AF49F9">
              <w:rPr>
                <w:rFonts w:ascii="Times New Roman" w:hAnsi="Times New Roman"/>
                <w:b/>
                <w:bCs/>
                <w:sz w:val="20"/>
                <w:szCs w:val="20"/>
              </w:rPr>
              <w:t>-37,3</w:t>
            </w:r>
          </w:p>
        </w:tc>
      </w:tr>
    </w:tbl>
    <w:p w14:paraId="597CB7C5" w14:textId="77777777" w:rsidR="004455C6" w:rsidRPr="009D5B83" w:rsidRDefault="004455C6" w:rsidP="004455C6">
      <w:pPr>
        <w:spacing w:line="360" w:lineRule="auto"/>
        <w:ind w:firstLine="709"/>
        <w:jc w:val="both"/>
        <w:rPr>
          <w:rFonts w:eastAsia="Calibri"/>
          <w:sz w:val="20"/>
          <w:szCs w:val="20"/>
          <w:lang w:eastAsia="en-US"/>
        </w:rPr>
      </w:pPr>
      <w:r w:rsidRPr="00AF49F9">
        <w:rPr>
          <w:rFonts w:eastAsia="Calibri"/>
          <w:i/>
          <w:iCs/>
          <w:sz w:val="20"/>
          <w:szCs w:val="20"/>
          <w:lang w:eastAsia="en-US"/>
        </w:rPr>
        <w:t>Источник</w:t>
      </w:r>
      <w:r w:rsidRPr="009D5B83">
        <w:rPr>
          <w:rFonts w:eastAsia="Calibri"/>
          <w:sz w:val="20"/>
          <w:szCs w:val="20"/>
          <w:lang w:eastAsia="en-US"/>
        </w:rPr>
        <w:t>: Законопроект, ОНБНТТП, расчеты авторов.</w:t>
      </w:r>
    </w:p>
    <w:p w14:paraId="20A2EB31" w14:textId="77777777" w:rsidR="004455C6" w:rsidRPr="009D5B83" w:rsidRDefault="004455C6" w:rsidP="004455C6">
      <w:pPr>
        <w:spacing w:line="360" w:lineRule="auto"/>
        <w:ind w:firstLine="709"/>
        <w:jc w:val="both"/>
        <w:rPr>
          <w:rFonts w:eastAsia="Calibri"/>
          <w:lang w:eastAsia="en-US"/>
        </w:rPr>
      </w:pPr>
    </w:p>
    <w:p w14:paraId="25257C7C" w14:textId="16EFF8FF" w:rsidR="004455C6" w:rsidRPr="00E103B9" w:rsidRDefault="004455C6" w:rsidP="004455C6">
      <w:pPr>
        <w:spacing w:after="120"/>
        <w:ind w:firstLine="709"/>
        <w:jc w:val="both"/>
        <w:rPr>
          <w:rFonts w:eastAsia="Calibri"/>
          <w:sz w:val="28"/>
          <w:lang w:eastAsia="en-US"/>
        </w:rPr>
      </w:pPr>
      <w:r w:rsidRPr="00E103B9">
        <w:rPr>
          <w:rFonts w:eastAsia="Calibri"/>
          <w:sz w:val="28"/>
          <w:lang w:eastAsia="en-US"/>
        </w:rPr>
        <w:lastRenderedPageBreak/>
        <w:t>Таким образом, на субфедеральном уровне ожидается достаточно высокий уровень бюджетной сбалансированности. Для сравнения, в 2020 г</w:t>
      </w:r>
      <w:r w:rsidR="002606E9" w:rsidRPr="00E103B9">
        <w:rPr>
          <w:rFonts w:eastAsia="Calibri"/>
          <w:sz w:val="28"/>
          <w:lang w:eastAsia="en-US"/>
        </w:rPr>
        <w:t>.</w:t>
      </w:r>
      <w:r w:rsidRPr="00E103B9">
        <w:rPr>
          <w:rFonts w:eastAsia="Calibri"/>
          <w:sz w:val="28"/>
          <w:lang w:eastAsia="en-US"/>
        </w:rPr>
        <w:t xml:space="preserve">, на который пришлась пиковая фаза кризиса, связанного с пандемией </w:t>
      </w:r>
      <w:proofErr w:type="spellStart"/>
      <w:r w:rsidRPr="00E103B9">
        <w:rPr>
          <w:rFonts w:eastAsia="Calibri"/>
          <w:sz w:val="28"/>
          <w:lang w:eastAsia="en-US"/>
        </w:rPr>
        <w:t>коронавируса</w:t>
      </w:r>
      <w:proofErr w:type="spellEnd"/>
      <w:r w:rsidRPr="00E103B9">
        <w:rPr>
          <w:rFonts w:eastAsia="Calibri"/>
          <w:sz w:val="28"/>
          <w:lang w:eastAsia="en-US"/>
        </w:rPr>
        <w:t xml:space="preserve">, дефицит региональных бюджетов составил 6,0% от налоговых и неналоговых доходов. В соответствии с прогнозом доходы и расходы в постоянных ценах 2021 г. на конец планового </w:t>
      </w:r>
      <w:proofErr w:type="gramStart"/>
      <w:r w:rsidRPr="00E103B9">
        <w:rPr>
          <w:rFonts w:eastAsia="Calibri"/>
          <w:sz w:val="28"/>
          <w:lang w:eastAsia="en-US"/>
        </w:rPr>
        <w:t>периода</w:t>
      </w:r>
      <w:proofErr w:type="gramEnd"/>
      <w:r w:rsidRPr="00E103B9">
        <w:rPr>
          <w:rFonts w:eastAsia="Calibri"/>
          <w:sz w:val="28"/>
          <w:lang w:eastAsia="en-US"/>
        </w:rPr>
        <w:t xml:space="preserve"> достигнут уровня, сопоставимого с 2020 г</w:t>
      </w:r>
      <w:r w:rsidR="002606E9" w:rsidRPr="00E103B9">
        <w:rPr>
          <w:rFonts w:eastAsia="Calibri"/>
          <w:sz w:val="28"/>
          <w:lang w:eastAsia="en-US"/>
        </w:rPr>
        <w:t>.</w:t>
      </w:r>
      <w:r w:rsidRPr="00E103B9">
        <w:rPr>
          <w:rFonts w:eastAsia="Calibri"/>
          <w:sz w:val="28"/>
          <w:lang w:eastAsia="en-US"/>
        </w:rPr>
        <w:t xml:space="preserve"> (</w:t>
      </w:r>
      <w:r w:rsidRPr="00E103B9">
        <w:rPr>
          <w:rFonts w:eastAsia="Calibri"/>
          <w:i/>
          <w:iCs/>
          <w:sz w:val="28"/>
          <w:lang w:eastAsia="en-US"/>
        </w:rPr>
        <w:t xml:space="preserve">рисунок </w:t>
      </w:r>
      <w:r w:rsidR="0098620E" w:rsidRPr="00E103B9">
        <w:rPr>
          <w:rFonts w:eastAsia="Calibri"/>
          <w:i/>
          <w:iCs/>
          <w:sz w:val="28"/>
          <w:lang w:eastAsia="en-US"/>
        </w:rPr>
        <w:t>6</w:t>
      </w:r>
      <w:r w:rsidRPr="00E103B9">
        <w:rPr>
          <w:rFonts w:eastAsia="Calibri"/>
          <w:sz w:val="28"/>
          <w:lang w:eastAsia="en-US"/>
        </w:rPr>
        <w:t>).</w:t>
      </w:r>
    </w:p>
    <w:p w14:paraId="7A7AED0C" w14:textId="77777777" w:rsidR="004455C6" w:rsidRPr="009D5B83" w:rsidRDefault="004455C6" w:rsidP="004455C6">
      <w:pPr>
        <w:spacing w:line="360" w:lineRule="auto"/>
        <w:jc w:val="both"/>
        <w:rPr>
          <w:rFonts w:eastAsia="Calibri"/>
          <w:lang w:eastAsia="en-US"/>
        </w:rPr>
      </w:pPr>
      <w:r w:rsidRPr="009D5B83">
        <w:rPr>
          <w:rFonts w:eastAsia="Calibri"/>
          <w:noProof/>
          <w:szCs w:val="22"/>
        </w:rPr>
        <w:drawing>
          <wp:inline distT="0" distB="0" distL="0" distR="0" wp14:anchorId="155B6570" wp14:editId="6E4F39C0">
            <wp:extent cx="2689225" cy="2232025"/>
            <wp:effectExtent l="0" t="0" r="15875" b="15875"/>
            <wp:docPr id="16" name="Диаграмма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D5B83">
        <w:rPr>
          <w:rFonts w:eastAsia="Calibri"/>
          <w:noProof/>
          <w:szCs w:val="22"/>
          <w:lang w:eastAsia="en-US"/>
        </w:rPr>
        <w:t xml:space="preserve"> </w:t>
      </w:r>
      <w:r w:rsidRPr="009D5B83">
        <w:rPr>
          <w:rFonts w:eastAsia="Calibri"/>
          <w:noProof/>
          <w:szCs w:val="22"/>
        </w:rPr>
        <w:drawing>
          <wp:inline distT="0" distB="0" distL="0" distR="0" wp14:anchorId="70676033" wp14:editId="48E282A2">
            <wp:extent cx="3012440" cy="2232025"/>
            <wp:effectExtent l="0" t="0" r="10160" b="15875"/>
            <wp:docPr id="17" name="Диаграмма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D5B83">
        <w:rPr>
          <w:rFonts w:eastAsia="Calibri"/>
          <w:noProof/>
          <w:szCs w:val="22"/>
          <w:lang w:eastAsia="en-US"/>
        </w:rPr>
        <w:t xml:space="preserve"> </w:t>
      </w:r>
    </w:p>
    <w:p w14:paraId="58E4E842" w14:textId="3ADB0183" w:rsidR="004455C6" w:rsidRPr="009D5B83" w:rsidRDefault="004455C6" w:rsidP="004455C6">
      <w:pPr>
        <w:ind w:firstLine="709"/>
        <w:jc w:val="both"/>
        <w:rPr>
          <w:rFonts w:eastAsia="Calibri"/>
          <w:sz w:val="20"/>
          <w:szCs w:val="20"/>
          <w:lang w:eastAsia="en-US"/>
        </w:rPr>
      </w:pPr>
      <w:r w:rsidRPr="009D5B83">
        <w:rPr>
          <w:rFonts w:eastAsia="Calibri"/>
          <w:sz w:val="20"/>
          <w:szCs w:val="20"/>
          <w:lang w:eastAsia="en-US"/>
        </w:rPr>
        <w:t>Источник: ОНБНТТП, расчеты авторов.</w:t>
      </w:r>
    </w:p>
    <w:p w14:paraId="60AF1267" w14:textId="355A9738" w:rsidR="004455C6" w:rsidRPr="009D5B83" w:rsidRDefault="004455C6" w:rsidP="004455C6">
      <w:pPr>
        <w:ind w:firstLine="709"/>
        <w:jc w:val="both"/>
        <w:rPr>
          <w:rFonts w:eastAsia="Calibri"/>
          <w:sz w:val="20"/>
          <w:szCs w:val="20"/>
          <w:lang w:eastAsia="en-US"/>
        </w:rPr>
      </w:pPr>
    </w:p>
    <w:p w14:paraId="0A507E44" w14:textId="169A79B2" w:rsidR="004455C6" w:rsidRPr="009D5B83" w:rsidRDefault="004455C6" w:rsidP="00043E7A">
      <w:pPr>
        <w:jc w:val="center"/>
        <w:rPr>
          <w:rFonts w:eastAsia="Calibri"/>
          <w:b/>
          <w:bCs/>
          <w:lang w:eastAsia="en-US"/>
        </w:rPr>
      </w:pPr>
      <w:r w:rsidRPr="009D5B83">
        <w:rPr>
          <w:rFonts w:eastAsia="Calibri"/>
          <w:b/>
          <w:bCs/>
          <w:i/>
          <w:iCs/>
          <w:lang w:eastAsia="en-US"/>
        </w:rPr>
        <w:t>Рисунок</w:t>
      </w:r>
      <w:r w:rsidR="0098620E" w:rsidRPr="009D5B83">
        <w:rPr>
          <w:rFonts w:eastAsia="Calibri"/>
          <w:b/>
          <w:bCs/>
          <w:i/>
          <w:iCs/>
          <w:lang w:eastAsia="en-US"/>
        </w:rPr>
        <w:t xml:space="preserve"> 6 – </w:t>
      </w:r>
      <w:r w:rsidRPr="009D5B83">
        <w:rPr>
          <w:rFonts w:eastAsia="Calibri"/>
          <w:b/>
          <w:bCs/>
          <w:lang w:eastAsia="en-US"/>
        </w:rPr>
        <w:t>Динамика доходов и расходов консолидированных бюджетов субъектов РФ в ценах 2021 г. (</w:t>
      </w:r>
      <w:proofErr w:type="gramStart"/>
      <w:r w:rsidRPr="009D5B83">
        <w:rPr>
          <w:rFonts w:eastAsia="Calibri"/>
          <w:b/>
          <w:bCs/>
          <w:lang w:eastAsia="en-US"/>
        </w:rPr>
        <w:t>млрд</w:t>
      </w:r>
      <w:proofErr w:type="gramEnd"/>
      <w:r w:rsidRPr="009D5B83">
        <w:rPr>
          <w:rFonts w:eastAsia="Calibri"/>
          <w:b/>
          <w:bCs/>
          <w:lang w:eastAsia="en-US"/>
        </w:rPr>
        <w:t xml:space="preserve"> руб.) и в процентах ВВП (%)</w:t>
      </w:r>
    </w:p>
    <w:p w14:paraId="6F68143C" w14:textId="77777777" w:rsidR="004455C6" w:rsidRPr="009D5B83" w:rsidRDefault="004455C6" w:rsidP="004455C6">
      <w:pPr>
        <w:ind w:firstLine="709"/>
        <w:jc w:val="both"/>
        <w:rPr>
          <w:rFonts w:eastAsia="Calibri"/>
          <w:sz w:val="20"/>
          <w:szCs w:val="20"/>
          <w:lang w:eastAsia="en-US"/>
        </w:rPr>
      </w:pPr>
    </w:p>
    <w:p w14:paraId="27E68B49" w14:textId="77777777" w:rsidR="0009776C" w:rsidRPr="00E103B9" w:rsidRDefault="004455C6" w:rsidP="004455C6">
      <w:pPr>
        <w:spacing w:after="120"/>
        <w:ind w:firstLine="709"/>
        <w:jc w:val="both"/>
        <w:rPr>
          <w:rFonts w:eastAsia="Calibri"/>
          <w:sz w:val="28"/>
          <w:lang w:eastAsia="en-US"/>
        </w:rPr>
      </w:pPr>
      <w:r w:rsidRPr="00E103B9">
        <w:rPr>
          <w:rFonts w:eastAsia="Calibri"/>
          <w:sz w:val="28"/>
          <w:lang w:eastAsia="en-US"/>
        </w:rPr>
        <w:t xml:space="preserve">Если рассматривать доходы и расходы консолидированных бюджетов регионов в долях ВВП, то следует отметить убывающую динамику этих показателей на протяжении 2023-2025 гг. </w:t>
      </w:r>
    </w:p>
    <w:p w14:paraId="3761DEDF" w14:textId="0B3C6B21" w:rsidR="004455C6" w:rsidRPr="00E103B9" w:rsidRDefault="004455C6" w:rsidP="004455C6">
      <w:pPr>
        <w:spacing w:after="120"/>
        <w:ind w:firstLine="709"/>
        <w:jc w:val="both"/>
        <w:rPr>
          <w:rFonts w:eastAsia="Calibri"/>
          <w:sz w:val="28"/>
          <w:lang w:eastAsia="en-US"/>
        </w:rPr>
      </w:pPr>
      <w:r w:rsidRPr="00E103B9">
        <w:rPr>
          <w:rFonts w:eastAsia="Calibri"/>
          <w:sz w:val="28"/>
          <w:lang w:eastAsia="en-US"/>
        </w:rPr>
        <w:t>Необходимо обратить внимание, что прогнозируемые темпы роста ВВП и региональных доходов имеют единую направленность, однако в 2023 г. доходы регионов сокращаются существенно сильнее, а в 2024–2025 гг. растут медленнее, чем ВВП (</w:t>
      </w:r>
      <w:r w:rsidRPr="00E103B9">
        <w:rPr>
          <w:rFonts w:eastAsia="Calibri"/>
          <w:i/>
          <w:iCs/>
          <w:sz w:val="28"/>
          <w:lang w:eastAsia="en-US"/>
        </w:rPr>
        <w:t xml:space="preserve">рисунок </w:t>
      </w:r>
      <w:r w:rsidR="001F6B60" w:rsidRPr="00E103B9">
        <w:rPr>
          <w:rFonts w:eastAsia="Calibri"/>
          <w:i/>
          <w:iCs/>
          <w:sz w:val="28"/>
          <w:lang w:eastAsia="en-US"/>
        </w:rPr>
        <w:t>7</w:t>
      </w:r>
      <w:r w:rsidRPr="00E103B9">
        <w:rPr>
          <w:rFonts w:eastAsia="Calibri"/>
          <w:sz w:val="28"/>
          <w:lang w:eastAsia="en-US"/>
        </w:rPr>
        <w:t>). Эту тенденцию можно объяснить зависимостью региональных бюджетов от федеральной помощи, реальный объем которой будет постепенно сокращаться на протяжении всего рассматриваемого периода.</w:t>
      </w:r>
    </w:p>
    <w:p w14:paraId="377B42BF" w14:textId="77777777" w:rsidR="004455C6" w:rsidRPr="009D5B83" w:rsidRDefault="004455C6" w:rsidP="004455C6">
      <w:pPr>
        <w:spacing w:line="360" w:lineRule="auto"/>
        <w:ind w:firstLine="709"/>
        <w:jc w:val="both"/>
        <w:rPr>
          <w:rFonts w:eastAsia="Calibri"/>
          <w:lang w:eastAsia="en-US"/>
        </w:rPr>
      </w:pPr>
      <w:r w:rsidRPr="009D5B83">
        <w:rPr>
          <w:rFonts w:eastAsia="Calibri"/>
          <w:noProof/>
          <w:szCs w:val="22"/>
        </w:rPr>
        <w:lastRenderedPageBreak/>
        <w:drawing>
          <wp:inline distT="0" distB="0" distL="0" distR="0" wp14:anchorId="34BA4F4D" wp14:editId="6A811DA1">
            <wp:extent cx="4580890" cy="2752090"/>
            <wp:effectExtent l="0" t="0" r="16510" b="1651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5A6567" w14:textId="0B09B2F2" w:rsidR="004455C6" w:rsidRPr="009D5B83" w:rsidRDefault="004455C6" w:rsidP="004455C6">
      <w:pPr>
        <w:ind w:firstLine="709"/>
        <w:jc w:val="both"/>
        <w:rPr>
          <w:rFonts w:eastAsia="Calibri"/>
          <w:sz w:val="20"/>
          <w:szCs w:val="20"/>
          <w:lang w:eastAsia="en-US"/>
        </w:rPr>
      </w:pPr>
      <w:r w:rsidRPr="009D5B83">
        <w:rPr>
          <w:rFonts w:eastAsia="Calibri"/>
          <w:i/>
          <w:iCs/>
          <w:sz w:val="20"/>
          <w:szCs w:val="20"/>
          <w:lang w:eastAsia="en-US"/>
        </w:rPr>
        <w:t>Источник</w:t>
      </w:r>
      <w:r w:rsidRPr="009D5B83">
        <w:rPr>
          <w:rFonts w:eastAsia="Calibri"/>
          <w:sz w:val="20"/>
          <w:szCs w:val="20"/>
          <w:lang w:eastAsia="en-US"/>
        </w:rPr>
        <w:t>: ОНБНТТП, расчеты авторов.</w:t>
      </w:r>
    </w:p>
    <w:p w14:paraId="24F779B8" w14:textId="7C47C423" w:rsidR="004455C6" w:rsidRPr="009D5B83" w:rsidRDefault="004455C6" w:rsidP="001F6B60">
      <w:pPr>
        <w:spacing w:before="120" w:after="120"/>
        <w:jc w:val="center"/>
        <w:rPr>
          <w:rFonts w:eastAsia="Calibri"/>
          <w:b/>
          <w:bCs/>
          <w:lang w:eastAsia="en-US"/>
        </w:rPr>
      </w:pPr>
      <w:r w:rsidRPr="009D5B83">
        <w:rPr>
          <w:rFonts w:eastAsia="Calibri"/>
          <w:b/>
          <w:bCs/>
          <w:i/>
          <w:iCs/>
          <w:lang w:eastAsia="en-US"/>
        </w:rPr>
        <w:t xml:space="preserve">Рисунок </w:t>
      </w:r>
      <w:r w:rsidR="001F6B60" w:rsidRPr="009D5B83">
        <w:rPr>
          <w:rFonts w:eastAsia="Calibri"/>
          <w:b/>
          <w:bCs/>
          <w:i/>
          <w:iCs/>
          <w:lang w:eastAsia="en-US"/>
        </w:rPr>
        <w:t>7 –</w:t>
      </w:r>
      <w:r w:rsidRPr="009D5B83">
        <w:rPr>
          <w:rFonts w:eastAsia="Calibri"/>
          <w:b/>
          <w:bCs/>
          <w:lang w:eastAsia="en-US"/>
        </w:rPr>
        <w:t xml:space="preserve"> Сравнение темпов роста ВВП и доходов консолидированных бюджетов субъектов РФ в 2023-2025 гг., %</w:t>
      </w:r>
    </w:p>
    <w:p w14:paraId="28D7839B" w14:textId="69AC5C36" w:rsidR="004455C6" w:rsidRPr="00E103B9" w:rsidRDefault="004455C6" w:rsidP="00043E7A">
      <w:pPr>
        <w:spacing w:after="120"/>
        <w:ind w:firstLine="567"/>
        <w:jc w:val="both"/>
        <w:rPr>
          <w:rFonts w:eastAsia="Calibri"/>
          <w:sz w:val="28"/>
          <w:szCs w:val="22"/>
          <w:lang w:eastAsia="en-US"/>
        </w:rPr>
      </w:pPr>
      <w:r w:rsidRPr="00E103B9">
        <w:rPr>
          <w:rFonts w:eastAsia="Calibri"/>
          <w:sz w:val="28"/>
          <w:lang w:eastAsia="en-US"/>
        </w:rPr>
        <w:t xml:space="preserve">Как следует из </w:t>
      </w:r>
      <w:r w:rsidRPr="00E103B9">
        <w:rPr>
          <w:rFonts w:eastAsia="Calibri"/>
          <w:sz w:val="28"/>
          <w:szCs w:val="22"/>
          <w:lang w:eastAsia="en-US"/>
        </w:rPr>
        <w:t>ОНБНТТП</w:t>
      </w:r>
      <w:r w:rsidRPr="00E103B9">
        <w:rPr>
          <w:rFonts w:eastAsia="Calibri"/>
          <w:sz w:val="28"/>
          <w:lang w:eastAsia="en-US"/>
        </w:rPr>
        <w:t xml:space="preserve">, выход на положительные темпы роста реального объема региональных доходов и стабилизация уровня бюджетного дефицита будут обеспечены исключительно благодаря </w:t>
      </w:r>
      <w:r w:rsidRPr="00E103B9">
        <w:rPr>
          <w:rFonts w:eastAsia="Calibri"/>
          <w:sz w:val="28"/>
          <w:szCs w:val="22"/>
          <w:lang w:eastAsia="en-US"/>
        </w:rPr>
        <w:t>собственным доходным источникам региональных и местных бюджетов. Основу доходной базы региональных бюджетов составляет НДФЛ (около 40% общей суммы налоговых и неналоговых доходов), а стабильность поступлений по нему во многом зависит от численности населения трудоспособного возраста, занятого в экономике. Поэтому следует рассматривать неизменность или положительную динамику данного показателя как ключевой фактор сохранения уровня собственных доходов региональных бюджетов. Вторым фактором являются финансовые возможности федерального центра и степень приоритетности поддержки регионов в числе политических задач.</w:t>
      </w:r>
    </w:p>
    <w:p w14:paraId="3AA872C6" w14:textId="59439977" w:rsidR="004455C6" w:rsidRPr="00E103B9" w:rsidRDefault="004455C6" w:rsidP="007931B0">
      <w:pPr>
        <w:spacing w:after="120"/>
        <w:ind w:firstLine="567"/>
        <w:jc w:val="both"/>
        <w:rPr>
          <w:rFonts w:eastAsia="Calibri"/>
          <w:sz w:val="28"/>
          <w:szCs w:val="22"/>
          <w:lang w:eastAsia="en-US"/>
        </w:rPr>
      </w:pPr>
      <w:r w:rsidRPr="00E103B9">
        <w:rPr>
          <w:rFonts w:eastAsia="Calibri"/>
          <w:sz w:val="28"/>
          <w:szCs w:val="22"/>
          <w:lang w:eastAsia="en-US"/>
        </w:rPr>
        <w:t xml:space="preserve">Бюджетная сбалансированность на субфедеральном уровне подразумевает следование расходов за доходными возможностями. </w:t>
      </w:r>
      <w:proofErr w:type="gramStart"/>
      <w:r w:rsidRPr="00E103B9">
        <w:rPr>
          <w:rFonts w:eastAsia="Calibri"/>
          <w:sz w:val="28"/>
          <w:szCs w:val="22"/>
          <w:lang w:eastAsia="en-US"/>
        </w:rPr>
        <w:t>Отметим, что в 2023 г., согласно Законопроекту, реальные расходы регионов сократятся на 3,8%. Вместе с тем, в ОНБНТТП указано, что в период 2023-2025 г. регионы продолжат исполнять расходные обязательства, связанные с реализацией задач, возложенных на них федеральным центром (в частности, повышение минимального уровня оплаты труда, повышение или индексация оплаты труда работников бюджетной сферы, реализация национальных проектов).</w:t>
      </w:r>
      <w:proofErr w:type="gramEnd"/>
      <w:r w:rsidRPr="00E103B9">
        <w:rPr>
          <w:rFonts w:eastAsia="Calibri"/>
          <w:sz w:val="28"/>
          <w:szCs w:val="22"/>
          <w:lang w:eastAsia="en-US"/>
        </w:rPr>
        <w:t xml:space="preserve"> Таким образом, регионы будут вынуждены искать пути оптимизации расходов. Как показывает практика, в кризисные периоды регионы </w:t>
      </w:r>
      <w:proofErr w:type="gramStart"/>
      <w:r w:rsidRPr="00E103B9">
        <w:rPr>
          <w:rFonts w:eastAsia="Calibri"/>
          <w:sz w:val="28"/>
          <w:szCs w:val="22"/>
          <w:lang w:eastAsia="en-US"/>
        </w:rPr>
        <w:t>сокращают</w:t>
      </w:r>
      <w:proofErr w:type="gramEnd"/>
      <w:r w:rsidRPr="00E103B9">
        <w:rPr>
          <w:rFonts w:eastAsia="Calibri"/>
          <w:sz w:val="28"/>
          <w:szCs w:val="22"/>
          <w:lang w:eastAsia="en-US"/>
        </w:rPr>
        <w:t xml:space="preserve"> прежде всего инвестиционные расходы, а в условиях обязательности выполнения национальных проектов можно ожидать сокращения капиталовложений в отрасли, не охваченные федеральными приоритетами. Это не будет </w:t>
      </w:r>
      <w:r w:rsidRPr="00E103B9">
        <w:rPr>
          <w:rFonts w:eastAsia="Calibri"/>
          <w:sz w:val="28"/>
          <w:szCs w:val="22"/>
          <w:lang w:eastAsia="en-US"/>
        </w:rPr>
        <w:lastRenderedPageBreak/>
        <w:t>способствовать развитию доходной базы регионов и их финансовой самостоятельности, и повысит риски несбалансированности бюджетов на субфедеральном уровне.</w:t>
      </w:r>
    </w:p>
    <w:p w14:paraId="6B47DD7C" w14:textId="77777777" w:rsidR="004455C6" w:rsidRPr="00E103B9" w:rsidRDefault="004455C6" w:rsidP="006B103B">
      <w:pPr>
        <w:spacing w:after="120"/>
        <w:ind w:left="142" w:firstLine="567"/>
        <w:rPr>
          <w:rFonts w:eastAsia="Calibri"/>
          <w:b/>
          <w:bCs/>
          <w:i/>
          <w:iCs/>
          <w:sz w:val="28"/>
          <w:lang w:eastAsia="en-US"/>
        </w:rPr>
      </w:pPr>
      <w:bookmarkStart w:id="44" w:name="_Hlk116294425"/>
      <w:r w:rsidRPr="00E103B9">
        <w:rPr>
          <w:rFonts w:eastAsia="Calibri"/>
          <w:b/>
          <w:bCs/>
          <w:i/>
          <w:iCs/>
          <w:sz w:val="28"/>
          <w:lang w:eastAsia="en-US"/>
        </w:rPr>
        <w:t>Межбюджетные трансферты</w:t>
      </w:r>
    </w:p>
    <w:bookmarkEnd w:id="44"/>
    <w:p w14:paraId="3F08C9CB"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Законопроектом предусмотрено постепенное снижение номинального объема межбюджетных трансфертов регионам в 2023-2025 гг. после достижения беспрецедентно высокого уровня финансовой помощи в 2021 и 2022 гг. </w:t>
      </w:r>
      <w:proofErr w:type="gramStart"/>
      <w:r w:rsidRPr="00E103B9">
        <w:rPr>
          <w:rFonts w:eastAsia="Calibri"/>
          <w:sz w:val="28"/>
          <w:szCs w:val="22"/>
          <w:lang w:eastAsia="en-US"/>
        </w:rPr>
        <w:t>К</w:t>
      </w:r>
      <w:proofErr w:type="gramEnd"/>
      <w:r w:rsidRPr="00E103B9">
        <w:rPr>
          <w:rFonts w:eastAsia="Calibri"/>
          <w:sz w:val="28"/>
          <w:szCs w:val="22"/>
          <w:lang w:eastAsia="en-US"/>
        </w:rPr>
        <w:t xml:space="preserve"> безусловно положительным тенденциям, заложенным в Законопроекте, следует отнести:</w:t>
      </w:r>
    </w:p>
    <w:p w14:paraId="4F325261"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 постепенное увеличение доли нецелевой финансовой помощи. </w:t>
      </w:r>
      <w:proofErr w:type="gramStart"/>
      <w:r w:rsidRPr="00E103B9">
        <w:rPr>
          <w:rFonts w:eastAsia="Calibri"/>
          <w:sz w:val="28"/>
          <w:szCs w:val="22"/>
          <w:lang w:eastAsia="en-US"/>
        </w:rPr>
        <w:t>Если по итогам 2022 г. доля дотаций в общем объеме межбюджетных трансфертов за вычетом субвенций должна составить 30,3%, то к 2025 г. этот показатель должен вырасти до 48,5%. Нецелевые межбюджетные трансферты предоставляют регионам больше свободы в распоряжении денежными средствами и в б</w:t>
      </w:r>
      <w:r w:rsidRPr="00E103B9">
        <w:rPr>
          <w:rFonts w:eastAsia="Calibri"/>
          <w:i/>
          <w:iCs/>
          <w:sz w:val="28"/>
          <w:szCs w:val="22"/>
          <w:lang w:eastAsia="en-US"/>
        </w:rPr>
        <w:t>о</w:t>
      </w:r>
      <w:r w:rsidRPr="00E103B9">
        <w:rPr>
          <w:rFonts w:eastAsia="Calibri"/>
          <w:sz w:val="28"/>
          <w:szCs w:val="22"/>
          <w:lang w:eastAsia="en-US"/>
        </w:rPr>
        <w:t>льшей степени стимулируют регионы к социальному-экономическому развитию, чем целевые трансферты;</w:t>
      </w:r>
      <w:proofErr w:type="gramEnd"/>
    </w:p>
    <w:p w14:paraId="588F20B7"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постепенное сокращение объемов иных межбюджетных трансфертов как наименее формализованных и прозрачных инструментов межбюджетных отношений. Если по итогам 2022 г. объем иных межбюджетных трансфертов должен составить 0,44% ВВП, то в 2023 г. – 0,25% (0,07% и 0,06% в 2024 и 2025 гг. соответственно);</w:t>
      </w:r>
    </w:p>
    <w:p w14:paraId="05E6DF48"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 выделение до 250 </w:t>
      </w:r>
      <w:proofErr w:type="gramStart"/>
      <w:r w:rsidRPr="00E103B9">
        <w:rPr>
          <w:rFonts w:eastAsia="Calibri"/>
          <w:sz w:val="28"/>
          <w:szCs w:val="22"/>
          <w:lang w:eastAsia="en-US"/>
        </w:rPr>
        <w:t>млрд</w:t>
      </w:r>
      <w:proofErr w:type="gramEnd"/>
      <w:r w:rsidRPr="00E103B9">
        <w:rPr>
          <w:rFonts w:eastAsia="Calibri"/>
          <w:sz w:val="28"/>
          <w:szCs w:val="22"/>
          <w:lang w:eastAsia="en-US"/>
        </w:rPr>
        <w:t xml:space="preserve"> руб. антикризисной помощи в форме бюджетных кредитов на инфраструктурные проекты.</w:t>
      </w:r>
    </w:p>
    <w:p w14:paraId="0510759F"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В то же время заложенные в Законопроекте параметры межбюджетных отношений не в полной мере способствуют смягчению рисков региональной бюджетной несбалансированности.</w:t>
      </w:r>
    </w:p>
    <w:p w14:paraId="637D0B88" w14:textId="1DFE52F9"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1. Общий объем межбюджетных трансфертов в номинальном выражении и в долях ВВП сокращается быстрее, чем растут собственные доходы регионов, что влечет за собой возникновение дефицита консолидированных региональных бюджетов (</w:t>
      </w:r>
      <w:r w:rsidRPr="00E103B9">
        <w:rPr>
          <w:rFonts w:eastAsia="Calibri"/>
          <w:i/>
          <w:iCs/>
          <w:sz w:val="28"/>
          <w:szCs w:val="22"/>
          <w:lang w:eastAsia="en-US"/>
        </w:rPr>
        <w:t xml:space="preserve">таблица </w:t>
      </w:r>
      <w:r w:rsidR="007931B0" w:rsidRPr="00E103B9">
        <w:rPr>
          <w:rFonts w:eastAsia="Calibri"/>
          <w:i/>
          <w:iCs/>
          <w:sz w:val="28"/>
          <w:szCs w:val="22"/>
          <w:lang w:eastAsia="en-US"/>
        </w:rPr>
        <w:t>32</w:t>
      </w:r>
      <w:r w:rsidRPr="00E103B9">
        <w:rPr>
          <w:rFonts w:eastAsia="Calibri"/>
          <w:sz w:val="28"/>
          <w:szCs w:val="22"/>
          <w:lang w:eastAsia="en-US"/>
        </w:rPr>
        <w:t xml:space="preserve">). В реальном </w:t>
      </w:r>
      <w:proofErr w:type="gramStart"/>
      <w:r w:rsidRPr="00E103B9">
        <w:rPr>
          <w:rFonts w:eastAsia="Calibri"/>
          <w:sz w:val="28"/>
          <w:szCs w:val="22"/>
          <w:lang w:eastAsia="en-US"/>
        </w:rPr>
        <w:t>выражении</w:t>
      </w:r>
      <w:proofErr w:type="gramEnd"/>
      <w:r w:rsidRPr="00E103B9">
        <w:rPr>
          <w:rFonts w:eastAsia="Calibri"/>
          <w:sz w:val="28"/>
          <w:szCs w:val="22"/>
          <w:lang w:eastAsia="en-US"/>
        </w:rPr>
        <w:t xml:space="preserve"> (в ценах 2021 г.) в 2022–2023 гг. сокращаются как собственные доходы регионов, так и межбюджетные трансферты.</w:t>
      </w:r>
    </w:p>
    <w:p w14:paraId="4F305824" w14:textId="45EF7164"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2. </w:t>
      </w:r>
      <w:proofErr w:type="gramStart"/>
      <w:r w:rsidRPr="00E103B9">
        <w:rPr>
          <w:rFonts w:eastAsia="Calibri"/>
          <w:sz w:val="28"/>
          <w:szCs w:val="22"/>
          <w:lang w:eastAsia="en-US"/>
        </w:rPr>
        <w:t xml:space="preserve">В приложении 34 Законопроекта отсутствует распределение дотаций, в том числе дотаций на выравнивание бюджетной обеспеченности, хотя </w:t>
      </w:r>
      <w:proofErr w:type="spellStart"/>
      <w:r w:rsidRPr="00E103B9">
        <w:rPr>
          <w:rFonts w:eastAsia="Calibri"/>
          <w:sz w:val="28"/>
          <w:szCs w:val="22"/>
          <w:lang w:eastAsia="en-US"/>
        </w:rPr>
        <w:t>абз</w:t>
      </w:r>
      <w:proofErr w:type="spellEnd"/>
      <w:r w:rsidRPr="00E103B9">
        <w:rPr>
          <w:rFonts w:eastAsia="Calibri"/>
          <w:sz w:val="28"/>
          <w:szCs w:val="22"/>
          <w:lang w:eastAsia="en-US"/>
        </w:rPr>
        <w:t>. первым п. 3 ст. 131 Бюджетного кодекса РФ (далее – БК РФ) прямо предусмотрено, что распределение дотаций на выравнивание утверждается федеральным законом о федеральном бюджете</w:t>
      </w:r>
      <w:r w:rsidRPr="00E103B9">
        <w:rPr>
          <w:rFonts w:eastAsia="Calibri"/>
          <w:sz w:val="28"/>
          <w:szCs w:val="22"/>
          <w:vertAlign w:val="superscript"/>
          <w:lang w:eastAsia="en-US"/>
        </w:rPr>
        <w:footnoteReference w:id="63"/>
      </w:r>
      <w:r w:rsidRPr="00E103B9">
        <w:rPr>
          <w:rFonts w:eastAsia="Calibri"/>
          <w:sz w:val="28"/>
          <w:szCs w:val="22"/>
          <w:lang w:eastAsia="en-US"/>
        </w:rPr>
        <w:t xml:space="preserve">. Между тем дотации на выравнивание являются значимым доходным источником для большинства регионов, поэтому результаты </w:t>
      </w:r>
      <w:r w:rsidRPr="00E103B9">
        <w:rPr>
          <w:rFonts w:eastAsia="Calibri"/>
          <w:sz w:val="28"/>
          <w:szCs w:val="22"/>
          <w:lang w:eastAsia="en-US"/>
        </w:rPr>
        <w:lastRenderedPageBreak/>
        <w:t>распределения дотаций являются необходимым условием</w:t>
      </w:r>
      <w:proofErr w:type="gramEnd"/>
      <w:r w:rsidRPr="00E103B9">
        <w:rPr>
          <w:rFonts w:eastAsia="Calibri"/>
          <w:sz w:val="28"/>
          <w:szCs w:val="22"/>
          <w:lang w:eastAsia="en-US"/>
        </w:rPr>
        <w:t xml:space="preserve"> для планирования собственных бюджетов регионов на предстоящий период. Отсутствие данной информации снижает прозрачность межбюджетных отношений и обоснованность региональной бюджетной политики.</w:t>
      </w:r>
    </w:p>
    <w:p w14:paraId="0CB240F6"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3. Дотации на выравнивание бюджетной обеспеченности растут медленнее уровня инфляции.</w:t>
      </w:r>
    </w:p>
    <w:p w14:paraId="2D72D5B7" w14:textId="3397F07A"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Начиная с 2022 г. согласно </w:t>
      </w:r>
      <w:proofErr w:type="spellStart"/>
      <w:r w:rsidRPr="00E103B9">
        <w:rPr>
          <w:rFonts w:eastAsia="Calibri"/>
          <w:sz w:val="28"/>
          <w:szCs w:val="22"/>
          <w:lang w:eastAsia="en-US"/>
        </w:rPr>
        <w:t>абз</w:t>
      </w:r>
      <w:proofErr w:type="spellEnd"/>
      <w:r w:rsidRPr="00E103B9">
        <w:rPr>
          <w:rFonts w:eastAsia="Calibri"/>
          <w:sz w:val="28"/>
          <w:szCs w:val="22"/>
          <w:lang w:eastAsia="en-US"/>
        </w:rPr>
        <w:t xml:space="preserve">. первому п. 2 ст. 131 БК РФ общий объем дотаций на выравнивание на очередной финансовый год не может быть менее общего объема дотаций на выравнивание на текущий финансовый год, проиндексированного на прогнозируемый уровень инфляции. </w:t>
      </w:r>
      <w:proofErr w:type="gramStart"/>
      <w:r w:rsidRPr="00E103B9">
        <w:rPr>
          <w:rFonts w:eastAsia="Calibri"/>
          <w:sz w:val="28"/>
          <w:szCs w:val="22"/>
          <w:lang w:eastAsia="en-US"/>
        </w:rPr>
        <w:t>Это требование соблюдено лишь формально, поскольку объем дотаций на 2023 г. действительно выше проиндексированного на уровень инфляции объема дотаций на 2022 г. Однако при этом не учитывается, что фактический уровень инфляции в 2022 г. (12,4 % по последним оценкам) окажется существенно выше того прогноза, который был заложен в бюджет 2022-2024 гг. (4 %).</w:t>
      </w:r>
      <w:proofErr w:type="gramEnd"/>
      <w:r w:rsidRPr="00E103B9">
        <w:rPr>
          <w:rFonts w:eastAsia="Calibri"/>
          <w:sz w:val="28"/>
          <w:szCs w:val="22"/>
          <w:lang w:eastAsia="en-US"/>
        </w:rPr>
        <w:t xml:space="preserve"> На </w:t>
      </w:r>
      <w:r w:rsidRPr="00E103B9">
        <w:rPr>
          <w:rFonts w:eastAsia="Calibri"/>
          <w:i/>
          <w:iCs/>
          <w:sz w:val="28"/>
          <w:szCs w:val="22"/>
          <w:lang w:eastAsia="en-US"/>
        </w:rPr>
        <w:t xml:space="preserve">рисунке </w:t>
      </w:r>
      <w:r w:rsidR="0009776C" w:rsidRPr="00E103B9">
        <w:rPr>
          <w:rFonts w:eastAsia="Calibri"/>
          <w:i/>
          <w:iCs/>
          <w:sz w:val="28"/>
          <w:szCs w:val="22"/>
          <w:lang w:eastAsia="en-US"/>
        </w:rPr>
        <w:t>8</w:t>
      </w:r>
      <w:r w:rsidRPr="00E103B9">
        <w:rPr>
          <w:rFonts w:eastAsia="Calibri"/>
          <w:sz w:val="28"/>
          <w:szCs w:val="22"/>
          <w:lang w:eastAsia="en-US"/>
        </w:rPr>
        <w:t xml:space="preserve"> можно видеть, как учет уровня инфляции в 2022 г. влияет на минимальный объем дотаций на выравнивание.</w:t>
      </w:r>
    </w:p>
    <w:p w14:paraId="297D97BC" w14:textId="77777777" w:rsidR="004455C6" w:rsidRPr="009D5B83" w:rsidRDefault="004455C6" w:rsidP="004455C6">
      <w:pPr>
        <w:spacing w:line="360" w:lineRule="auto"/>
        <w:jc w:val="center"/>
        <w:rPr>
          <w:rFonts w:eastAsia="Calibri"/>
          <w:szCs w:val="22"/>
          <w:lang w:eastAsia="en-US"/>
        </w:rPr>
      </w:pPr>
      <w:r w:rsidRPr="009D5B83">
        <w:rPr>
          <w:rFonts w:eastAsia="Calibri"/>
          <w:noProof/>
          <w:szCs w:val="22"/>
        </w:rPr>
        <w:drawing>
          <wp:inline distT="0" distB="0" distL="0" distR="0" wp14:anchorId="765A8F76" wp14:editId="0B3EAA3D">
            <wp:extent cx="4580890" cy="2752090"/>
            <wp:effectExtent l="0" t="0" r="3810" b="381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a:ln>
                      <a:noFill/>
                    </a:ln>
                  </pic:spPr>
                </pic:pic>
              </a:graphicData>
            </a:graphic>
          </wp:inline>
        </w:drawing>
      </w:r>
    </w:p>
    <w:p w14:paraId="5232E15C" w14:textId="6B367EB6" w:rsidR="004455C6" w:rsidRPr="009D5B83" w:rsidRDefault="004455C6" w:rsidP="004455C6">
      <w:pPr>
        <w:spacing w:line="360" w:lineRule="auto"/>
        <w:ind w:firstLine="709"/>
        <w:jc w:val="both"/>
        <w:rPr>
          <w:rFonts w:eastAsia="Calibri"/>
          <w:sz w:val="20"/>
          <w:szCs w:val="20"/>
          <w:lang w:eastAsia="en-US"/>
        </w:rPr>
      </w:pPr>
      <w:r w:rsidRPr="009D5B83">
        <w:rPr>
          <w:rFonts w:eastAsia="Calibri"/>
          <w:i/>
          <w:iCs/>
          <w:sz w:val="20"/>
          <w:szCs w:val="20"/>
          <w:lang w:eastAsia="en-US"/>
        </w:rPr>
        <w:t>Источник</w:t>
      </w:r>
      <w:r w:rsidRPr="009D5B83">
        <w:rPr>
          <w:rFonts w:eastAsia="Calibri"/>
          <w:sz w:val="20"/>
          <w:szCs w:val="20"/>
          <w:lang w:eastAsia="en-US"/>
        </w:rPr>
        <w:t xml:space="preserve">: Законопроект, </w:t>
      </w:r>
      <w:r w:rsidR="0009776C">
        <w:rPr>
          <w:rFonts w:eastAsia="Calibri"/>
          <w:sz w:val="20"/>
          <w:szCs w:val="20"/>
          <w:lang w:eastAsia="en-US"/>
        </w:rPr>
        <w:t>П</w:t>
      </w:r>
      <w:r w:rsidRPr="009D5B83">
        <w:rPr>
          <w:rFonts w:eastAsia="Calibri"/>
          <w:sz w:val="20"/>
          <w:szCs w:val="20"/>
          <w:lang w:eastAsia="en-US"/>
        </w:rPr>
        <w:t>ояснительная записка, расчеты авторов.</w:t>
      </w:r>
    </w:p>
    <w:p w14:paraId="04FC6D01" w14:textId="046F85DC" w:rsidR="004455C6" w:rsidRPr="009D5B83" w:rsidRDefault="004455C6" w:rsidP="004455C6">
      <w:pPr>
        <w:spacing w:line="360" w:lineRule="auto"/>
        <w:jc w:val="center"/>
        <w:rPr>
          <w:rFonts w:eastAsia="Calibri"/>
          <w:b/>
          <w:bCs/>
          <w:szCs w:val="22"/>
          <w:lang w:eastAsia="en-US"/>
        </w:rPr>
      </w:pPr>
      <w:r w:rsidRPr="009D5B83">
        <w:rPr>
          <w:rFonts w:eastAsia="Calibri"/>
          <w:b/>
          <w:bCs/>
          <w:i/>
          <w:iCs/>
          <w:szCs w:val="22"/>
          <w:lang w:eastAsia="en-US"/>
        </w:rPr>
        <w:t>Рисунок</w:t>
      </w:r>
      <w:r w:rsidR="001F6B60" w:rsidRPr="009D5B83">
        <w:rPr>
          <w:rFonts w:eastAsia="Calibri"/>
          <w:b/>
          <w:bCs/>
          <w:i/>
          <w:iCs/>
          <w:szCs w:val="22"/>
          <w:lang w:eastAsia="en-US"/>
        </w:rPr>
        <w:t xml:space="preserve"> 8</w:t>
      </w:r>
      <w:r w:rsidRPr="009D5B83">
        <w:rPr>
          <w:rFonts w:eastAsia="Calibri"/>
          <w:b/>
          <w:bCs/>
          <w:i/>
          <w:iCs/>
          <w:szCs w:val="22"/>
          <w:lang w:eastAsia="en-US"/>
        </w:rPr>
        <w:t xml:space="preserve"> </w:t>
      </w:r>
      <w:r w:rsidR="001F6B60" w:rsidRPr="009D5B83">
        <w:rPr>
          <w:rFonts w:eastAsia="Calibri"/>
          <w:b/>
          <w:bCs/>
          <w:i/>
          <w:iCs/>
          <w:szCs w:val="22"/>
          <w:lang w:eastAsia="en-US"/>
        </w:rPr>
        <w:t xml:space="preserve">- </w:t>
      </w:r>
      <w:r w:rsidRPr="009D5B83">
        <w:rPr>
          <w:rFonts w:eastAsia="Calibri"/>
          <w:b/>
          <w:bCs/>
          <w:szCs w:val="22"/>
          <w:lang w:eastAsia="en-US"/>
        </w:rPr>
        <w:t xml:space="preserve">Объем дотаций на выравнивание, </w:t>
      </w:r>
      <w:proofErr w:type="gramStart"/>
      <w:r w:rsidRPr="009D5B83">
        <w:rPr>
          <w:rFonts w:eastAsia="Calibri"/>
          <w:b/>
          <w:bCs/>
          <w:szCs w:val="22"/>
          <w:lang w:eastAsia="en-US"/>
        </w:rPr>
        <w:t>млрд</w:t>
      </w:r>
      <w:proofErr w:type="gramEnd"/>
      <w:r w:rsidRPr="009D5B83">
        <w:rPr>
          <w:rFonts w:eastAsia="Calibri"/>
          <w:b/>
          <w:bCs/>
          <w:szCs w:val="22"/>
          <w:lang w:eastAsia="en-US"/>
        </w:rPr>
        <w:t xml:space="preserve"> руб.</w:t>
      </w:r>
    </w:p>
    <w:p w14:paraId="62EE6606"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Кроме того, объем дотаций на выравнивание в 2023 г. должен составить 0,55% ВВП, что ниже уровня 2016 г. (0,60% ВВП) и, следовательно, исключает выравнивающий эффект от перераспределения 1 </w:t>
      </w:r>
      <w:proofErr w:type="spellStart"/>
      <w:r w:rsidRPr="00E103B9">
        <w:rPr>
          <w:rFonts w:eastAsia="Calibri"/>
          <w:sz w:val="28"/>
          <w:szCs w:val="22"/>
          <w:lang w:eastAsia="en-US"/>
        </w:rPr>
        <w:t>п.п</w:t>
      </w:r>
      <w:proofErr w:type="spellEnd"/>
      <w:r w:rsidRPr="00E103B9">
        <w:rPr>
          <w:rFonts w:eastAsia="Calibri"/>
          <w:sz w:val="28"/>
          <w:szCs w:val="22"/>
          <w:lang w:eastAsia="en-US"/>
        </w:rPr>
        <w:t>. налога на прибыль организаций</w:t>
      </w:r>
      <w:r w:rsidRPr="00E103B9">
        <w:rPr>
          <w:rFonts w:eastAsia="Calibri"/>
          <w:sz w:val="28"/>
          <w:szCs w:val="22"/>
          <w:vertAlign w:val="superscript"/>
          <w:lang w:eastAsia="en-US"/>
        </w:rPr>
        <w:footnoteReference w:id="64"/>
      </w:r>
      <w:r w:rsidRPr="00E103B9">
        <w:rPr>
          <w:rFonts w:eastAsia="Calibri"/>
          <w:sz w:val="28"/>
          <w:szCs w:val="22"/>
          <w:lang w:eastAsia="en-US"/>
        </w:rPr>
        <w:t xml:space="preserve">, а также может привести к росту дифференциации регионов по уровню бюджетной обеспеченности. Объем </w:t>
      </w:r>
      <w:r w:rsidRPr="00E103B9">
        <w:rPr>
          <w:rFonts w:eastAsia="Calibri"/>
          <w:sz w:val="28"/>
          <w:szCs w:val="22"/>
          <w:lang w:eastAsia="en-US"/>
        </w:rPr>
        <w:lastRenderedPageBreak/>
        <w:t xml:space="preserve">дотаций на выравнивание, равный 0,60% ВВП, в 2023 г. должен составить 899,7 </w:t>
      </w:r>
      <w:proofErr w:type="gramStart"/>
      <w:r w:rsidRPr="00E103B9">
        <w:rPr>
          <w:rFonts w:eastAsia="Calibri"/>
          <w:sz w:val="28"/>
          <w:szCs w:val="22"/>
          <w:lang w:eastAsia="en-US"/>
        </w:rPr>
        <w:t>млрд</w:t>
      </w:r>
      <w:proofErr w:type="gramEnd"/>
      <w:r w:rsidRPr="00E103B9">
        <w:rPr>
          <w:rFonts w:eastAsia="Calibri"/>
          <w:sz w:val="28"/>
          <w:szCs w:val="22"/>
          <w:lang w:eastAsia="en-US"/>
        </w:rPr>
        <w:t xml:space="preserve"> руб.</w:t>
      </w:r>
    </w:p>
    <w:p w14:paraId="6ECCE9E4"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4. Законопроектом предусмотрено существенное сокращение межбюджетных трансфертов на реализацию национальных проектов: в 2023 г. объем указанных трансфертов уменьшится в сравнении с 2022 г. на 162,3 </w:t>
      </w:r>
      <w:proofErr w:type="gramStart"/>
      <w:r w:rsidRPr="00E103B9">
        <w:rPr>
          <w:rFonts w:eastAsia="Calibri"/>
          <w:sz w:val="28"/>
          <w:szCs w:val="22"/>
          <w:lang w:eastAsia="en-US"/>
        </w:rPr>
        <w:t>млрд</w:t>
      </w:r>
      <w:proofErr w:type="gramEnd"/>
      <w:r w:rsidRPr="00E103B9">
        <w:rPr>
          <w:rFonts w:eastAsia="Calibri"/>
          <w:sz w:val="28"/>
          <w:szCs w:val="22"/>
          <w:lang w:eastAsia="en-US"/>
        </w:rPr>
        <w:t xml:space="preserve"> руб. в номинальном выражении, или на 0,13 </w:t>
      </w:r>
      <w:proofErr w:type="spellStart"/>
      <w:r w:rsidRPr="00E103B9">
        <w:rPr>
          <w:rFonts w:eastAsia="Calibri"/>
          <w:sz w:val="28"/>
          <w:szCs w:val="22"/>
          <w:lang w:eastAsia="en-US"/>
        </w:rPr>
        <w:t>п.п</w:t>
      </w:r>
      <w:proofErr w:type="spellEnd"/>
      <w:r w:rsidRPr="00E103B9">
        <w:rPr>
          <w:rFonts w:eastAsia="Calibri"/>
          <w:sz w:val="28"/>
          <w:szCs w:val="22"/>
          <w:lang w:eastAsia="en-US"/>
        </w:rPr>
        <w:t xml:space="preserve">. ВВП, или на 208,9 </w:t>
      </w:r>
      <w:proofErr w:type="gramStart"/>
      <w:r w:rsidRPr="00E103B9">
        <w:rPr>
          <w:rFonts w:eastAsia="Calibri"/>
          <w:sz w:val="28"/>
          <w:szCs w:val="22"/>
          <w:lang w:eastAsia="en-US"/>
        </w:rPr>
        <w:t>млрд</w:t>
      </w:r>
      <w:proofErr w:type="gramEnd"/>
      <w:r w:rsidRPr="00E103B9">
        <w:rPr>
          <w:rFonts w:eastAsia="Calibri"/>
          <w:sz w:val="28"/>
          <w:szCs w:val="22"/>
          <w:lang w:eastAsia="en-US"/>
        </w:rPr>
        <w:t xml:space="preserve"> руб. в реальном выражении (в ценах 2022 г.). </w:t>
      </w:r>
      <w:proofErr w:type="gramStart"/>
      <w:r w:rsidRPr="00E103B9">
        <w:rPr>
          <w:rFonts w:eastAsia="Calibri"/>
          <w:sz w:val="28"/>
          <w:szCs w:val="22"/>
          <w:lang w:eastAsia="en-US"/>
        </w:rPr>
        <w:t>При этом доля межбюджетных трансфертов на реализацию национальных проектов в общем объеме субсидий, субвенций и иных межбюджетных трансфертов вырастет незначительно: с 39,4% в 2022 г. до 40,6% в 2023 г.</w:t>
      </w:r>
      <w:r w:rsidRPr="00E103B9">
        <w:rPr>
          <w:rFonts w:eastAsia="Calibri"/>
          <w:sz w:val="28"/>
          <w:szCs w:val="22"/>
          <w:vertAlign w:val="superscript"/>
          <w:lang w:eastAsia="en-US"/>
        </w:rPr>
        <w:footnoteReference w:id="65"/>
      </w:r>
      <w:r w:rsidRPr="00E103B9">
        <w:rPr>
          <w:rFonts w:eastAsia="Calibri"/>
          <w:sz w:val="28"/>
          <w:szCs w:val="22"/>
          <w:lang w:eastAsia="en-US"/>
        </w:rPr>
        <w:t xml:space="preserve"> Фактически это означает, что выделение целевой межбюджетной помощи увязано с главными приоритетами социально-экономического развития (то есть национальными проектами) менее чем наполовину и кардинального изменения подходов к выделению целевой межбюджетной помощи</w:t>
      </w:r>
      <w:proofErr w:type="gramEnd"/>
      <w:r w:rsidRPr="00E103B9">
        <w:rPr>
          <w:rFonts w:eastAsia="Calibri"/>
          <w:sz w:val="28"/>
          <w:szCs w:val="22"/>
          <w:lang w:eastAsia="en-US"/>
        </w:rPr>
        <w:t xml:space="preserve"> в этом отношении не предвидится.</w:t>
      </w:r>
    </w:p>
    <w:p w14:paraId="4635B761"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xml:space="preserve">5. </w:t>
      </w:r>
      <w:proofErr w:type="gramStart"/>
      <w:r w:rsidRPr="00E103B9">
        <w:rPr>
          <w:rFonts w:eastAsia="Calibri"/>
          <w:sz w:val="28"/>
          <w:szCs w:val="22"/>
          <w:lang w:eastAsia="en-US"/>
        </w:rPr>
        <w:t xml:space="preserve">Несмотря на существенное сокращение объемов целевых трансфертов (на 0,37 </w:t>
      </w:r>
      <w:proofErr w:type="spellStart"/>
      <w:r w:rsidRPr="00E103B9">
        <w:rPr>
          <w:rFonts w:eastAsia="Calibri"/>
          <w:sz w:val="28"/>
          <w:szCs w:val="22"/>
          <w:lang w:eastAsia="en-US"/>
        </w:rPr>
        <w:t>п.п</w:t>
      </w:r>
      <w:proofErr w:type="spellEnd"/>
      <w:r w:rsidRPr="00E103B9">
        <w:rPr>
          <w:rFonts w:eastAsia="Calibri"/>
          <w:sz w:val="28"/>
          <w:szCs w:val="22"/>
          <w:lang w:eastAsia="en-US"/>
        </w:rPr>
        <w:t>.</w:t>
      </w:r>
      <w:proofErr w:type="gramEnd"/>
      <w:r w:rsidRPr="00E103B9">
        <w:rPr>
          <w:rFonts w:eastAsia="Calibri"/>
          <w:sz w:val="28"/>
          <w:szCs w:val="22"/>
          <w:lang w:eastAsia="en-US"/>
        </w:rPr>
        <w:t xml:space="preserve"> </w:t>
      </w:r>
      <w:proofErr w:type="gramStart"/>
      <w:r w:rsidRPr="00E103B9">
        <w:rPr>
          <w:rFonts w:eastAsia="Calibri"/>
          <w:sz w:val="28"/>
          <w:szCs w:val="22"/>
          <w:lang w:eastAsia="en-US"/>
        </w:rPr>
        <w:t>ВВП в 2023 г. по сравнению с 2022 г.)</w:t>
      </w:r>
      <w:r w:rsidRPr="00E103B9">
        <w:rPr>
          <w:rFonts w:eastAsia="Calibri"/>
          <w:sz w:val="28"/>
          <w:szCs w:val="22"/>
          <w:vertAlign w:val="superscript"/>
          <w:lang w:eastAsia="en-US"/>
        </w:rPr>
        <w:footnoteReference w:id="66"/>
      </w:r>
      <w:r w:rsidRPr="00E103B9">
        <w:rPr>
          <w:rFonts w:eastAsia="Calibri"/>
          <w:sz w:val="28"/>
          <w:szCs w:val="22"/>
          <w:lang w:eastAsia="en-US"/>
        </w:rPr>
        <w:t>, их количество сократится не так значительно.</w:t>
      </w:r>
      <w:proofErr w:type="gramEnd"/>
      <w:r w:rsidRPr="00E103B9">
        <w:rPr>
          <w:rFonts w:eastAsia="Calibri"/>
          <w:sz w:val="28"/>
          <w:szCs w:val="22"/>
          <w:lang w:eastAsia="en-US"/>
        </w:rPr>
        <w:t xml:space="preserve"> Если законом о федеральном бюджете на 2022 г. предусмотрены 160 субсидий, 34 субвенции и 61 иной межбюджетный трансферт регионам, то Законопроектом предусмотрены 159 субсидий, 31 субвенция и 54 иных межбюджетных трансферта. Такое значительное число трансфертов повышает административную нагрузку как на органы исполнительной власти субъектов Российской Федерации и органы местного самоуправления, так и на федеральные органы исполнительной власти в части заключения, исполнения и контроля исполнения соглашений о предоставлении межбюджетных трансфертов.</w:t>
      </w:r>
    </w:p>
    <w:p w14:paraId="15C8DF47"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Учитывая вышесказанное, основными направлениями дальнейшего развития межбюджетных отношений должны стать:</w:t>
      </w:r>
    </w:p>
    <w:p w14:paraId="562A74DE" w14:textId="77777777" w:rsidR="004455C6" w:rsidRPr="00E103B9" w:rsidRDefault="004455C6" w:rsidP="00492C32">
      <w:pPr>
        <w:spacing w:after="60"/>
        <w:ind w:firstLine="709"/>
        <w:jc w:val="both"/>
        <w:rPr>
          <w:rFonts w:eastAsia="Calibri"/>
          <w:sz w:val="28"/>
          <w:szCs w:val="22"/>
          <w:lang w:eastAsia="en-US"/>
        </w:rPr>
      </w:pPr>
      <w:proofErr w:type="gramStart"/>
      <w:r w:rsidRPr="00E103B9">
        <w:rPr>
          <w:rFonts w:eastAsia="Calibri"/>
          <w:sz w:val="28"/>
          <w:szCs w:val="22"/>
          <w:lang w:eastAsia="en-US"/>
        </w:rPr>
        <w:t xml:space="preserve">– увеличение общего объема дотаций на выравнивание с учетом фактического уровня инфляции и реального уровня предоставления выравнивающей помощи в 2016 г. до перераспределения 1 </w:t>
      </w:r>
      <w:proofErr w:type="spellStart"/>
      <w:r w:rsidRPr="00E103B9">
        <w:rPr>
          <w:rFonts w:eastAsia="Calibri"/>
          <w:sz w:val="28"/>
          <w:szCs w:val="22"/>
          <w:lang w:eastAsia="en-US"/>
        </w:rPr>
        <w:t>п.п</w:t>
      </w:r>
      <w:proofErr w:type="spellEnd"/>
      <w:r w:rsidRPr="00E103B9">
        <w:rPr>
          <w:rFonts w:eastAsia="Calibri"/>
          <w:sz w:val="28"/>
          <w:szCs w:val="22"/>
          <w:lang w:eastAsia="en-US"/>
        </w:rPr>
        <w:t>. ставки по налогу на прибыль с регионального на федеральный уровень;</w:t>
      </w:r>
      <w:proofErr w:type="gramEnd"/>
    </w:p>
    <w:p w14:paraId="35D24CD4"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szCs w:val="22"/>
          <w:lang w:eastAsia="en-US"/>
        </w:rPr>
        <w:t>– сокращение числа субсидий и иных межбюджетных трансфертов за счет перехода к блочным (единым и консолидированным) трансфертам;</w:t>
      </w:r>
    </w:p>
    <w:p w14:paraId="36BBB58B" w14:textId="68F4664B" w:rsidR="006B103B" w:rsidRPr="00E103B9" w:rsidRDefault="004455C6" w:rsidP="007931B0">
      <w:pPr>
        <w:spacing w:after="60"/>
        <w:ind w:firstLine="709"/>
        <w:jc w:val="both"/>
        <w:rPr>
          <w:rFonts w:eastAsia="Calibri"/>
          <w:sz w:val="28"/>
          <w:szCs w:val="22"/>
          <w:lang w:eastAsia="en-US"/>
        </w:rPr>
      </w:pPr>
      <w:r w:rsidRPr="00E103B9">
        <w:rPr>
          <w:rFonts w:eastAsia="Calibri"/>
          <w:sz w:val="28"/>
          <w:szCs w:val="22"/>
          <w:lang w:eastAsia="en-US"/>
        </w:rPr>
        <w:t>– увеличение доли трансфертов, предоставляемых на реализацию национальных проектов, в общем объеме целевых межбюджетных трансфертов.</w:t>
      </w:r>
    </w:p>
    <w:p w14:paraId="51391EEE" w14:textId="5A602D6E" w:rsidR="004455C6" w:rsidRPr="00E103B9" w:rsidRDefault="004455C6" w:rsidP="006B103B">
      <w:pPr>
        <w:spacing w:before="120" w:after="120"/>
        <w:ind w:firstLine="709"/>
        <w:jc w:val="both"/>
        <w:rPr>
          <w:rFonts w:eastAsia="Calibri"/>
          <w:i/>
          <w:iCs/>
          <w:sz w:val="28"/>
          <w:szCs w:val="22"/>
          <w:lang w:eastAsia="en-US"/>
        </w:rPr>
      </w:pPr>
      <w:r w:rsidRPr="00E103B9">
        <w:rPr>
          <w:rFonts w:eastAsia="Calibri"/>
          <w:b/>
          <w:bCs/>
          <w:i/>
          <w:iCs/>
          <w:sz w:val="28"/>
          <w:lang w:eastAsia="en-US"/>
        </w:rPr>
        <w:lastRenderedPageBreak/>
        <w:t>Бюджетные кредиты</w:t>
      </w:r>
    </w:p>
    <w:p w14:paraId="17646C07" w14:textId="0249A4CB" w:rsidR="004455C6" w:rsidRPr="00E103B9" w:rsidRDefault="004455C6" w:rsidP="00492C32">
      <w:pPr>
        <w:spacing w:after="60"/>
        <w:ind w:firstLine="709"/>
        <w:jc w:val="both"/>
        <w:rPr>
          <w:rFonts w:eastAsia="Calibri"/>
          <w:sz w:val="28"/>
          <w:lang w:eastAsia="en-US"/>
        </w:rPr>
      </w:pPr>
      <w:r w:rsidRPr="00E103B9">
        <w:rPr>
          <w:rFonts w:eastAsia="Calibri"/>
          <w:sz w:val="28"/>
          <w:lang w:eastAsia="en-US"/>
        </w:rPr>
        <w:t xml:space="preserve">Практика предоставления регионам бюджетных кредитов будет расширяться. Согласно Законопроекту, до 2025 г. включительно регионам будут предоставлены инфраструктурные бюджетные кредиты в сумме до 1 </w:t>
      </w:r>
      <w:proofErr w:type="gramStart"/>
      <w:r w:rsidRPr="00E103B9">
        <w:rPr>
          <w:rFonts w:eastAsia="Calibri"/>
          <w:sz w:val="28"/>
          <w:lang w:eastAsia="en-US"/>
        </w:rPr>
        <w:t>трлн</w:t>
      </w:r>
      <w:proofErr w:type="gramEnd"/>
      <w:r w:rsidRPr="00E103B9">
        <w:rPr>
          <w:rFonts w:eastAsia="Calibri"/>
          <w:sz w:val="28"/>
          <w:lang w:eastAsia="en-US"/>
        </w:rPr>
        <w:t xml:space="preserve"> руб. на срок до 15 лет по ставке 3% годовых на реализацию соответствующих проектов. Эта сумма является довольно существенной. Положительным фактором следует считать осуществление Федеральным казначейством </w:t>
      </w:r>
      <w:proofErr w:type="gramStart"/>
      <w:r w:rsidRPr="00E103B9">
        <w:rPr>
          <w:rFonts w:eastAsia="Calibri"/>
          <w:sz w:val="28"/>
          <w:lang w:eastAsia="en-US"/>
        </w:rPr>
        <w:t>контроля за</w:t>
      </w:r>
      <w:proofErr w:type="gramEnd"/>
      <w:r w:rsidRPr="00E103B9">
        <w:rPr>
          <w:rFonts w:eastAsia="Calibri"/>
          <w:sz w:val="28"/>
          <w:lang w:eastAsia="en-US"/>
        </w:rPr>
        <w:t xml:space="preserve"> соблюдением условий предоставления и использования бюджетных кредитов на финансовое обеспечение реализации инфраструктурных проектов. </w:t>
      </w:r>
    </w:p>
    <w:p w14:paraId="0290FAAD" w14:textId="77777777" w:rsidR="004455C6" w:rsidRPr="00E103B9" w:rsidRDefault="004455C6" w:rsidP="00492C32">
      <w:pPr>
        <w:spacing w:after="60"/>
        <w:ind w:firstLine="709"/>
        <w:jc w:val="both"/>
        <w:rPr>
          <w:rFonts w:eastAsia="Calibri"/>
          <w:sz w:val="28"/>
          <w:lang w:eastAsia="en-US"/>
        </w:rPr>
      </w:pPr>
      <w:r w:rsidRPr="00E103B9">
        <w:rPr>
          <w:rFonts w:eastAsia="Calibri"/>
          <w:sz w:val="28"/>
          <w:lang w:eastAsia="en-US"/>
        </w:rPr>
        <w:t xml:space="preserve">Для поддержания финансовой стабильности регионов в условиях внешнего </w:t>
      </w:r>
      <w:proofErr w:type="spellStart"/>
      <w:r w:rsidRPr="00E103B9">
        <w:rPr>
          <w:rFonts w:eastAsia="Calibri"/>
          <w:sz w:val="28"/>
          <w:lang w:eastAsia="en-US"/>
        </w:rPr>
        <w:t>санкционного</w:t>
      </w:r>
      <w:proofErr w:type="spellEnd"/>
      <w:r w:rsidRPr="00E103B9">
        <w:rPr>
          <w:rFonts w:eastAsia="Calibri"/>
          <w:sz w:val="28"/>
          <w:lang w:eastAsia="en-US"/>
        </w:rPr>
        <w:t xml:space="preserve"> давления предусматриваются дополнительные финансовые меры поддержки:</w:t>
      </w:r>
    </w:p>
    <w:p w14:paraId="0EED5FD2" w14:textId="649BB643" w:rsidR="004455C6" w:rsidRPr="00E103B9" w:rsidRDefault="004455C6" w:rsidP="00492C32">
      <w:pPr>
        <w:spacing w:after="60"/>
        <w:ind w:firstLine="709"/>
        <w:jc w:val="both"/>
        <w:rPr>
          <w:rFonts w:eastAsia="Calibri"/>
          <w:sz w:val="28"/>
          <w:lang w:eastAsia="en-US"/>
        </w:rPr>
      </w:pPr>
      <w:r w:rsidRPr="00E103B9">
        <w:rPr>
          <w:rFonts w:eastAsia="Calibri"/>
          <w:sz w:val="28"/>
          <w:lang w:eastAsia="en-US"/>
        </w:rPr>
        <w:t>–</w:t>
      </w:r>
      <w:r w:rsidRPr="00E103B9">
        <w:rPr>
          <w:rFonts w:eastAsia="Calibri"/>
          <w:sz w:val="28"/>
          <w:lang w:eastAsia="en-US"/>
        </w:rPr>
        <w:tab/>
        <w:t xml:space="preserve">предоставление бюджетных кредитов сроком до 2028 г. в сумме до 420 </w:t>
      </w:r>
      <w:proofErr w:type="gramStart"/>
      <w:r w:rsidRPr="00E103B9">
        <w:rPr>
          <w:rFonts w:eastAsia="Calibri"/>
          <w:sz w:val="28"/>
          <w:lang w:eastAsia="en-US"/>
        </w:rPr>
        <w:t>млрд</w:t>
      </w:r>
      <w:proofErr w:type="gramEnd"/>
      <w:r w:rsidRPr="00E103B9">
        <w:rPr>
          <w:rFonts w:eastAsia="Calibri"/>
          <w:sz w:val="28"/>
          <w:lang w:eastAsia="en-US"/>
        </w:rPr>
        <w:t xml:space="preserve"> руб. для погашения долговых обязательств по государственным (муниципальным) ценным бумагам и кредитам. Бюджетные кредиты также могут быть использованы для возмещения фактически направленных на вышеуказанные цели средств бюджетов субъектов РФ (муниципальных образований);</w:t>
      </w:r>
    </w:p>
    <w:p w14:paraId="4381ABC5" w14:textId="176BFE69" w:rsidR="004455C6" w:rsidRPr="00E103B9" w:rsidRDefault="004455C6" w:rsidP="00492C32">
      <w:pPr>
        <w:spacing w:after="60"/>
        <w:ind w:firstLine="709"/>
        <w:jc w:val="both"/>
        <w:rPr>
          <w:rFonts w:eastAsia="Calibri"/>
          <w:sz w:val="28"/>
          <w:lang w:eastAsia="en-US"/>
        </w:rPr>
      </w:pPr>
      <w:r w:rsidRPr="00E103B9">
        <w:rPr>
          <w:rFonts w:eastAsia="Calibri"/>
          <w:sz w:val="28"/>
          <w:lang w:eastAsia="en-US"/>
        </w:rPr>
        <w:t>– предоставление Правительству РФ права освободить субъекты РФ от погашения в 2022 г. ранее реструктурированной задолженности по бюджетным кредитам из федерального бюджета, а также провести реструктуризацию обязательств, бюджетных кредитов, срок погашения которых наступает в 2022 г., для частичного покрытия дефицитов бюджетов субъектов РФ.</w:t>
      </w:r>
    </w:p>
    <w:p w14:paraId="60A7830D" w14:textId="77777777" w:rsidR="004455C6" w:rsidRPr="00E103B9" w:rsidRDefault="004455C6" w:rsidP="00492C32">
      <w:pPr>
        <w:spacing w:after="60"/>
        <w:ind w:firstLine="709"/>
        <w:jc w:val="both"/>
        <w:rPr>
          <w:rFonts w:eastAsia="Calibri"/>
          <w:sz w:val="28"/>
          <w:szCs w:val="22"/>
          <w:lang w:eastAsia="en-US"/>
        </w:rPr>
      </w:pPr>
      <w:r w:rsidRPr="00E103B9">
        <w:rPr>
          <w:rFonts w:eastAsia="Calibri"/>
          <w:sz w:val="28"/>
          <w:lang w:eastAsia="en-US"/>
        </w:rPr>
        <w:t xml:space="preserve">С одной стороны, данную меру можно расценивать положительно как </w:t>
      </w:r>
      <w:r w:rsidRPr="00E103B9">
        <w:rPr>
          <w:rFonts w:eastAsia="Calibri"/>
          <w:bCs/>
          <w:iCs/>
          <w:sz w:val="28"/>
          <w:lang w:eastAsia="en-US"/>
        </w:rPr>
        <w:t xml:space="preserve">дополнительный инструмент бюджетной политики для стимулирования регионального развития, используемый наряду с межбюджетными трансфертами. С другой стороны, он будет эффективным лишь в случае, если в дальнейшем условия возврата таких бюджетных кредитов не будут смягчены. В противном </w:t>
      </w:r>
      <w:proofErr w:type="gramStart"/>
      <w:r w:rsidRPr="00E103B9">
        <w:rPr>
          <w:rFonts w:eastAsia="Calibri"/>
          <w:bCs/>
          <w:iCs/>
          <w:sz w:val="28"/>
          <w:lang w:eastAsia="en-US"/>
        </w:rPr>
        <w:t>случае</w:t>
      </w:r>
      <w:proofErr w:type="gramEnd"/>
      <w:r w:rsidRPr="00E103B9">
        <w:rPr>
          <w:rFonts w:eastAsia="Calibri"/>
          <w:bCs/>
          <w:iCs/>
          <w:sz w:val="28"/>
          <w:lang w:eastAsia="en-US"/>
        </w:rPr>
        <w:t xml:space="preserve"> регионы получат отрицательные стимулы к проведению ответственной бюджетной и долговой политики.</w:t>
      </w:r>
    </w:p>
    <w:p w14:paraId="2F33F0D9" w14:textId="224758F6" w:rsidR="00BF4CB0" w:rsidRPr="00E103B9" w:rsidRDefault="00BF4CB0" w:rsidP="0009776C">
      <w:pPr>
        <w:spacing w:after="60"/>
        <w:rPr>
          <w:bCs/>
          <w:iCs/>
          <w:sz w:val="28"/>
        </w:rPr>
      </w:pPr>
    </w:p>
    <w:sectPr w:rsidR="00BF4CB0" w:rsidRPr="00E103B9" w:rsidSect="00E103B9">
      <w:headerReference w:type="default" r:id="rId22"/>
      <w:footerReference w:type="default" r:id="rId23"/>
      <w:pgSz w:w="11906" w:h="16838"/>
      <w:pgMar w:top="964" w:right="849" w:bottom="964" w:left="284" w:header="708" w:footer="70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F4DF" w14:textId="77777777" w:rsidR="00784787" w:rsidRDefault="00784787" w:rsidP="00995E45">
      <w:r>
        <w:separator/>
      </w:r>
    </w:p>
  </w:endnote>
  <w:endnote w:type="continuationSeparator" w:id="0">
    <w:p w14:paraId="4F9DE0EA" w14:textId="77777777" w:rsidR="00784787" w:rsidRDefault="00784787" w:rsidP="00995E45">
      <w:r>
        <w:continuationSeparator/>
      </w:r>
    </w:p>
  </w:endnote>
  <w:endnote w:type="continuationNotice" w:id="1">
    <w:p w14:paraId="4A5E303A" w14:textId="77777777" w:rsidR="00784787" w:rsidRDefault="0078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Segoe UI"/>
    <w:charset w:val="00"/>
    <w:family w:val="auto"/>
    <w:pitch w:val="variable"/>
    <w:sig w:usb0="E1000AEF" w:usb1="5000A1FF" w:usb2="00000000" w:usb3="00000000" w:csb0="000001BF" w:csb1="00000000"/>
  </w:font>
  <w:font w:name="OpenSymbol">
    <w:altName w:val="Cambria"/>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05896"/>
      <w:docPartObj>
        <w:docPartGallery w:val="Page Numbers (Bottom of Page)"/>
        <w:docPartUnique/>
      </w:docPartObj>
    </w:sdtPr>
    <w:sdtEndPr/>
    <w:sdtContent>
      <w:p w14:paraId="16EA190B" w14:textId="00E34E96" w:rsidR="00631660" w:rsidRDefault="00631660">
        <w:pPr>
          <w:pStyle w:val="af5"/>
          <w:jc w:val="right"/>
        </w:pPr>
        <w:r>
          <w:fldChar w:fldCharType="begin"/>
        </w:r>
        <w:r>
          <w:instrText>PAGE   \* MERGEFORMAT</w:instrText>
        </w:r>
        <w:r>
          <w:fldChar w:fldCharType="separate"/>
        </w:r>
        <w:r w:rsidR="00E103B9">
          <w:rPr>
            <w:noProof/>
          </w:rPr>
          <w:t>72</w:t>
        </w:r>
        <w:r>
          <w:rPr>
            <w:noProof/>
          </w:rPr>
          <w:fldChar w:fldCharType="end"/>
        </w:r>
      </w:p>
    </w:sdtContent>
  </w:sdt>
  <w:p w14:paraId="2DCF80D5" w14:textId="77777777" w:rsidR="00631660" w:rsidRDefault="0063166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60524"/>
      <w:docPartObj>
        <w:docPartGallery w:val="Page Numbers (Bottom of Page)"/>
        <w:docPartUnique/>
      </w:docPartObj>
    </w:sdtPr>
    <w:sdtEndPr/>
    <w:sdtContent>
      <w:p w14:paraId="37AE4BE3" w14:textId="6A6E1CE7" w:rsidR="00631660" w:rsidRDefault="00631660">
        <w:pPr>
          <w:pStyle w:val="af5"/>
          <w:jc w:val="right"/>
        </w:pPr>
        <w:r>
          <w:fldChar w:fldCharType="begin"/>
        </w:r>
        <w:r>
          <w:instrText>PAGE   \* MERGEFORMAT</w:instrText>
        </w:r>
        <w:r>
          <w:fldChar w:fldCharType="separate"/>
        </w:r>
        <w:r w:rsidR="00E103B9">
          <w:rPr>
            <w:noProof/>
          </w:rPr>
          <w:t>102</w:t>
        </w:r>
        <w:r>
          <w:rPr>
            <w:noProof/>
          </w:rPr>
          <w:fldChar w:fldCharType="end"/>
        </w:r>
      </w:p>
    </w:sdtContent>
  </w:sdt>
  <w:p w14:paraId="34A21F1A" w14:textId="77777777" w:rsidR="00631660" w:rsidRDefault="006316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6F2A" w14:textId="77777777" w:rsidR="00784787" w:rsidRDefault="00784787" w:rsidP="00995E45">
      <w:r>
        <w:separator/>
      </w:r>
    </w:p>
  </w:footnote>
  <w:footnote w:type="continuationSeparator" w:id="0">
    <w:p w14:paraId="372D3A58" w14:textId="77777777" w:rsidR="00784787" w:rsidRDefault="00784787" w:rsidP="00995E45">
      <w:r>
        <w:continuationSeparator/>
      </w:r>
    </w:p>
  </w:footnote>
  <w:footnote w:type="continuationNotice" w:id="1">
    <w:p w14:paraId="4AFB8083" w14:textId="77777777" w:rsidR="00784787" w:rsidRDefault="00784787"/>
  </w:footnote>
  <w:footnote w:id="2">
    <w:p w14:paraId="53D31CA3" w14:textId="77777777" w:rsidR="008A3BCD" w:rsidRPr="0009776C" w:rsidRDefault="008A3BCD" w:rsidP="008A3BCD">
      <w:pPr>
        <w:pStyle w:val="a8"/>
        <w:ind w:firstLine="709"/>
        <w:contextualSpacing/>
        <w:rPr>
          <w:lang w:val="en-US"/>
        </w:rPr>
      </w:pPr>
      <w:r>
        <w:rPr>
          <w:rStyle w:val="aa"/>
        </w:rPr>
        <w:footnoteRef/>
      </w:r>
      <w:r>
        <w:t xml:space="preserve"> </w:t>
      </w:r>
      <w:r w:rsidRPr="00D818C9">
        <w:t xml:space="preserve">Прогноз социально-экономического развития Российской Федерации на 2023 год и плановый период 2024 и 2025 годов // </w:t>
      </w:r>
      <w:proofErr w:type="spellStart"/>
      <w:r w:rsidRPr="00D818C9">
        <w:t>Минэкономразвитие</w:t>
      </w:r>
      <w:proofErr w:type="spellEnd"/>
      <w:r>
        <w:t xml:space="preserve"> России</w:t>
      </w:r>
      <w:r w:rsidRPr="00D818C9">
        <w:t xml:space="preserve">. </w:t>
      </w:r>
      <w:r w:rsidRPr="00A05656">
        <w:rPr>
          <w:lang w:val="en-US"/>
        </w:rPr>
        <w:t xml:space="preserve">28.09.2022. </w:t>
      </w:r>
      <w:r w:rsidRPr="004C7714">
        <w:rPr>
          <w:lang w:val="en-US"/>
        </w:rPr>
        <w:t>U</w:t>
      </w:r>
      <w:r>
        <w:rPr>
          <w:lang w:val="en-US"/>
        </w:rPr>
        <w:t>RL</w:t>
      </w:r>
      <w:r w:rsidRPr="002D5EE8">
        <w:rPr>
          <w:lang w:val="en-US"/>
        </w:rPr>
        <w:t>:</w:t>
      </w:r>
      <w:r>
        <w:rPr>
          <w:lang w:val="en-US"/>
        </w:rPr>
        <w:t xml:space="preserve"> </w:t>
      </w:r>
      <w:r w:rsidRPr="004C7714">
        <w:rPr>
          <w:lang w:val="en-US"/>
        </w:rPr>
        <w:t>https://economy.gov.ru/material/directions/makroec/prognozy_socialno_ekonomicheskogo_razvitiya/prognoz_socialno_ekonomicheskogo_razvitiya_rossiyskoy_federacii_na_2023_god_i_na_planovyy_period_2024_i_2025_godov.html</w:t>
      </w:r>
    </w:p>
  </w:footnote>
  <w:footnote w:id="3">
    <w:p w14:paraId="4AD31A8F" w14:textId="77777777" w:rsidR="009F22BB" w:rsidRPr="000A44A4" w:rsidRDefault="009F22BB" w:rsidP="009F22BB">
      <w:pPr>
        <w:pStyle w:val="a8"/>
        <w:ind w:firstLine="567"/>
      </w:pPr>
      <w:r w:rsidRPr="000A44A4">
        <w:rPr>
          <w:rStyle w:val="aa"/>
        </w:rPr>
        <w:footnoteRef/>
      </w:r>
      <w:r w:rsidRPr="000A44A4">
        <w:t xml:space="preserve"> За </w:t>
      </w:r>
      <w:proofErr w:type="gramStart"/>
      <w:r w:rsidRPr="000A44A4">
        <w:t>последние</w:t>
      </w:r>
      <w:proofErr w:type="gramEnd"/>
      <w:r w:rsidRPr="000A44A4">
        <w:t xml:space="preserve"> 12 месяцев по итогам августа 2022 года</w:t>
      </w:r>
    </w:p>
  </w:footnote>
  <w:footnote w:id="4">
    <w:p w14:paraId="18C38DC1" w14:textId="0A3A1E81" w:rsidR="002F7347" w:rsidRPr="00B518E3" w:rsidRDefault="002F7347" w:rsidP="002F7347">
      <w:pPr>
        <w:pStyle w:val="a8"/>
        <w:ind w:firstLine="709"/>
      </w:pPr>
      <w:r>
        <w:rPr>
          <w:rStyle w:val="aa"/>
        </w:rPr>
        <w:footnoteRef/>
      </w:r>
      <w:r>
        <w:t xml:space="preserve"> Энергетическая стратегия Российской Федерации на период до 2035 г</w:t>
      </w:r>
      <w:r w:rsidR="002606E9">
        <w:t>.</w:t>
      </w:r>
      <w:r>
        <w:t xml:space="preserve"> // Минэнерго</w:t>
      </w:r>
      <w:r w:rsidR="00DF6ED1">
        <w:t xml:space="preserve"> России</w:t>
      </w:r>
      <w:r>
        <w:t xml:space="preserve">. </w:t>
      </w:r>
      <w:r w:rsidRPr="00B07638">
        <w:t xml:space="preserve">09.06.2020. </w:t>
      </w:r>
      <w:r w:rsidR="00DF6ED1">
        <w:t>U</w:t>
      </w:r>
      <w:r w:rsidR="00DF6ED1">
        <w:rPr>
          <w:lang w:val="en-US"/>
        </w:rPr>
        <w:t>RL</w:t>
      </w:r>
      <w:r w:rsidR="00DF6ED1" w:rsidRPr="004C7714">
        <w:t xml:space="preserve">: </w:t>
      </w:r>
      <w:r w:rsidRPr="007C6031">
        <w:rPr>
          <w:lang w:val="en-US"/>
        </w:rPr>
        <w:t>https</w:t>
      </w:r>
      <w:r w:rsidRPr="00B518E3">
        <w:t>://</w:t>
      </w:r>
      <w:proofErr w:type="spellStart"/>
      <w:r w:rsidRPr="007C6031">
        <w:rPr>
          <w:lang w:val="en-US"/>
        </w:rPr>
        <w:t>minenergo</w:t>
      </w:r>
      <w:proofErr w:type="spellEnd"/>
      <w:r w:rsidRPr="00B518E3">
        <w:t>.</w:t>
      </w:r>
      <w:proofErr w:type="spellStart"/>
      <w:r w:rsidRPr="007C6031">
        <w:rPr>
          <w:lang w:val="en-US"/>
        </w:rPr>
        <w:t>gov</w:t>
      </w:r>
      <w:proofErr w:type="spellEnd"/>
      <w:r w:rsidRPr="00B518E3">
        <w:t>.</w:t>
      </w:r>
      <w:proofErr w:type="spellStart"/>
      <w:r w:rsidRPr="007C6031">
        <w:rPr>
          <w:lang w:val="en-US"/>
        </w:rPr>
        <w:t>ru</w:t>
      </w:r>
      <w:proofErr w:type="spellEnd"/>
      <w:r w:rsidRPr="00B518E3">
        <w:t>/</w:t>
      </w:r>
      <w:r w:rsidRPr="007C6031">
        <w:rPr>
          <w:lang w:val="en-US"/>
        </w:rPr>
        <w:t>node</w:t>
      </w:r>
      <w:r w:rsidRPr="00B518E3">
        <w:t>/1026</w:t>
      </w:r>
      <w:r w:rsidR="00DF6ED1" w:rsidRPr="004C7714">
        <w:t>.</w:t>
      </w:r>
    </w:p>
  </w:footnote>
  <w:footnote w:id="5">
    <w:p w14:paraId="2121E03C" w14:textId="77777777" w:rsidR="002F7347" w:rsidRPr="00FB6410" w:rsidRDefault="002F7347" w:rsidP="002F7347">
      <w:pPr>
        <w:pStyle w:val="a8"/>
        <w:ind w:firstLine="709"/>
      </w:pPr>
      <w:r>
        <w:rPr>
          <w:rStyle w:val="aa"/>
        </w:rPr>
        <w:footnoteRef/>
      </w:r>
      <w:r w:rsidRPr="00FB6410">
        <w:t xml:space="preserve"> </w:t>
      </w:r>
      <w:r>
        <w:t>Тарифы</w:t>
      </w:r>
      <w:r w:rsidRPr="00FB6410">
        <w:t xml:space="preserve"> </w:t>
      </w:r>
      <w:r>
        <w:t xml:space="preserve">на грузовые перевозки формируются так, что отправка низкорентабельных для ОАО «РЖД» грузов субсидируется за счет высокорентабельных грузов. В </w:t>
      </w:r>
      <w:proofErr w:type="gramStart"/>
      <w:r>
        <w:t>случае</w:t>
      </w:r>
      <w:proofErr w:type="gramEnd"/>
      <w:r>
        <w:t xml:space="preserve"> неблагоприятной ценовой конъюнктуры рост издержек, связанных с ростом налогообложения у угольщиков, будут покрывать другие отправители.</w:t>
      </w:r>
    </w:p>
  </w:footnote>
  <w:footnote w:id="6">
    <w:p w14:paraId="2BA41D56" w14:textId="0A18C13F" w:rsidR="002F7347" w:rsidRPr="00A23EA6" w:rsidRDefault="002F7347" w:rsidP="002F7347">
      <w:pPr>
        <w:pStyle w:val="a8"/>
        <w:ind w:firstLine="709"/>
        <w:contextualSpacing/>
        <w:rPr>
          <w:lang w:val="en-US"/>
        </w:rPr>
      </w:pPr>
      <w:r>
        <w:rPr>
          <w:rStyle w:val="aa"/>
        </w:rPr>
        <w:footnoteRef/>
      </w:r>
      <w:r w:rsidRPr="00B07638">
        <w:rPr>
          <w:lang w:val="en-US"/>
        </w:rPr>
        <w:t xml:space="preserve"> </w:t>
      </w:r>
      <w:r w:rsidRPr="00E3748C">
        <w:rPr>
          <w:lang w:val="en-US"/>
        </w:rPr>
        <w:t>Energy</w:t>
      </w:r>
      <w:r w:rsidRPr="00B07638">
        <w:rPr>
          <w:lang w:val="en-US"/>
        </w:rPr>
        <w:t xml:space="preserve"> </w:t>
      </w:r>
      <w:r w:rsidRPr="00E3748C">
        <w:rPr>
          <w:lang w:val="en-US"/>
        </w:rPr>
        <w:t>Outlook</w:t>
      </w:r>
      <w:r w:rsidRPr="00B07638">
        <w:rPr>
          <w:lang w:val="en-US"/>
        </w:rPr>
        <w:t xml:space="preserve"> // </w:t>
      </w:r>
      <w:r w:rsidRPr="00E3748C">
        <w:rPr>
          <w:lang w:val="en-US"/>
        </w:rPr>
        <w:t>BP</w:t>
      </w:r>
      <w:r w:rsidRPr="00B07638">
        <w:rPr>
          <w:lang w:val="en-US"/>
        </w:rPr>
        <w:t xml:space="preserve">. 2022. </w:t>
      </w:r>
      <w:r w:rsidR="00DF6ED1" w:rsidRPr="004C7714">
        <w:rPr>
          <w:lang w:val="en-US"/>
        </w:rPr>
        <w:t>U</w:t>
      </w:r>
      <w:r w:rsidR="00DF6ED1">
        <w:rPr>
          <w:lang w:val="en-US"/>
        </w:rPr>
        <w:t xml:space="preserve">RL: </w:t>
      </w:r>
      <w:r w:rsidRPr="00E3748C">
        <w:rPr>
          <w:lang w:val="en-US"/>
        </w:rPr>
        <w:t>https://www.bp.com/en/global/corporate/energy-economics/energy-outlook/energy-outlook-downloads.html</w:t>
      </w:r>
      <w:r w:rsidR="00DF6ED1">
        <w:rPr>
          <w:lang w:val="en-US"/>
        </w:rPr>
        <w:t>.</w:t>
      </w:r>
    </w:p>
  </w:footnote>
  <w:footnote w:id="7">
    <w:p w14:paraId="52064747" w14:textId="77777777" w:rsidR="002F7347" w:rsidRDefault="002F7347" w:rsidP="002F7347">
      <w:pPr>
        <w:pStyle w:val="a8"/>
        <w:ind w:firstLine="709"/>
        <w:contextualSpacing/>
      </w:pPr>
      <w:r>
        <w:rPr>
          <w:rStyle w:val="aa"/>
        </w:rPr>
        <w:footnoteRef/>
      </w:r>
      <w:r>
        <w:t xml:space="preserve"> Наличие косвенных субсидий, дающих угольщикам возможность пользоваться более низкими железнодорожными тарифами, по сравнению с другими </w:t>
      </w:r>
      <w:proofErr w:type="spellStart"/>
      <w:r>
        <w:t>экспортоориентированными</w:t>
      </w:r>
      <w:proofErr w:type="spellEnd"/>
      <w:r>
        <w:t xml:space="preserve"> отраслями: ставка для грузоотправителей угля (202,7 коп./10 т-км), для грузоотправителей зерна (463,4 коп./10 т-км) и черных металлов (801,4 коп./10 т-км), а также нефти и нефтепродуктов (784,8 коп./10 т-км). Данные Российские угольные компании экономят на логистических издержках значительнее своих зарубежных конкурентов.</w:t>
      </w:r>
    </w:p>
    <w:p w14:paraId="55E9633B" w14:textId="72BA34C6" w:rsidR="002F7347" w:rsidRPr="0043392D" w:rsidRDefault="002F7347" w:rsidP="002F7347">
      <w:pPr>
        <w:pStyle w:val="a8"/>
        <w:ind w:firstLine="709"/>
        <w:contextualSpacing/>
      </w:pPr>
      <w:r>
        <w:t xml:space="preserve">К примеру, в Австралии наиболее удаленный угольный бассейн – Галилея в штате </w:t>
      </w:r>
      <w:proofErr w:type="spellStart"/>
      <w:r>
        <w:t>Квинсленд</w:t>
      </w:r>
      <w:proofErr w:type="spellEnd"/>
      <w:r>
        <w:t xml:space="preserve"> – расположен в 300 км от морского побережья, а в Индонезии основные регионы добычи (бассейны </w:t>
      </w:r>
      <w:proofErr w:type="spellStart"/>
      <w:r>
        <w:t>Барито</w:t>
      </w:r>
      <w:proofErr w:type="spellEnd"/>
      <w:r>
        <w:t xml:space="preserve">, </w:t>
      </w:r>
      <w:proofErr w:type="spellStart"/>
      <w:r>
        <w:t>Пасир</w:t>
      </w:r>
      <w:proofErr w:type="spellEnd"/>
      <w:r>
        <w:t xml:space="preserve">, Кутай, </w:t>
      </w:r>
      <w:proofErr w:type="spellStart"/>
      <w:r>
        <w:t>Беро</w:t>
      </w:r>
      <w:proofErr w:type="spellEnd"/>
      <w:r>
        <w:t xml:space="preserve">) находятся в непосредственной близости от моря. </w:t>
      </w:r>
      <w:proofErr w:type="gramStart"/>
      <w:r>
        <w:t xml:space="preserve">В то время как ключевые российские бассейны – Кузнецкий (Кузбасс) и Канско-Ачинский (Красноярский край, Иркутская область), на которые приходится 65% добычи угля в России удалены от морских портов Северо-Запада (Усть-Луга и Высоцк в </w:t>
      </w:r>
      <w:proofErr w:type="spellStart"/>
      <w:r>
        <w:t>Ленингрцадской</w:t>
      </w:r>
      <w:proofErr w:type="spellEnd"/>
      <w:r>
        <w:t xml:space="preserve"> области, Калининград, Мурманск) и Дальнего Востока (Владивосток, Находка и Восточный в Приморье, Ванино в Хабаровском крае) более чем на 5 тыс. км.</w:t>
      </w:r>
      <w:proofErr w:type="gramEnd"/>
      <w:r>
        <w:t xml:space="preserve"> </w:t>
      </w:r>
      <w:r w:rsidR="00DF6ED1">
        <w:t xml:space="preserve">Подробнее </w:t>
      </w:r>
      <w:proofErr w:type="gramStart"/>
      <w:r w:rsidR="00DF6ED1">
        <w:t>в</w:t>
      </w:r>
      <w:proofErr w:type="gramEnd"/>
      <w:r w:rsidR="00DF6ED1">
        <w:t xml:space="preserve"> </w:t>
      </w:r>
      <w:r>
        <w:t>«</w:t>
      </w:r>
      <w:proofErr w:type="gramStart"/>
      <w:r>
        <w:t>На</w:t>
      </w:r>
      <w:proofErr w:type="gramEnd"/>
      <w:r>
        <w:t xml:space="preserve"> сломе трендов: какое будущее ждет российский угольный экспорт» //</w:t>
      </w:r>
      <w:r w:rsidRPr="0043392D">
        <w:t xml:space="preserve"> </w:t>
      </w:r>
      <w:r>
        <w:rPr>
          <w:lang w:val="en-US"/>
        </w:rPr>
        <w:t>PwC</w:t>
      </w:r>
      <w:r w:rsidRPr="0043392D">
        <w:t>.2020.</w:t>
      </w:r>
    </w:p>
  </w:footnote>
  <w:footnote w:id="8">
    <w:p w14:paraId="4B210541" w14:textId="6E301692" w:rsidR="002F7347" w:rsidRPr="00A05656" w:rsidRDefault="002F7347" w:rsidP="00E1114F">
      <w:pPr>
        <w:pStyle w:val="a8"/>
        <w:ind w:firstLine="709"/>
      </w:pPr>
      <w:r>
        <w:rPr>
          <w:rStyle w:val="aa"/>
        </w:rPr>
        <w:footnoteRef/>
      </w:r>
      <w:r>
        <w:t xml:space="preserve"> С</w:t>
      </w:r>
      <w:r w:rsidRPr="00EA5838">
        <w:t>оциально-экономическое положение России</w:t>
      </w:r>
      <w:r>
        <w:t xml:space="preserve"> в январе-июле 2022 г. // Росстат.</w:t>
      </w:r>
      <w:r w:rsidR="002D5EE8">
        <w:t xml:space="preserve"> U</w:t>
      </w:r>
      <w:r w:rsidR="002D5EE8">
        <w:rPr>
          <w:lang w:val="en-US"/>
        </w:rPr>
        <w:t>RL</w:t>
      </w:r>
      <w:r w:rsidR="002D5EE8" w:rsidRPr="00A05656">
        <w:t xml:space="preserve">: </w:t>
      </w:r>
      <w:r w:rsidR="002D5EE8" w:rsidRPr="002D5EE8">
        <w:rPr>
          <w:lang w:val="en-US"/>
        </w:rPr>
        <w:t>https</w:t>
      </w:r>
      <w:r w:rsidR="002D5EE8" w:rsidRPr="00A05656">
        <w:t>://</w:t>
      </w:r>
      <w:proofErr w:type="spellStart"/>
      <w:r w:rsidR="002D5EE8" w:rsidRPr="002D5EE8">
        <w:rPr>
          <w:lang w:val="en-US"/>
        </w:rPr>
        <w:t>rosstat</w:t>
      </w:r>
      <w:proofErr w:type="spellEnd"/>
      <w:r w:rsidR="002D5EE8" w:rsidRPr="00A05656">
        <w:t>.</w:t>
      </w:r>
      <w:proofErr w:type="spellStart"/>
      <w:r w:rsidR="002D5EE8" w:rsidRPr="002D5EE8">
        <w:rPr>
          <w:lang w:val="en-US"/>
        </w:rPr>
        <w:t>gov</w:t>
      </w:r>
      <w:proofErr w:type="spellEnd"/>
      <w:r w:rsidR="002D5EE8" w:rsidRPr="00A05656">
        <w:t>.</w:t>
      </w:r>
      <w:proofErr w:type="spellStart"/>
      <w:r w:rsidR="002D5EE8" w:rsidRPr="002D5EE8">
        <w:rPr>
          <w:lang w:val="en-US"/>
        </w:rPr>
        <w:t>ru</w:t>
      </w:r>
      <w:proofErr w:type="spellEnd"/>
      <w:r w:rsidR="002D5EE8" w:rsidRPr="00A05656">
        <w:t>/</w:t>
      </w:r>
      <w:r w:rsidR="002D5EE8" w:rsidRPr="002D5EE8">
        <w:rPr>
          <w:lang w:val="en-US"/>
        </w:rPr>
        <w:t>storage</w:t>
      </w:r>
      <w:r w:rsidR="002D5EE8" w:rsidRPr="00A05656">
        <w:t>/</w:t>
      </w:r>
      <w:proofErr w:type="spellStart"/>
      <w:r w:rsidR="002D5EE8" w:rsidRPr="002D5EE8">
        <w:rPr>
          <w:lang w:val="en-US"/>
        </w:rPr>
        <w:t>mediabank</w:t>
      </w:r>
      <w:proofErr w:type="spellEnd"/>
      <w:r w:rsidR="002D5EE8" w:rsidRPr="00A05656">
        <w:t>/</w:t>
      </w:r>
      <w:proofErr w:type="spellStart"/>
      <w:r w:rsidR="002D5EE8" w:rsidRPr="002D5EE8">
        <w:rPr>
          <w:lang w:val="en-US"/>
        </w:rPr>
        <w:t>osn</w:t>
      </w:r>
      <w:proofErr w:type="spellEnd"/>
      <w:r w:rsidR="002D5EE8" w:rsidRPr="00A05656">
        <w:t>-06-2022.</w:t>
      </w:r>
      <w:r w:rsidR="002D5EE8" w:rsidRPr="002D5EE8">
        <w:rPr>
          <w:lang w:val="en-US"/>
        </w:rPr>
        <w:t>pdf</w:t>
      </w:r>
      <w:r w:rsidR="002D5EE8" w:rsidRPr="00A05656">
        <w:t>.</w:t>
      </w:r>
    </w:p>
  </w:footnote>
  <w:footnote w:id="9">
    <w:p w14:paraId="4CD36EBF" w14:textId="77777777" w:rsidR="002F7347" w:rsidRDefault="002F7347" w:rsidP="00E1114F">
      <w:pPr>
        <w:pStyle w:val="a8"/>
        <w:ind w:firstLine="709"/>
      </w:pPr>
      <w:r>
        <w:rPr>
          <w:rStyle w:val="aa"/>
        </w:rPr>
        <w:footnoteRef/>
      </w:r>
      <w:r>
        <w:t xml:space="preserve"> Федеральный закон от 14 июля 2022 г. № 321-ФЗ «О внесении изменений в часть вторую Налогового кодекса Российской Федерации»; Федеральный закон от 14 июля 2022 № 323-ФЗ «О внесении изменений в часть вторую Налогового кодекса Российской Федерации».</w:t>
      </w:r>
    </w:p>
  </w:footnote>
  <w:footnote w:id="10">
    <w:p w14:paraId="664C70F2" w14:textId="75526E4D" w:rsidR="002F7347" w:rsidRPr="00A05656" w:rsidRDefault="002F7347" w:rsidP="00E20BF9">
      <w:pPr>
        <w:pStyle w:val="a8"/>
        <w:ind w:firstLine="709"/>
      </w:pPr>
      <w:r>
        <w:rPr>
          <w:rStyle w:val="aa"/>
        </w:rPr>
        <w:footnoteRef/>
      </w:r>
      <w:r>
        <w:t xml:space="preserve"> </w:t>
      </w:r>
      <w:proofErr w:type="spellStart"/>
      <w:r w:rsidR="00E20BF9" w:rsidRPr="00E20BF9">
        <w:t>Минэк</w:t>
      </w:r>
      <w:proofErr w:type="spellEnd"/>
      <w:r w:rsidR="00E20BF9" w:rsidRPr="00E20BF9">
        <w:t xml:space="preserve"> предложил обнулить налог на прибыль и снизить страховые взносы для технологических компаний</w:t>
      </w:r>
      <w:r w:rsidR="00E20BF9">
        <w:t xml:space="preserve"> // Ведомости. Экономика. </w:t>
      </w:r>
      <w:r w:rsidR="00E20BF9" w:rsidRPr="00A05656">
        <w:t xml:space="preserve">1.06.2022. </w:t>
      </w:r>
      <w:r w:rsidR="00E20BF9" w:rsidRPr="00E20BF9">
        <w:rPr>
          <w:lang w:val="en-US"/>
        </w:rPr>
        <w:t>U</w:t>
      </w:r>
      <w:r w:rsidR="00E20BF9">
        <w:rPr>
          <w:lang w:val="en-US"/>
        </w:rPr>
        <w:t>RL</w:t>
      </w:r>
      <w:r w:rsidR="00E20BF9" w:rsidRPr="00A05656">
        <w:t xml:space="preserve">: </w:t>
      </w:r>
      <w:r w:rsidRPr="00E20BF9">
        <w:rPr>
          <w:lang w:val="en-US"/>
        </w:rPr>
        <w:t>https</w:t>
      </w:r>
      <w:r w:rsidRPr="00A05656">
        <w:t>://</w:t>
      </w:r>
      <w:r w:rsidRPr="00E20BF9">
        <w:rPr>
          <w:lang w:val="en-US"/>
        </w:rPr>
        <w:t>www</w:t>
      </w:r>
      <w:r w:rsidRPr="00A05656">
        <w:t>.</w:t>
      </w:r>
      <w:proofErr w:type="spellStart"/>
      <w:r w:rsidRPr="00E20BF9">
        <w:rPr>
          <w:lang w:val="en-US"/>
        </w:rPr>
        <w:t>vedomosti</w:t>
      </w:r>
      <w:proofErr w:type="spellEnd"/>
      <w:r w:rsidRPr="00A05656">
        <w:t>.</w:t>
      </w:r>
      <w:proofErr w:type="spellStart"/>
      <w:r w:rsidRPr="00E20BF9">
        <w:rPr>
          <w:lang w:val="en-US"/>
        </w:rPr>
        <w:t>ru</w:t>
      </w:r>
      <w:proofErr w:type="spellEnd"/>
      <w:r w:rsidRPr="00A05656">
        <w:t>/</w:t>
      </w:r>
      <w:r w:rsidRPr="00E20BF9">
        <w:rPr>
          <w:lang w:val="en-US"/>
        </w:rPr>
        <w:t>economics</w:t>
      </w:r>
      <w:r w:rsidRPr="00A05656">
        <w:t>/</w:t>
      </w:r>
      <w:r w:rsidRPr="00E20BF9">
        <w:rPr>
          <w:lang w:val="en-US"/>
        </w:rPr>
        <w:t>articles</w:t>
      </w:r>
      <w:r w:rsidRPr="00A05656">
        <w:t>/2022/05/31/924542-</w:t>
      </w:r>
      <w:proofErr w:type="spellStart"/>
      <w:r w:rsidRPr="00E20BF9">
        <w:rPr>
          <w:lang w:val="en-US"/>
        </w:rPr>
        <w:t>minek</w:t>
      </w:r>
      <w:proofErr w:type="spellEnd"/>
      <w:r w:rsidRPr="00A05656">
        <w:t>-</w:t>
      </w:r>
      <w:proofErr w:type="spellStart"/>
      <w:r w:rsidRPr="00E20BF9">
        <w:rPr>
          <w:lang w:val="en-US"/>
        </w:rPr>
        <w:t>obnulit</w:t>
      </w:r>
      <w:proofErr w:type="spellEnd"/>
      <w:r w:rsidRPr="00A05656">
        <w:t>-</w:t>
      </w:r>
      <w:proofErr w:type="spellStart"/>
      <w:r w:rsidRPr="00E20BF9">
        <w:rPr>
          <w:lang w:val="en-US"/>
        </w:rPr>
        <w:t>nalog</w:t>
      </w:r>
      <w:proofErr w:type="spellEnd"/>
    </w:p>
  </w:footnote>
  <w:footnote w:id="11">
    <w:p w14:paraId="1D95F2C5" w14:textId="77777777" w:rsidR="002F7347" w:rsidRDefault="002F7347" w:rsidP="0068261D">
      <w:pPr>
        <w:pStyle w:val="a8"/>
        <w:ind w:firstLine="709"/>
      </w:pPr>
      <w:r>
        <w:rPr>
          <w:rStyle w:val="aa"/>
        </w:rPr>
        <w:footnoteRef/>
      </w:r>
      <w:r>
        <w:t xml:space="preserve"> По данным</w:t>
      </w:r>
      <w:r w:rsidRPr="00171044">
        <w:t xml:space="preserve"> </w:t>
      </w:r>
      <w:r>
        <w:t>о</w:t>
      </w:r>
      <w:r w:rsidRPr="00171044">
        <w:t>тчет</w:t>
      </w:r>
      <w:r>
        <w:t>ов</w:t>
      </w:r>
      <w:r w:rsidRPr="00171044">
        <w:t xml:space="preserve"> </w:t>
      </w:r>
      <w:r>
        <w:t xml:space="preserve">Минэкономразвития России </w:t>
      </w:r>
      <w:r w:rsidRPr="00171044">
        <w:t>о результатах функционирования особых экономических зон</w:t>
      </w:r>
      <w:r>
        <w:t xml:space="preserve">. </w:t>
      </w:r>
    </w:p>
  </w:footnote>
  <w:footnote w:id="12">
    <w:p w14:paraId="1C8F36E7" w14:textId="77777777" w:rsidR="002F7347" w:rsidRPr="007E4D78" w:rsidRDefault="002F7347" w:rsidP="0068261D">
      <w:pPr>
        <w:pStyle w:val="a8"/>
        <w:ind w:firstLine="709"/>
        <w:rPr>
          <w:rFonts w:cstheme="minorHAnsi"/>
        </w:rPr>
      </w:pPr>
      <w:r w:rsidRPr="007E4D78">
        <w:rPr>
          <w:rStyle w:val="aa"/>
          <w:rFonts w:cstheme="minorHAnsi"/>
        </w:rPr>
        <w:footnoteRef/>
      </w:r>
      <w:r w:rsidRPr="007E4D78">
        <w:rPr>
          <w:rFonts w:cstheme="minorHAnsi"/>
        </w:rPr>
        <w:t xml:space="preserve"> Федеральный закон от 25 февраля 2022 № 17-ФЗ «О </w:t>
      </w:r>
      <w:proofErr w:type="gramStart"/>
      <w:r w:rsidRPr="007E4D78">
        <w:rPr>
          <w:rFonts w:cstheme="minorHAnsi"/>
        </w:rPr>
        <w:t>проведении</w:t>
      </w:r>
      <w:proofErr w:type="gramEnd"/>
      <w:r w:rsidRPr="007E4D78">
        <w:rPr>
          <w:rFonts w:cstheme="minorHAnsi"/>
        </w:rPr>
        <w:t xml:space="preserve"> эксперимента по установлению специального налогового режима «Автоматизированная упрощенная система налогообложения».</w:t>
      </w:r>
    </w:p>
  </w:footnote>
  <w:footnote w:id="13">
    <w:p w14:paraId="3D39EC66" w14:textId="77777777" w:rsidR="002F7347" w:rsidRDefault="002F7347" w:rsidP="0068261D">
      <w:pPr>
        <w:pStyle w:val="a8"/>
        <w:ind w:firstLine="709"/>
      </w:pPr>
      <w:r w:rsidRPr="007E4D78">
        <w:rPr>
          <w:rStyle w:val="aa"/>
          <w:rFonts w:cstheme="minorHAnsi"/>
        </w:rPr>
        <w:footnoteRef/>
      </w:r>
      <w:r w:rsidRPr="007E4D78">
        <w:rPr>
          <w:rFonts w:cstheme="minorHAnsi"/>
        </w:rPr>
        <w:t xml:space="preserve"> Федеральный закон от 14 июля 2022 № 263-ФЗ «О </w:t>
      </w:r>
      <w:proofErr w:type="gramStart"/>
      <w:r w:rsidRPr="007E4D78">
        <w:rPr>
          <w:rFonts w:cstheme="minorHAnsi"/>
        </w:rPr>
        <w:t>внесении</w:t>
      </w:r>
      <w:proofErr w:type="gramEnd"/>
      <w:r w:rsidRPr="007E4D78">
        <w:rPr>
          <w:rFonts w:cstheme="minorHAnsi"/>
        </w:rPr>
        <w:t xml:space="preserve"> изменений в части первую и вторую Налогового кодекса Российской Федерации».</w:t>
      </w:r>
    </w:p>
  </w:footnote>
  <w:footnote w:id="14">
    <w:p w14:paraId="722ECC89" w14:textId="77777777" w:rsidR="002F7347" w:rsidRDefault="002F7347" w:rsidP="0068261D">
      <w:pPr>
        <w:pStyle w:val="a8"/>
        <w:ind w:firstLine="709"/>
      </w:pPr>
      <w:r>
        <w:rPr>
          <w:rStyle w:val="aa"/>
        </w:rPr>
        <w:footnoteRef/>
      </w:r>
      <w:r>
        <w:t xml:space="preserve"> Федеральный закон от 29 декабря 2020 г. № 470-ФЗ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footnote>
  <w:footnote w:id="15">
    <w:p w14:paraId="67F6AD4A" w14:textId="77777777" w:rsidR="00437C96" w:rsidRPr="00437C96" w:rsidRDefault="00437C96" w:rsidP="00437C96">
      <w:pPr>
        <w:pStyle w:val="a8"/>
        <w:ind w:firstLine="709"/>
      </w:pPr>
      <w:r w:rsidRPr="00437C96">
        <w:rPr>
          <w:rStyle w:val="aa"/>
        </w:rPr>
        <w:footnoteRef/>
      </w:r>
      <w:r w:rsidRPr="00437C96">
        <w:t xml:space="preserve"> Предполагается сохранение на протяжении всего прогнозного периода основного перечня ограничительных мер, принятых некоторым числом государств в отношении России; замедление темпов роста мирового ВВП и возвратом к уровню, наблюдающемуся до пандемии; </w:t>
      </w:r>
      <w:proofErr w:type="gramStart"/>
      <w:r w:rsidRPr="00437C96">
        <w:t xml:space="preserve">сокращение отечественного импорта вследствие действия </w:t>
      </w:r>
      <w:proofErr w:type="spellStart"/>
      <w:r w:rsidRPr="00437C96">
        <w:t>санкционных</w:t>
      </w:r>
      <w:proofErr w:type="spellEnd"/>
      <w:r w:rsidRPr="00437C96">
        <w:t xml:space="preserve"> ограничений, усложнения логистических маршрутов, а также ухода с рынка или приостановки работы иностранных компаний,  и частичное сжатие экспортных рынков из-за запрета импорта ряда товаров из России и ограниченных возможностей по оперативной переориентации поставок с дальнейшим улучшением динамики показателей к середине рассматриваемого периода на фоне реконфигурации логистических цепочек.</w:t>
      </w:r>
      <w:proofErr w:type="gramEnd"/>
    </w:p>
  </w:footnote>
  <w:footnote w:id="16">
    <w:p w14:paraId="7D62E5E4" w14:textId="450C3A4C" w:rsidR="00437C96" w:rsidRPr="00A05656" w:rsidRDefault="00437C96" w:rsidP="00437C96">
      <w:pPr>
        <w:pStyle w:val="a8"/>
        <w:ind w:firstLine="709"/>
        <w:contextualSpacing/>
      </w:pPr>
      <w:r w:rsidRPr="00437C96">
        <w:rPr>
          <w:rStyle w:val="aa"/>
        </w:rPr>
        <w:footnoteRef/>
      </w:r>
      <w:r w:rsidRPr="00437C96">
        <w:t xml:space="preserve"> Ограничения введены шестым пакетом санкций ЕС. </w:t>
      </w:r>
      <w:r w:rsidR="00A05656">
        <w:t>П</w:t>
      </w:r>
      <w:r w:rsidRPr="00437C96">
        <w:t>одробнее</w:t>
      </w:r>
      <w:r w:rsidRPr="00437C96">
        <w:rPr>
          <w:lang w:val="en-US"/>
        </w:rPr>
        <w:t xml:space="preserve">: Council Regulation (EU) 2022/1269 of 21 July 2022 amending Regulation (EU) No 833/2014 concerning restrictive measures in view of Russia’s actions </w:t>
      </w:r>
      <w:proofErr w:type="spellStart"/>
      <w:r w:rsidRPr="00437C96">
        <w:rPr>
          <w:lang w:val="en-US"/>
        </w:rPr>
        <w:t>destabilising</w:t>
      </w:r>
      <w:proofErr w:type="spellEnd"/>
      <w:r w:rsidRPr="00437C96">
        <w:rPr>
          <w:lang w:val="en-US"/>
        </w:rPr>
        <w:t xml:space="preserve"> the situation in Ukraine // EC. 21.07.2022. </w:t>
      </w:r>
      <w:r w:rsidR="00A05656">
        <w:t>U</w:t>
      </w:r>
      <w:r w:rsidR="00A05656">
        <w:rPr>
          <w:lang w:val="en-US"/>
        </w:rPr>
        <w:t>RL</w:t>
      </w:r>
      <w:r w:rsidR="00A05656" w:rsidRPr="00A05656">
        <w:t xml:space="preserve">: </w:t>
      </w:r>
      <w:r w:rsidRPr="00437C96">
        <w:rPr>
          <w:lang w:val="en-US"/>
        </w:rPr>
        <w:t>https</w:t>
      </w:r>
      <w:r w:rsidRPr="00437C96">
        <w:t>://</w:t>
      </w:r>
      <w:proofErr w:type="spellStart"/>
      <w:r w:rsidRPr="00437C96">
        <w:rPr>
          <w:lang w:val="en-US"/>
        </w:rPr>
        <w:t>eur</w:t>
      </w:r>
      <w:proofErr w:type="spellEnd"/>
      <w:r w:rsidRPr="00437C96">
        <w:t>-</w:t>
      </w:r>
      <w:proofErr w:type="spellStart"/>
      <w:r w:rsidRPr="00437C96">
        <w:rPr>
          <w:lang w:val="en-US"/>
        </w:rPr>
        <w:t>lex</w:t>
      </w:r>
      <w:proofErr w:type="spellEnd"/>
      <w:r w:rsidRPr="00437C96">
        <w:t>.</w:t>
      </w:r>
      <w:proofErr w:type="spellStart"/>
      <w:r w:rsidRPr="00437C96">
        <w:rPr>
          <w:lang w:val="en-US"/>
        </w:rPr>
        <w:t>europa</w:t>
      </w:r>
      <w:proofErr w:type="spellEnd"/>
      <w:r w:rsidRPr="00437C96">
        <w:t>.</w:t>
      </w:r>
      <w:proofErr w:type="spellStart"/>
      <w:r w:rsidRPr="00437C96">
        <w:rPr>
          <w:lang w:val="en-US"/>
        </w:rPr>
        <w:t>eu</w:t>
      </w:r>
      <w:proofErr w:type="spellEnd"/>
      <w:r w:rsidRPr="00437C96">
        <w:t>/</w:t>
      </w:r>
      <w:r w:rsidRPr="00437C96">
        <w:rPr>
          <w:lang w:val="en-US"/>
        </w:rPr>
        <w:t>legal</w:t>
      </w:r>
      <w:r w:rsidRPr="00437C96">
        <w:t>-</w:t>
      </w:r>
      <w:r w:rsidRPr="00437C96">
        <w:rPr>
          <w:lang w:val="en-US"/>
        </w:rPr>
        <w:t>content</w:t>
      </w:r>
      <w:r w:rsidRPr="00437C96">
        <w:t>/</w:t>
      </w:r>
      <w:r w:rsidRPr="00437C96">
        <w:rPr>
          <w:lang w:val="en-US"/>
        </w:rPr>
        <w:t>EN</w:t>
      </w:r>
      <w:r w:rsidRPr="00437C96">
        <w:t>/</w:t>
      </w:r>
      <w:r w:rsidRPr="00437C96">
        <w:rPr>
          <w:lang w:val="en-US"/>
        </w:rPr>
        <w:t>TXT</w:t>
      </w:r>
      <w:r w:rsidRPr="00437C96">
        <w:t>/?</w:t>
      </w:r>
      <w:proofErr w:type="spellStart"/>
      <w:r w:rsidRPr="00437C96">
        <w:rPr>
          <w:lang w:val="en-US"/>
        </w:rPr>
        <w:t>uri</w:t>
      </w:r>
      <w:proofErr w:type="spellEnd"/>
      <w:r w:rsidRPr="00437C96">
        <w:t>=</w:t>
      </w:r>
      <w:proofErr w:type="spellStart"/>
      <w:r w:rsidRPr="00437C96">
        <w:rPr>
          <w:lang w:val="en-US"/>
        </w:rPr>
        <w:t>celex</w:t>
      </w:r>
      <w:proofErr w:type="spellEnd"/>
      <w:r w:rsidRPr="00437C96">
        <w:t>%3</w:t>
      </w:r>
      <w:r w:rsidRPr="00437C96">
        <w:rPr>
          <w:lang w:val="en-US"/>
        </w:rPr>
        <w:t>A</w:t>
      </w:r>
      <w:r w:rsidRPr="00437C96">
        <w:t>32022</w:t>
      </w:r>
      <w:r w:rsidRPr="00437C96">
        <w:rPr>
          <w:lang w:val="en-US"/>
        </w:rPr>
        <w:t>R</w:t>
      </w:r>
      <w:r w:rsidRPr="00437C96">
        <w:t xml:space="preserve">1269 и США введут запрет на морские поставки нефти из России 5 декабря // РБК. 10.09.2022. </w:t>
      </w:r>
      <w:r w:rsidR="00A05656">
        <w:rPr>
          <w:lang w:val="en-US"/>
        </w:rPr>
        <w:t>URL</w:t>
      </w:r>
      <w:r w:rsidR="00A05656" w:rsidRPr="00A05656">
        <w:t xml:space="preserve">: </w:t>
      </w:r>
      <w:r w:rsidRPr="00437C96">
        <w:rPr>
          <w:lang w:val="en-US"/>
        </w:rPr>
        <w:t>https</w:t>
      </w:r>
      <w:r w:rsidRPr="00437C96">
        <w:t>://</w:t>
      </w:r>
      <w:r w:rsidRPr="00437C96">
        <w:rPr>
          <w:lang w:val="en-US"/>
        </w:rPr>
        <w:t>www</w:t>
      </w:r>
      <w:r w:rsidRPr="00437C96">
        <w:t>.</w:t>
      </w:r>
      <w:proofErr w:type="spellStart"/>
      <w:r w:rsidRPr="00437C96">
        <w:rPr>
          <w:lang w:val="en-US"/>
        </w:rPr>
        <w:t>rbc</w:t>
      </w:r>
      <w:proofErr w:type="spellEnd"/>
      <w:r w:rsidRPr="00437C96">
        <w:t>.</w:t>
      </w:r>
      <w:proofErr w:type="spellStart"/>
      <w:r w:rsidRPr="00437C96">
        <w:rPr>
          <w:lang w:val="en-US"/>
        </w:rPr>
        <w:t>ru</w:t>
      </w:r>
      <w:proofErr w:type="spellEnd"/>
      <w:r w:rsidRPr="00437C96">
        <w:t>/</w:t>
      </w:r>
      <w:r w:rsidRPr="00437C96">
        <w:rPr>
          <w:lang w:val="en-US"/>
        </w:rPr>
        <w:t>politics</w:t>
      </w:r>
      <w:r w:rsidRPr="00437C96">
        <w:t>/10/09/2022/631</w:t>
      </w:r>
      <w:proofErr w:type="spellStart"/>
      <w:r w:rsidRPr="00437C96">
        <w:rPr>
          <w:lang w:val="en-US"/>
        </w:rPr>
        <w:t>bbab</w:t>
      </w:r>
      <w:proofErr w:type="spellEnd"/>
      <w:r w:rsidRPr="00437C96">
        <w:t>79</w:t>
      </w:r>
      <w:r w:rsidRPr="00437C96">
        <w:rPr>
          <w:lang w:val="en-US"/>
        </w:rPr>
        <w:t>a</w:t>
      </w:r>
      <w:r w:rsidRPr="00437C96">
        <w:t>7947</w:t>
      </w:r>
      <w:r w:rsidRPr="00437C96">
        <w:rPr>
          <w:lang w:val="en-US"/>
        </w:rPr>
        <w:t>c</w:t>
      </w:r>
      <w:r w:rsidRPr="00437C96">
        <w:t>563</w:t>
      </w:r>
      <w:proofErr w:type="spellStart"/>
      <w:r w:rsidRPr="00437C96">
        <w:rPr>
          <w:lang w:val="en-US"/>
        </w:rPr>
        <w:t>eb</w:t>
      </w:r>
      <w:proofErr w:type="spellEnd"/>
      <w:r w:rsidRPr="00437C96">
        <w:t>7427</w:t>
      </w:r>
      <w:r w:rsidR="00A05656" w:rsidRPr="00A05656">
        <w:t>.</w:t>
      </w:r>
    </w:p>
  </w:footnote>
  <w:footnote w:id="17">
    <w:p w14:paraId="561A5F40" w14:textId="77777777" w:rsidR="00437C96" w:rsidRPr="00437C96" w:rsidRDefault="00437C96" w:rsidP="00437C96">
      <w:pPr>
        <w:pStyle w:val="a8"/>
        <w:ind w:firstLine="709"/>
      </w:pPr>
      <w:r w:rsidRPr="00437C96">
        <w:rPr>
          <w:rStyle w:val="aa"/>
        </w:rPr>
        <w:footnoteRef/>
      </w:r>
      <w:r w:rsidRPr="00437C96">
        <w:t xml:space="preserve"> Государства-члены, которые в определенной степени зависят от трубопроводных поставок нефти и нефтепродуктов из России, могут воспользоваться временным освобождением и продолжать получать сырую нефть, поставляемую по трубопроводу, пока Совет не примет иного решения (в число таких стран входят Венгрия и Словакия). Однако государства-члены, пользующиеся этим освобождением, не смогут перепродавать такую сырую нефть и нефтепродукты другим государствам-членам или третьим странам;</w:t>
      </w:r>
    </w:p>
    <w:p w14:paraId="4CC50B2B" w14:textId="77777777" w:rsidR="00437C96" w:rsidRPr="00437C96" w:rsidRDefault="00437C96" w:rsidP="00437C96">
      <w:pPr>
        <w:pStyle w:val="a8"/>
        <w:ind w:firstLine="709"/>
      </w:pPr>
      <w:r w:rsidRPr="00437C96">
        <w:t xml:space="preserve">Из-за специфического географического положения для Болгарии была согласована специальная временная отмена до конца 2024 г., которая сможет продолжать импортировать сырую нефть и нефтепродукты морским транспортом. Кроме того, Хорватия сможет до конца 2023 г. импортировать российский вакуумный газойль на </w:t>
      </w:r>
      <w:proofErr w:type="gramStart"/>
      <w:r w:rsidRPr="00437C96">
        <w:t>свои</w:t>
      </w:r>
      <w:proofErr w:type="gramEnd"/>
      <w:r w:rsidRPr="00437C96">
        <w:t xml:space="preserve"> НПЗ.</w:t>
      </w:r>
    </w:p>
  </w:footnote>
  <w:footnote w:id="18">
    <w:p w14:paraId="3E4A4032" w14:textId="3B7E5372" w:rsidR="00437C96" w:rsidRPr="00437C96" w:rsidRDefault="00437C96" w:rsidP="00437C96">
      <w:pPr>
        <w:pStyle w:val="a8"/>
        <w:ind w:firstLine="709"/>
        <w:rPr>
          <w:lang w:val="en-US"/>
        </w:rPr>
      </w:pPr>
      <w:r w:rsidRPr="00437C96">
        <w:rPr>
          <w:rStyle w:val="aa"/>
        </w:rPr>
        <w:footnoteRef/>
      </w:r>
      <w:r w:rsidRPr="00437C96">
        <w:rPr>
          <w:lang w:val="en-US"/>
        </w:rPr>
        <w:t xml:space="preserve"> 33rd OPEC and non-OPEC Ministerial Meeting // OPEC. 05.10.2022. </w:t>
      </w:r>
      <w:r w:rsidR="00A05656">
        <w:rPr>
          <w:lang w:val="en-US"/>
        </w:rPr>
        <w:t xml:space="preserve">URL: </w:t>
      </w:r>
      <w:r w:rsidRPr="00437C96">
        <w:rPr>
          <w:lang w:val="en-US"/>
        </w:rPr>
        <w:t>https://www.opec.org/opec_web/en/press_room/7021.htm</w:t>
      </w:r>
    </w:p>
  </w:footnote>
  <w:footnote w:id="19">
    <w:p w14:paraId="418D9442" w14:textId="6E6E8EFE" w:rsidR="00437C96" w:rsidRPr="00557F23" w:rsidRDefault="00437C96" w:rsidP="00437C96">
      <w:pPr>
        <w:pStyle w:val="a8"/>
        <w:ind w:firstLine="709"/>
        <w:rPr>
          <w:sz w:val="22"/>
          <w:szCs w:val="22"/>
          <w:lang w:val="en-US"/>
        </w:rPr>
      </w:pPr>
      <w:r w:rsidRPr="00557F23">
        <w:rPr>
          <w:rStyle w:val="aa"/>
        </w:rPr>
        <w:footnoteRef/>
      </w:r>
      <w:r w:rsidRPr="00557F23">
        <w:t xml:space="preserve"> Без страховки и упрека // Коммерсантъ. </w:t>
      </w:r>
      <w:r w:rsidRPr="004455C6">
        <w:rPr>
          <w:lang w:val="en-US"/>
        </w:rPr>
        <w:t>19.09.2022</w:t>
      </w:r>
      <w:r w:rsidR="00A05656" w:rsidRPr="004455C6">
        <w:rPr>
          <w:lang w:val="en-US"/>
        </w:rPr>
        <w:t xml:space="preserve">. </w:t>
      </w:r>
      <w:r w:rsidR="00A05656" w:rsidRPr="00557F23">
        <w:rPr>
          <w:lang w:val="en-US"/>
        </w:rPr>
        <w:t xml:space="preserve">URL: </w:t>
      </w:r>
      <w:r w:rsidRPr="00557F23">
        <w:rPr>
          <w:lang w:val="en-US"/>
        </w:rPr>
        <w:t>https://www.kommersant.ru/doc/5561081</w:t>
      </w:r>
      <w:r w:rsidR="00A05656" w:rsidRPr="00557F23">
        <w:rPr>
          <w:lang w:val="en-US"/>
        </w:rPr>
        <w:t>.</w:t>
      </w:r>
    </w:p>
  </w:footnote>
  <w:footnote w:id="20">
    <w:p w14:paraId="6F7D7680" w14:textId="16CD527A" w:rsidR="00437C96" w:rsidRPr="00E103B9" w:rsidRDefault="00437C96" w:rsidP="00437C96">
      <w:pPr>
        <w:pStyle w:val="a8"/>
        <w:ind w:firstLine="709"/>
      </w:pPr>
      <w:r w:rsidRPr="00557F23">
        <w:rPr>
          <w:rStyle w:val="aa"/>
        </w:rPr>
        <w:footnoteRef/>
      </w:r>
      <w:r w:rsidRPr="00557F23">
        <w:t xml:space="preserve"> Российские операторы сдают танкеры // Коммерсантъ. </w:t>
      </w:r>
      <w:r w:rsidRPr="00557F23">
        <w:rPr>
          <w:lang w:val="en-US"/>
        </w:rPr>
        <w:t xml:space="preserve">05.10.2022. </w:t>
      </w:r>
      <w:r w:rsidR="00A05656" w:rsidRPr="00557F23">
        <w:rPr>
          <w:lang w:val="en-US"/>
        </w:rPr>
        <w:t>URL</w:t>
      </w:r>
      <w:r w:rsidR="00A05656" w:rsidRPr="00E103B9">
        <w:t xml:space="preserve">: </w:t>
      </w:r>
      <w:r w:rsidRPr="00557F23">
        <w:rPr>
          <w:lang w:val="en-US"/>
        </w:rPr>
        <w:t>https</w:t>
      </w:r>
      <w:r w:rsidRPr="00E103B9">
        <w:t>://</w:t>
      </w:r>
      <w:r w:rsidRPr="00557F23">
        <w:rPr>
          <w:lang w:val="en-US"/>
        </w:rPr>
        <w:t>www</w:t>
      </w:r>
      <w:r w:rsidRPr="00E103B9">
        <w:t>.</w:t>
      </w:r>
      <w:proofErr w:type="spellStart"/>
      <w:r w:rsidRPr="00557F23">
        <w:rPr>
          <w:lang w:val="en-US"/>
        </w:rPr>
        <w:t>kommersant</w:t>
      </w:r>
      <w:proofErr w:type="spellEnd"/>
      <w:r w:rsidRPr="00E103B9">
        <w:t>.</w:t>
      </w:r>
      <w:proofErr w:type="spellStart"/>
      <w:r w:rsidRPr="00557F23">
        <w:rPr>
          <w:lang w:val="en-US"/>
        </w:rPr>
        <w:t>ru</w:t>
      </w:r>
      <w:proofErr w:type="spellEnd"/>
      <w:r w:rsidRPr="00E103B9">
        <w:t>/</w:t>
      </w:r>
      <w:r w:rsidRPr="00557F23">
        <w:rPr>
          <w:lang w:val="en-US"/>
        </w:rPr>
        <w:t>doc</w:t>
      </w:r>
      <w:r w:rsidRPr="00E103B9">
        <w:t>/5594774</w:t>
      </w:r>
      <w:r w:rsidR="00A05656" w:rsidRPr="00E103B9">
        <w:t>.</w:t>
      </w:r>
    </w:p>
  </w:footnote>
  <w:footnote w:id="21">
    <w:p w14:paraId="540E0B59" w14:textId="4C548A0C" w:rsidR="00A05656" w:rsidRPr="004455C6" w:rsidRDefault="00A05656" w:rsidP="00A05656">
      <w:pPr>
        <w:pStyle w:val="a8"/>
        <w:ind w:firstLine="709"/>
        <w:contextualSpacing/>
      </w:pPr>
      <w:r w:rsidRPr="00557F23">
        <w:rPr>
          <w:rStyle w:val="aa"/>
        </w:rPr>
        <w:footnoteRef/>
      </w:r>
      <w:r w:rsidRPr="00557F23">
        <w:t xml:space="preserve"> В 2021 году РФ экспортировала в Европу около 105 </w:t>
      </w:r>
      <w:proofErr w:type="gramStart"/>
      <w:r w:rsidRPr="00557F23">
        <w:t>млн</w:t>
      </w:r>
      <w:proofErr w:type="gramEnd"/>
      <w:r w:rsidRPr="00557F23">
        <w:t xml:space="preserve"> тонн нефти, около трети пришлось на поставки по трубопроводу «Дружба»// </w:t>
      </w:r>
      <w:proofErr w:type="spellStart"/>
      <w:r w:rsidRPr="00557F23">
        <w:t>Комерсант</w:t>
      </w:r>
      <w:proofErr w:type="spellEnd"/>
      <w:r w:rsidRPr="00557F23">
        <w:t xml:space="preserve">. 31.05.2022. </w:t>
      </w:r>
      <w:r w:rsidRPr="00557F23">
        <w:rPr>
          <w:lang w:val="en-US"/>
        </w:rPr>
        <w:t>URL</w:t>
      </w:r>
      <w:r w:rsidRPr="004455C6">
        <w:t xml:space="preserve">: </w:t>
      </w:r>
      <w:r w:rsidRPr="00557F23">
        <w:t>https://www.kommersant.ru/doc/5381002</w:t>
      </w:r>
      <w:r w:rsidRPr="004455C6">
        <w:t>.</w:t>
      </w:r>
    </w:p>
  </w:footnote>
  <w:footnote w:id="22">
    <w:p w14:paraId="39D629B4" w14:textId="6E6F7275" w:rsidR="00A05656" w:rsidRPr="00557F23" w:rsidRDefault="00A05656" w:rsidP="00A05656">
      <w:pPr>
        <w:pStyle w:val="a8"/>
        <w:ind w:firstLine="709"/>
        <w:contextualSpacing/>
        <w:rPr>
          <w:lang w:val="en-US"/>
        </w:rPr>
      </w:pPr>
      <w:r w:rsidRPr="00557F23">
        <w:rPr>
          <w:rStyle w:val="aa"/>
        </w:rPr>
        <w:footnoteRef/>
      </w:r>
      <w:r w:rsidRPr="00557F23">
        <w:t xml:space="preserve"> Евросоюз разрешил России проводить платежи за транзит нефти через Украину // Ведомости. </w:t>
      </w:r>
      <w:r w:rsidRPr="004455C6">
        <w:rPr>
          <w:lang w:val="en-US"/>
        </w:rPr>
        <w:t xml:space="preserve">23.08.2022. </w:t>
      </w:r>
      <w:r w:rsidRPr="00557F23">
        <w:rPr>
          <w:lang w:val="en-US"/>
        </w:rPr>
        <w:t>URL: https://www.vedomosti.ru/business/articles/2022/08/23/937183-provodit-platezhi-cherez-ukrainu.</w:t>
      </w:r>
    </w:p>
  </w:footnote>
  <w:footnote w:id="23">
    <w:p w14:paraId="680AA618" w14:textId="662FBAAF" w:rsidR="00A05656" w:rsidRPr="00557F23" w:rsidRDefault="00A05656" w:rsidP="00A05656">
      <w:pPr>
        <w:pStyle w:val="a8"/>
        <w:ind w:firstLine="709"/>
        <w:contextualSpacing/>
      </w:pPr>
      <w:r w:rsidRPr="00557F23">
        <w:rPr>
          <w:rStyle w:val="aa"/>
        </w:rPr>
        <w:footnoteRef/>
      </w:r>
      <w:r w:rsidRPr="00557F23">
        <w:t xml:space="preserve"> Расчет авторов. Разность </w:t>
      </w:r>
      <w:proofErr w:type="gramStart"/>
      <w:r w:rsidRPr="00557F23">
        <w:t>между</w:t>
      </w:r>
      <w:proofErr w:type="gramEnd"/>
      <w:r w:rsidRPr="00557F23">
        <w:t xml:space="preserve"> </w:t>
      </w:r>
      <w:proofErr w:type="gramStart"/>
      <w:r w:rsidRPr="00557F23">
        <w:t>Экспорт</w:t>
      </w:r>
      <w:proofErr w:type="gramEnd"/>
      <w:r w:rsidRPr="00557F23">
        <w:t xml:space="preserve"> 2021</w:t>
      </w:r>
      <w:r w:rsidR="00557F23" w:rsidRPr="00557F23">
        <w:t xml:space="preserve"> г.</w:t>
      </w:r>
      <w:r w:rsidRPr="00557F23">
        <w:t xml:space="preserve"> и трубопроводным и водным транспортом</w:t>
      </w:r>
      <w:r w:rsidR="00557F23" w:rsidRPr="00557F23">
        <w:t>.</w:t>
      </w:r>
    </w:p>
  </w:footnote>
  <w:footnote w:id="24">
    <w:p w14:paraId="7B92E066" w14:textId="1D5A3599" w:rsidR="00A05656" w:rsidRPr="00557F23" w:rsidRDefault="00A05656" w:rsidP="00A05656">
      <w:pPr>
        <w:pStyle w:val="a8"/>
        <w:ind w:firstLine="709"/>
        <w:contextualSpacing/>
        <w:rPr>
          <w:lang w:val="en-US"/>
        </w:rPr>
      </w:pPr>
      <w:r w:rsidRPr="00557F23">
        <w:rPr>
          <w:rStyle w:val="aa"/>
        </w:rPr>
        <w:footnoteRef/>
      </w:r>
      <w:r w:rsidRPr="00557F23">
        <w:t xml:space="preserve"> Объемы экспорта в 2021 г. для ЕС, США, Китая и остальных направления. </w:t>
      </w:r>
      <w:r w:rsidRPr="00557F23">
        <w:rPr>
          <w:lang w:val="en-US"/>
        </w:rPr>
        <w:t xml:space="preserve">Statistical Review of World Energy 2022 // BP. 2022. </w:t>
      </w:r>
      <w:r w:rsidR="00557F23" w:rsidRPr="00557F23">
        <w:rPr>
          <w:lang w:val="en-US"/>
        </w:rPr>
        <w:t xml:space="preserve">URL: </w:t>
      </w:r>
      <w:r w:rsidRPr="00557F23">
        <w:rPr>
          <w:lang w:val="en-US"/>
        </w:rPr>
        <w:t>https://www.bp.com/content/dam/bp/business-sites/en/global/corporate/pdfs/energy-economics/statistical-review/bp-stats-review-2022-full-report.pdf</w:t>
      </w:r>
      <w:r w:rsidR="00557F23" w:rsidRPr="00557F23">
        <w:rPr>
          <w:lang w:val="en-US"/>
        </w:rPr>
        <w:t>.</w:t>
      </w:r>
    </w:p>
  </w:footnote>
  <w:footnote w:id="25">
    <w:p w14:paraId="4CB7A8A8" w14:textId="77777777" w:rsidR="00A05656" w:rsidRPr="00557F23" w:rsidRDefault="00A05656" w:rsidP="00A05656">
      <w:pPr>
        <w:pStyle w:val="a8"/>
        <w:ind w:firstLine="709"/>
        <w:contextualSpacing/>
      </w:pPr>
      <w:r w:rsidRPr="00557F23">
        <w:rPr>
          <w:rStyle w:val="aa"/>
        </w:rPr>
        <w:footnoteRef/>
      </w:r>
      <w:r w:rsidRPr="00557F23">
        <w:t xml:space="preserve"> По статистике Минэкономразвития экспорт нефти в ЕС за январь-июнь 2022 г. составляет 50.3 </w:t>
      </w:r>
      <w:proofErr w:type="gramStart"/>
      <w:r w:rsidRPr="00557F23">
        <w:t>млн</w:t>
      </w:r>
      <w:proofErr w:type="gramEnd"/>
      <w:r w:rsidRPr="00557F23">
        <w:t xml:space="preserve"> т. Предположим, что экспорт за 2022 г. в ЕС составит 100.6 млн т.</w:t>
      </w:r>
    </w:p>
  </w:footnote>
  <w:footnote w:id="26">
    <w:p w14:paraId="3CCE1BC2" w14:textId="77777777" w:rsidR="00A05656" w:rsidRPr="00557F23" w:rsidRDefault="00A05656" w:rsidP="00A05656">
      <w:pPr>
        <w:pStyle w:val="a8"/>
        <w:ind w:firstLine="709"/>
        <w:contextualSpacing/>
      </w:pPr>
      <w:r w:rsidRPr="00557F23">
        <w:rPr>
          <w:rStyle w:val="aa"/>
        </w:rPr>
        <w:footnoteRef/>
      </w:r>
      <w:r w:rsidRPr="00557F23">
        <w:t xml:space="preserve"> Экспорт российской нефти в ЕС осуществляется по трубопроводу, по морю и другим видом транспорта (в него входят железнодорожный и автомобильный). </w:t>
      </w:r>
      <w:proofErr w:type="gramStart"/>
      <w:r w:rsidRPr="00557F23">
        <w:t>Предполагаем, что с 3 июня, дата начала действия шестого пакета санкций, в силу вступило эмбарго на экспорт российской нефти в ЕС, кроме некоторых поставок по трубопроводу «Дружба» (в Венгрию и Словакию) и кроме поставок по морю, для которых была введена отсрочка для нефти на 6 месяцев, для нефтепродуктов на 8 и отсрочка эмбарго для Болгарии и Хорватии.</w:t>
      </w:r>
      <w:proofErr w:type="gramEnd"/>
      <w:r w:rsidRPr="00557F23">
        <w:t xml:space="preserve"> </w:t>
      </w:r>
      <w:proofErr w:type="gramStart"/>
      <w:r w:rsidRPr="00557F23">
        <w:t>Предполагаем, что в 2022 г. поставки другим видом транспорта в ЕС составляют 6/12 от 2021 г., танкерами 11/12 от объема экспорта всех стран кроме Болгарии и Хорватии в 2021 г. и плюс объемы транспортировки в Болгарию и Хорватию в 2021 г., трубопроводом – разность между оценкой экспорта в ЕС в 2022 г. и рассчитанными значениями для экспорта по морю</w:t>
      </w:r>
      <w:proofErr w:type="gramEnd"/>
      <w:r w:rsidRPr="00557F23">
        <w:t xml:space="preserve"> и другим видом транспорта.</w:t>
      </w:r>
    </w:p>
  </w:footnote>
  <w:footnote w:id="27">
    <w:p w14:paraId="4A0BBC70" w14:textId="485EFB25" w:rsidR="00A05656" w:rsidRPr="00557F23" w:rsidRDefault="00A05656" w:rsidP="00A05656">
      <w:pPr>
        <w:pStyle w:val="a8"/>
        <w:ind w:firstLine="709"/>
        <w:contextualSpacing/>
      </w:pPr>
      <w:r w:rsidRPr="00557F23">
        <w:rPr>
          <w:rStyle w:val="aa"/>
        </w:rPr>
        <w:footnoteRef/>
      </w:r>
      <w:r w:rsidRPr="00557F23">
        <w:t xml:space="preserve"> Экспорт российской нефти в США осуществляется только по морю. Согласно статистике EIA импорт нефти в США из России за январь-апрель в 2022 г. по сравнению с аналогичным периодом прошлого года сократился на 30%. Смотри</w:t>
      </w:r>
      <w:r w:rsidRPr="00557F23">
        <w:rPr>
          <w:lang w:val="en-US"/>
        </w:rPr>
        <w:t xml:space="preserve">, </w:t>
      </w:r>
      <w:r w:rsidRPr="00557F23">
        <w:t>например</w:t>
      </w:r>
      <w:r w:rsidRPr="00557F23">
        <w:rPr>
          <w:lang w:val="en-US"/>
        </w:rPr>
        <w:t xml:space="preserve">, U.S. Imports from Russia of Crude Oil and Petroleum Products // EIA. 31.08.2022. </w:t>
      </w:r>
      <w:r w:rsidR="008F67BB">
        <w:rPr>
          <w:lang w:val="en-US"/>
        </w:rPr>
        <w:t>URL</w:t>
      </w:r>
      <w:r w:rsidR="008F67BB" w:rsidRPr="00D35876">
        <w:t xml:space="preserve">: </w:t>
      </w:r>
      <w:r w:rsidRPr="00557F23">
        <w:rPr>
          <w:lang w:val="en-US"/>
        </w:rPr>
        <w:t>https</w:t>
      </w:r>
      <w:r w:rsidRPr="00D35876">
        <w:t>://</w:t>
      </w:r>
      <w:r w:rsidRPr="00557F23">
        <w:rPr>
          <w:lang w:val="en-US"/>
        </w:rPr>
        <w:t>www</w:t>
      </w:r>
      <w:r w:rsidRPr="00D35876">
        <w:t>.</w:t>
      </w:r>
      <w:proofErr w:type="spellStart"/>
      <w:r w:rsidRPr="00557F23">
        <w:rPr>
          <w:lang w:val="en-US"/>
        </w:rPr>
        <w:t>eia</w:t>
      </w:r>
      <w:proofErr w:type="spellEnd"/>
      <w:r w:rsidRPr="00D35876">
        <w:t>.</w:t>
      </w:r>
      <w:proofErr w:type="spellStart"/>
      <w:r w:rsidRPr="00557F23">
        <w:rPr>
          <w:lang w:val="en-US"/>
        </w:rPr>
        <w:t>gov</w:t>
      </w:r>
      <w:proofErr w:type="spellEnd"/>
      <w:r w:rsidRPr="00D35876">
        <w:t>/</w:t>
      </w:r>
      <w:proofErr w:type="spellStart"/>
      <w:r w:rsidRPr="00557F23">
        <w:rPr>
          <w:lang w:val="en-US"/>
        </w:rPr>
        <w:t>dnav</w:t>
      </w:r>
      <w:proofErr w:type="spellEnd"/>
      <w:r w:rsidRPr="00D35876">
        <w:t>/</w:t>
      </w:r>
      <w:r w:rsidRPr="00557F23">
        <w:rPr>
          <w:lang w:val="en-US"/>
        </w:rPr>
        <w:t>pet</w:t>
      </w:r>
      <w:r w:rsidRPr="00D35876">
        <w:t>/</w:t>
      </w:r>
      <w:proofErr w:type="spellStart"/>
      <w:r w:rsidRPr="00557F23">
        <w:rPr>
          <w:lang w:val="en-US"/>
        </w:rPr>
        <w:t>hist</w:t>
      </w:r>
      <w:proofErr w:type="spellEnd"/>
      <w:r w:rsidRPr="00D35876">
        <w:t>/</w:t>
      </w:r>
      <w:proofErr w:type="spellStart"/>
      <w:r w:rsidRPr="00557F23">
        <w:rPr>
          <w:lang w:val="en-US"/>
        </w:rPr>
        <w:t>LeafHandler</w:t>
      </w:r>
      <w:proofErr w:type="spellEnd"/>
      <w:r w:rsidRPr="00D35876">
        <w:t>.</w:t>
      </w:r>
      <w:proofErr w:type="spellStart"/>
      <w:r w:rsidRPr="00557F23">
        <w:rPr>
          <w:lang w:val="en-US"/>
        </w:rPr>
        <w:t>ashx</w:t>
      </w:r>
      <w:proofErr w:type="spellEnd"/>
      <w:r w:rsidRPr="00D35876">
        <w:t>?</w:t>
      </w:r>
      <w:r w:rsidRPr="00557F23">
        <w:rPr>
          <w:lang w:val="en-US"/>
        </w:rPr>
        <w:t>n</w:t>
      </w:r>
      <w:r w:rsidRPr="00D35876">
        <w:t>=</w:t>
      </w:r>
      <w:r w:rsidRPr="00557F23">
        <w:rPr>
          <w:lang w:val="en-US"/>
        </w:rPr>
        <w:t>PET</w:t>
      </w:r>
      <w:r w:rsidRPr="00D35876">
        <w:t>&amp;</w:t>
      </w:r>
      <w:r w:rsidRPr="00557F23">
        <w:rPr>
          <w:lang w:val="en-US"/>
        </w:rPr>
        <w:t>s</w:t>
      </w:r>
      <w:r w:rsidRPr="00D35876">
        <w:t>=</w:t>
      </w:r>
      <w:r w:rsidRPr="00557F23">
        <w:rPr>
          <w:lang w:val="en-US"/>
        </w:rPr>
        <w:t>MTTIM</w:t>
      </w:r>
      <w:r w:rsidRPr="00D35876">
        <w:t>_</w:t>
      </w:r>
      <w:r w:rsidRPr="00557F23">
        <w:rPr>
          <w:lang w:val="en-US"/>
        </w:rPr>
        <w:t>NUS</w:t>
      </w:r>
      <w:r w:rsidRPr="00D35876">
        <w:t>-</w:t>
      </w:r>
      <w:r w:rsidRPr="00557F23">
        <w:rPr>
          <w:lang w:val="en-US"/>
        </w:rPr>
        <w:t>NRS</w:t>
      </w:r>
      <w:r w:rsidRPr="00D35876">
        <w:t>_1&amp;</w:t>
      </w:r>
      <w:r w:rsidRPr="00557F23">
        <w:rPr>
          <w:lang w:val="en-US"/>
        </w:rPr>
        <w:t>f</w:t>
      </w:r>
      <w:r w:rsidRPr="00D35876">
        <w:t>=</w:t>
      </w:r>
      <w:r w:rsidRPr="00557F23">
        <w:rPr>
          <w:lang w:val="en-US"/>
        </w:rPr>
        <w:t>M</w:t>
      </w:r>
      <w:r w:rsidRPr="00D35876">
        <w:t xml:space="preserve">. </w:t>
      </w:r>
      <w:r w:rsidRPr="00557F23">
        <w:t xml:space="preserve">Предполагаем, что до декабря 2022 г. импорт по месяцам будет составлять 50% от значений 2021 г. (отношение объема экспорта в апреле 2022 г. к апрелю 2021 г., последняя актуальная статистика, которая выходила по показателю), а в декабре 0, так как в силу вступило эмбарго, тогда сокращение годового показателя по сравнению с 2021 г. составит 55% (США введут запрет на морские поставки нефти из России 5 декабря // РБК. 10.09.2022. </w:t>
      </w:r>
      <w:r w:rsidR="008F67BB">
        <w:rPr>
          <w:lang w:val="en-US"/>
        </w:rPr>
        <w:t>URL</w:t>
      </w:r>
      <w:r w:rsidR="008F67BB" w:rsidRPr="004455C6">
        <w:t xml:space="preserve">: </w:t>
      </w:r>
      <w:r w:rsidRPr="00557F23">
        <w:t>https://www.rbc.ru/politics/10/09/2022/631bbab79a7947c563eb7427).</w:t>
      </w:r>
    </w:p>
  </w:footnote>
  <w:footnote w:id="28">
    <w:p w14:paraId="3F490228" w14:textId="50DE2AA6" w:rsidR="00A05656" w:rsidRPr="008F67BB" w:rsidRDefault="00A05656" w:rsidP="00A05656">
      <w:pPr>
        <w:pStyle w:val="a8"/>
        <w:ind w:firstLine="709"/>
        <w:contextualSpacing/>
        <w:rPr>
          <w:lang w:val="en-US"/>
        </w:rPr>
      </w:pPr>
      <w:r w:rsidRPr="00557F23">
        <w:rPr>
          <w:rStyle w:val="aa"/>
        </w:rPr>
        <w:footnoteRef/>
      </w:r>
      <w:r w:rsidRPr="00557F23">
        <w:t xml:space="preserve"> Предполагаем, что ключевыми направлениями экспорта нефти в ЕС по трубопроводу «Дружба» в Венгрию является НПЗ </w:t>
      </w:r>
      <w:proofErr w:type="spellStart"/>
      <w:r w:rsidRPr="00557F23">
        <w:t>Duna</w:t>
      </w:r>
      <w:proofErr w:type="spellEnd"/>
      <w:r w:rsidRPr="00557F23">
        <w:t xml:space="preserve"> (162 тыс. б/с или 5.5 </w:t>
      </w:r>
      <w:proofErr w:type="gramStart"/>
      <w:r w:rsidRPr="00557F23">
        <w:t>млн</w:t>
      </w:r>
      <w:proofErr w:type="gramEnd"/>
      <w:r w:rsidRPr="00557F23">
        <w:t xml:space="preserve"> т в год) в Словакию – НПЗ </w:t>
      </w:r>
      <w:proofErr w:type="spellStart"/>
      <w:r w:rsidRPr="00557F23">
        <w:t>Bratislava</w:t>
      </w:r>
      <w:proofErr w:type="spellEnd"/>
      <w:r w:rsidRPr="00557F23">
        <w:t xml:space="preserve"> (124 тыс. б/с или 4.3 млн т в год). Нефть по «Дружбе». Сколько нефти из РФ останется в Европе // BCS </w:t>
      </w:r>
      <w:proofErr w:type="spellStart"/>
      <w:r w:rsidRPr="00557F23">
        <w:t>Express</w:t>
      </w:r>
      <w:proofErr w:type="spellEnd"/>
      <w:r w:rsidRPr="00557F23">
        <w:t xml:space="preserve">. </w:t>
      </w:r>
      <w:r w:rsidRPr="004455C6">
        <w:rPr>
          <w:lang w:val="en-US"/>
        </w:rPr>
        <w:t xml:space="preserve">31.05.2022. </w:t>
      </w:r>
      <w:r w:rsidR="008F67BB">
        <w:rPr>
          <w:lang w:val="en-US"/>
        </w:rPr>
        <w:t xml:space="preserve">URL: </w:t>
      </w:r>
      <w:r w:rsidRPr="008F67BB">
        <w:rPr>
          <w:lang w:val="en-US"/>
        </w:rPr>
        <w:t>https://bcs-express.ru/novosti-i-analitika/neft-po-druzhbe-skol-ko-nefti-iz-rf-ostanetsia-v-evrope/</w:t>
      </w:r>
      <w:r w:rsidR="008F67BB">
        <w:rPr>
          <w:lang w:val="en-US"/>
        </w:rPr>
        <w:t>.</w:t>
      </w:r>
    </w:p>
  </w:footnote>
  <w:footnote w:id="29">
    <w:p w14:paraId="6EE4A0D4" w14:textId="3CD44351" w:rsidR="00A05656" w:rsidRPr="008F67BB" w:rsidRDefault="00A05656" w:rsidP="00A05656">
      <w:pPr>
        <w:pStyle w:val="a8"/>
        <w:ind w:firstLine="709"/>
        <w:contextualSpacing/>
      </w:pPr>
      <w:r w:rsidRPr="00557F23">
        <w:rPr>
          <w:rStyle w:val="aa"/>
        </w:rPr>
        <w:footnoteRef/>
      </w:r>
      <w:r w:rsidRPr="00557F23">
        <w:t xml:space="preserve"> НПЗ в Бургасе (Болгария) импортирует примерно 3.6 </w:t>
      </w:r>
      <w:proofErr w:type="gramStart"/>
      <w:r w:rsidRPr="00557F23">
        <w:t>млн</w:t>
      </w:r>
      <w:proofErr w:type="gramEnd"/>
      <w:r w:rsidRPr="00557F23">
        <w:t xml:space="preserve"> тонн в год, нефть 100% российская (поскольку предложение альтернативных сортов нефти на рынке очень ограничено). Примерно 60% сырья, поставляемого из России, перерабатывается для внутреннего рынка, остальное идет на экспорт. Предполагаем, что для объема необходимого для внутреннего рынка отсрочка эмбарго.</w:t>
      </w:r>
      <w:r w:rsidR="008F67BB" w:rsidRPr="008F67BB">
        <w:t xml:space="preserve"> </w:t>
      </w:r>
      <w:r w:rsidR="008F67BB">
        <w:t>Подробнее</w:t>
      </w:r>
      <w:r w:rsidRPr="008F67BB">
        <w:t xml:space="preserve">: </w:t>
      </w:r>
      <w:r w:rsidRPr="008F67BB">
        <w:rPr>
          <w:lang w:val="en-US"/>
        </w:rPr>
        <w:t>https</w:t>
      </w:r>
      <w:r w:rsidRPr="008F67BB">
        <w:t>://</w:t>
      </w:r>
      <w:proofErr w:type="spellStart"/>
      <w:r w:rsidRPr="008F67BB">
        <w:rPr>
          <w:lang w:val="en-US"/>
        </w:rPr>
        <w:t>neftegaz</w:t>
      </w:r>
      <w:proofErr w:type="spellEnd"/>
      <w:r w:rsidRPr="008F67BB">
        <w:t>.</w:t>
      </w:r>
      <w:proofErr w:type="spellStart"/>
      <w:r w:rsidRPr="008F67BB">
        <w:rPr>
          <w:lang w:val="en-US"/>
        </w:rPr>
        <w:t>ru</w:t>
      </w:r>
      <w:proofErr w:type="spellEnd"/>
      <w:r w:rsidRPr="008F67BB">
        <w:t>/</w:t>
      </w:r>
      <w:r w:rsidRPr="008F67BB">
        <w:rPr>
          <w:lang w:val="en-US"/>
        </w:rPr>
        <w:t>news</w:t>
      </w:r>
      <w:r w:rsidRPr="008F67BB">
        <w:t>/</w:t>
      </w:r>
      <w:r w:rsidRPr="008F67BB">
        <w:rPr>
          <w:lang w:val="en-US"/>
        </w:rPr>
        <w:t>transport</w:t>
      </w:r>
      <w:r w:rsidRPr="008F67BB">
        <w:t>-</w:t>
      </w:r>
      <w:r w:rsidRPr="008F67BB">
        <w:rPr>
          <w:lang w:val="en-US"/>
        </w:rPr>
        <w:t>and</w:t>
      </w:r>
      <w:r w:rsidRPr="008F67BB">
        <w:t>-</w:t>
      </w:r>
      <w:r w:rsidRPr="008F67BB">
        <w:rPr>
          <w:lang w:val="en-US"/>
        </w:rPr>
        <w:t>storage</w:t>
      </w:r>
      <w:r w:rsidRPr="008F67BB">
        <w:t>/748974-</w:t>
      </w:r>
      <w:proofErr w:type="spellStart"/>
      <w:r w:rsidRPr="008F67BB">
        <w:rPr>
          <w:lang w:val="en-US"/>
        </w:rPr>
        <w:t>bolgariya</w:t>
      </w:r>
      <w:proofErr w:type="spellEnd"/>
      <w:r w:rsidRPr="008F67BB">
        <w:t>-</w:t>
      </w:r>
      <w:proofErr w:type="spellStart"/>
      <w:r w:rsidRPr="008F67BB">
        <w:rPr>
          <w:lang w:val="en-US"/>
        </w:rPr>
        <w:t>i</w:t>
      </w:r>
      <w:proofErr w:type="spellEnd"/>
      <w:r w:rsidRPr="008F67BB">
        <w:t>-</w:t>
      </w:r>
      <w:proofErr w:type="spellStart"/>
      <w:r w:rsidRPr="008F67BB">
        <w:rPr>
          <w:lang w:val="en-US"/>
        </w:rPr>
        <w:t>lukoyl</w:t>
      </w:r>
      <w:proofErr w:type="spellEnd"/>
      <w:r w:rsidRPr="008F67BB">
        <w:t>-</w:t>
      </w:r>
      <w:proofErr w:type="spellStart"/>
      <w:r w:rsidRPr="008F67BB">
        <w:rPr>
          <w:lang w:val="en-US"/>
        </w:rPr>
        <w:t>vedut</w:t>
      </w:r>
      <w:proofErr w:type="spellEnd"/>
      <w:r w:rsidRPr="008F67BB">
        <w:t>-</w:t>
      </w:r>
      <w:proofErr w:type="spellStart"/>
      <w:r w:rsidRPr="008F67BB">
        <w:rPr>
          <w:lang w:val="en-US"/>
        </w:rPr>
        <w:t>peregovory</w:t>
      </w:r>
      <w:proofErr w:type="spellEnd"/>
      <w:r w:rsidRPr="008F67BB">
        <w:t>-</w:t>
      </w:r>
      <w:proofErr w:type="spellStart"/>
      <w:r w:rsidRPr="008F67BB">
        <w:rPr>
          <w:lang w:val="en-US"/>
        </w:rPr>
        <w:t>ob</w:t>
      </w:r>
      <w:proofErr w:type="spellEnd"/>
      <w:r w:rsidRPr="008F67BB">
        <w:t>-</w:t>
      </w:r>
      <w:proofErr w:type="spellStart"/>
      <w:r w:rsidRPr="008F67BB">
        <w:rPr>
          <w:lang w:val="en-US"/>
        </w:rPr>
        <w:t>udeshevlenii</w:t>
      </w:r>
      <w:proofErr w:type="spellEnd"/>
      <w:r w:rsidRPr="008F67BB">
        <w:t>-</w:t>
      </w:r>
      <w:proofErr w:type="spellStart"/>
      <w:r w:rsidRPr="008F67BB">
        <w:rPr>
          <w:lang w:val="en-US"/>
        </w:rPr>
        <w:t>benzina</w:t>
      </w:r>
      <w:proofErr w:type="spellEnd"/>
      <w:r w:rsidRPr="008F67BB">
        <w:t>/</w:t>
      </w:r>
    </w:p>
  </w:footnote>
  <w:footnote w:id="30">
    <w:p w14:paraId="53FADF39" w14:textId="36FEFA9A" w:rsidR="00A05656" w:rsidRPr="008F67BB" w:rsidRDefault="00A05656" w:rsidP="00A05656">
      <w:pPr>
        <w:pStyle w:val="a8"/>
        <w:ind w:firstLine="709"/>
        <w:contextualSpacing/>
        <w:rPr>
          <w:lang w:val="en-US"/>
        </w:rPr>
      </w:pPr>
      <w:r w:rsidRPr="00557F23">
        <w:rPr>
          <w:rStyle w:val="aa"/>
        </w:rPr>
        <w:footnoteRef/>
      </w:r>
      <w:r w:rsidRPr="00557F23">
        <w:t xml:space="preserve"> Хорватия требует исключения из обсуждаемых санкций на поставки нефтепродуктов из РФ – СМИ// </w:t>
      </w:r>
      <w:proofErr w:type="spellStart"/>
      <w:r w:rsidRPr="00557F23">
        <w:t>Финам</w:t>
      </w:r>
      <w:proofErr w:type="spellEnd"/>
      <w:r w:rsidRPr="00557F23">
        <w:t xml:space="preserve">. </w:t>
      </w:r>
      <w:r w:rsidRPr="004455C6">
        <w:rPr>
          <w:lang w:val="en-US"/>
        </w:rPr>
        <w:t xml:space="preserve">06.05.2022. </w:t>
      </w:r>
      <w:r w:rsidR="008F67BB">
        <w:rPr>
          <w:lang w:val="en-US"/>
        </w:rPr>
        <w:t xml:space="preserve">URL: </w:t>
      </w:r>
      <w:r w:rsidRPr="00557F23">
        <w:rPr>
          <w:lang w:val="en-US"/>
        </w:rPr>
        <w:t>https</w:t>
      </w:r>
      <w:r w:rsidRPr="008F67BB">
        <w:rPr>
          <w:lang w:val="en-US"/>
        </w:rPr>
        <w:t>://</w:t>
      </w:r>
      <w:r w:rsidRPr="00557F23">
        <w:rPr>
          <w:lang w:val="en-US"/>
        </w:rPr>
        <w:t>www</w:t>
      </w:r>
      <w:r w:rsidRPr="008F67BB">
        <w:rPr>
          <w:lang w:val="en-US"/>
        </w:rPr>
        <w:t>.</w:t>
      </w:r>
      <w:r w:rsidRPr="00557F23">
        <w:rPr>
          <w:lang w:val="en-US"/>
        </w:rPr>
        <w:t>finam</w:t>
      </w:r>
      <w:r w:rsidRPr="008F67BB">
        <w:rPr>
          <w:lang w:val="en-US"/>
        </w:rPr>
        <w:t>.</w:t>
      </w:r>
      <w:r w:rsidRPr="00557F23">
        <w:rPr>
          <w:lang w:val="en-US"/>
        </w:rPr>
        <w:t>ru</w:t>
      </w:r>
      <w:r w:rsidRPr="008F67BB">
        <w:rPr>
          <w:lang w:val="en-US"/>
        </w:rPr>
        <w:t>/</w:t>
      </w:r>
      <w:r w:rsidRPr="00557F23">
        <w:rPr>
          <w:lang w:val="en-US"/>
        </w:rPr>
        <w:t>publications</w:t>
      </w:r>
      <w:r w:rsidRPr="008F67BB">
        <w:rPr>
          <w:lang w:val="en-US"/>
        </w:rPr>
        <w:t>/</w:t>
      </w:r>
      <w:r w:rsidRPr="00557F23">
        <w:rPr>
          <w:lang w:val="en-US"/>
        </w:rPr>
        <w:t>item</w:t>
      </w:r>
      <w:r w:rsidRPr="008F67BB">
        <w:rPr>
          <w:lang w:val="en-US"/>
        </w:rPr>
        <w:t>/</w:t>
      </w:r>
      <w:r w:rsidRPr="00557F23">
        <w:rPr>
          <w:lang w:val="en-US"/>
        </w:rPr>
        <w:t>xorvatiya</w:t>
      </w:r>
      <w:r w:rsidRPr="008F67BB">
        <w:rPr>
          <w:lang w:val="en-US"/>
        </w:rPr>
        <w:t>-</w:t>
      </w:r>
      <w:r w:rsidRPr="00557F23">
        <w:rPr>
          <w:lang w:val="en-US"/>
        </w:rPr>
        <w:t>trebuet</w:t>
      </w:r>
      <w:r w:rsidRPr="008F67BB">
        <w:rPr>
          <w:lang w:val="en-US"/>
        </w:rPr>
        <w:t>-</w:t>
      </w:r>
      <w:r w:rsidRPr="00557F23">
        <w:rPr>
          <w:lang w:val="en-US"/>
        </w:rPr>
        <w:t>isklyucheniya</w:t>
      </w:r>
      <w:r w:rsidRPr="008F67BB">
        <w:rPr>
          <w:lang w:val="en-US"/>
        </w:rPr>
        <w:t>-</w:t>
      </w:r>
      <w:r w:rsidRPr="00557F23">
        <w:rPr>
          <w:lang w:val="en-US"/>
        </w:rPr>
        <w:t>iz</w:t>
      </w:r>
      <w:r w:rsidRPr="008F67BB">
        <w:rPr>
          <w:lang w:val="en-US"/>
        </w:rPr>
        <w:t>-</w:t>
      </w:r>
      <w:r w:rsidRPr="00557F23">
        <w:rPr>
          <w:lang w:val="en-US"/>
        </w:rPr>
        <w:t>obsuzhdaemyx</w:t>
      </w:r>
      <w:r w:rsidRPr="008F67BB">
        <w:rPr>
          <w:lang w:val="en-US"/>
        </w:rPr>
        <w:t>-</w:t>
      </w:r>
      <w:r w:rsidRPr="00557F23">
        <w:rPr>
          <w:lang w:val="en-US"/>
        </w:rPr>
        <w:t>sankciiy</w:t>
      </w:r>
      <w:r w:rsidRPr="008F67BB">
        <w:rPr>
          <w:lang w:val="en-US"/>
        </w:rPr>
        <w:t>-</w:t>
      </w:r>
      <w:r w:rsidRPr="00557F23">
        <w:rPr>
          <w:lang w:val="en-US"/>
        </w:rPr>
        <w:t>na</w:t>
      </w:r>
      <w:r w:rsidRPr="008F67BB">
        <w:rPr>
          <w:lang w:val="en-US"/>
        </w:rPr>
        <w:t>-</w:t>
      </w:r>
      <w:r w:rsidRPr="00557F23">
        <w:rPr>
          <w:lang w:val="en-US"/>
        </w:rPr>
        <w:t>postavki</w:t>
      </w:r>
      <w:r w:rsidRPr="008F67BB">
        <w:rPr>
          <w:lang w:val="en-US"/>
        </w:rPr>
        <w:t>-</w:t>
      </w:r>
      <w:r w:rsidRPr="00557F23">
        <w:rPr>
          <w:lang w:val="en-US"/>
        </w:rPr>
        <w:t>nefteproduktov</w:t>
      </w:r>
      <w:r w:rsidRPr="008F67BB">
        <w:rPr>
          <w:lang w:val="en-US"/>
        </w:rPr>
        <w:t>-</w:t>
      </w:r>
      <w:r w:rsidRPr="00557F23">
        <w:rPr>
          <w:lang w:val="en-US"/>
        </w:rPr>
        <w:t>iz</w:t>
      </w:r>
      <w:r w:rsidRPr="008F67BB">
        <w:rPr>
          <w:lang w:val="en-US"/>
        </w:rPr>
        <w:t>-</w:t>
      </w:r>
      <w:r w:rsidRPr="00557F23">
        <w:rPr>
          <w:lang w:val="en-US"/>
        </w:rPr>
        <w:t>rf</w:t>
      </w:r>
      <w:r w:rsidRPr="008F67BB">
        <w:rPr>
          <w:lang w:val="en-US"/>
        </w:rPr>
        <w:t>-</w:t>
      </w:r>
      <w:r w:rsidRPr="00557F23">
        <w:rPr>
          <w:lang w:val="en-US"/>
        </w:rPr>
        <w:t>smi</w:t>
      </w:r>
      <w:r w:rsidRPr="008F67BB">
        <w:rPr>
          <w:lang w:val="en-US"/>
        </w:rPr>
        <w:t>-20220506-152724</w:t>
      </w:r>
      <w:r w:rsidR="008F67BB">
        <w:rPr>
          <w:lang w:val="en-US"/>
        </w:rPr>
        <w:t>.</w:t>
      </w:r>
    </w:p>
  </w:footnote>
  <w:footnote w:id="31">
    <w:p w14:paraId="5A52716F" w14:textId="20434A57" w:rsidR="00A05656" w:rsidRPr="008F67BB" w:rsidRDefault="00A05656" w:rsidP="00A05656">
      <w:pPr>
        <w:pStyle w:val="a8"/>
        <w:ind w:firstLine="709"/>
        <w:rPr>
          <w:lang w:val="en-US"/>
        </w:rPr>
      </w:pPr>
      <w:r w:rsidRPr="00557F23">
        <w:rPr>
          <w:rStyle w:val="aa"/>
        </w:rPr>
        <w:footnoteRef/>
      </w:r>
      <w:r w:rsidRPr="00557F23">
        <w:t xml:space="preserve"> Предполагаем, что морские поставки в ЕС сократятся на 70% из-за трудностей в отслеживании серых схем экспорта российской нефти в обход запретов. Поставки танкерами в ЕС составят 20.7 </w:t>
      </w:r>
      <w:proofErr w:type="gramStart"/>
      <w:r w:rsidRPr="00557F23">
        <w:t>млн</w:t>
      </w:r>
      <w:proofErr w:type="gramEnd"/>
      <w:r w:rsidRPr="00557F23">
        <w:t xml:space="preserve"> т. в 2023–2025 гг. Аналогичная доля сокращения экспорта предполагается для других видов транспорта (в 2023–2025 гг. составят 10.1 млн т). Нефть по «Дружбе». Сколько нефти из</w:t>
      </w:r>
      <w:r w:rsidRPr="002C3565">
        <w:rPr>
          <w:sz w:val="16"/>
          <w:szCs w:val="16"/>
        </w:rPr>
        <w:t xml:space="preserve"> РФ </w:t>
      </w:r>
      <w:r w:rsidRPr="008F67BB">
        <w:t xml:space="preserve">останется в Европе // BCS </w:t>
      </w:r>
      <w:proofErr w:type="spellStart"/>
      <w:r w:rsidRPr="008F67BB">
        <w:t>Express</w:t>
      </w:r>
      <w:proofErr w:type="spellEnd"/>
      <w:r w:rsidRPr="008F67BB">
        <w:t xml:space="preserve">. </w:t>
      </w:r>
      <w:r w:rsidRPr="004455C6">
        <w:rPr>
          <w:lang w:val="en-US"/>
        </w:rPr>
        <w:t xml:space="preserve">31.05.2022. </w:t>
      </w:r>
      <w:r w:rsidR="008F67BB">
        <w:rPr>
          <w:lang w:val="en-US"/>
        </w:rPr>
        <w:t xml:space="preserve">URL: </w:t>
      </w:r>
      <w:r w:rsidRPr="008F67BB">
        <w:rPr>
          <w:lang w:val="en-US"/>
        </w:rPr>
        <w:t>https://bcs-express.ru/novosti-i-analitika/neft-po-druzhbe-skol-ko-nefti-iz-rf-ostanetsia-v-evrope</w:t>
      </w:r>
      <w:r w:rsidR="008F67BB">
        <w:rPr>
          <w:lang w:val="en-US"/>
        </w:rPr>
        <w:t>.</w:t>
      </w:r>
    </w:p>
  </w:footnote>
  <w:footnote w:id="32">
    <w:p w14:paraId="27D6A676" w14:textId="48F4D6A0" w:rsidR="00A05656" w:rsidRPr="004455C6" w:rsidRDefault="00A05656" w:rsidP="00A05656">
      <w:pPr>
        <w:pStyle w:val="a8"/>
        <w:ind w:firstLine="709"/>
        <w:contextualSpacing/>
      </w:pPr>
      <w:r w:rsidRPr="008F67BB">
        <w:rPr>
          <w:rStyle w:val="aa"/>
        </w:rPr>
        <w:footnoteRef/>
      </w:r>
      <w:r w:rsidRPr="008F67BB">
        <w:t xml:space="preserve"> США введут запрет на морские поставки нефти из России 5 декабря // РБК. 10.09.2022. </w:t>
      </w:r>
      <w:r w:rsidR="008F67BB">
        <w:rPr>
          <w:lang w:val="en-US"/>
        </w:rPr>
        <w:t>URL</w:t>
      </w:r>
      <w:r w:rsidR="008F67BB" w:rsidRPr="004455C6">
        <w:t xml:space="preserve">: </w:t>
      </w:r>
      <w:r w:rsidRPr="008F67BB">
        <w:rPr>
          <w:lang w:val="en-US"/>
        </w:rPr>
        <w:t>https</w:t>
      </w:r>
      <w:r w:rsidRPr="008F67BB">
        <w:t>://</w:t>
      </w:r>
      <w:r w:rsidRPr="008F67BB">
        <w:rPr>
          <w:lang w:val="en-US"/>
        </w:rPr>
        <w:t>www</w:t>
      </w:r>
      <w:r w:rsidRPr="008F67BB">
        <w:t>.</w:t>
      </w:r>
      <w:proofErr w:type="spellStart"/>
      <w:r w:rsidRPr="008F67BB">
        <w:rPr>
          <w:lang w:val="en-US"/>
        </w:rPr>
        <w:t>rbc</w:t>
      </w:r>
      <w:proofErr w:type="spellEnd"/>
      <w:r w:rsidRPr="008F67BB">
        <w:t>.</w:t>
      </w:r>
      <w:proofErr w:type="spellStart"/>
      <w:r w:rsidRPr="008F67BB">
        <w:rPr>
          <w:lang w:val="en-US"/>
        </w:rPr>
        <w:t>ru</w:t>
      </w:r>
      <w:proofErr w:type="spellEnd"/>
      <w:r w:rsidRPr="008F67BB">
        <w:t>/</w:t>
      </w:r>
      <w:r w:rsidRPr="008F67BB">
        <w:rPr>
          <w:lang w:val="en-US"/>
        </w:rPr>
        <w:t>politics</w:t>
      </w:r>
      <w:r w:rsidRPr="008F67BB">
        <w:t>/10/09/2022/631</w:t>
      </w:r>
      <w:proofErr w:type="spellStart"/>
      <w:r w:rsidRPr="008F67BB">
        <w:rPr>
          <w:lang w:val="en-US"/>
        </w:rPr>
        <w:t>bbab</w:t>
      </w:r>
      <w:proofErr w:type="spellEnd"/>
      <w:r w:rsidRPr="008F67BB">
        <w:t>79</w:t>
      </w:r>
      <w:r w:rsidRPr="008F67BB">
        <w:rPr>
          <w:lang w:val="en-US"/>
        </w:rPr>
        <w:t>a</w:t>
      </w:r>
      <w:r w:rsidRPr="008F67BB">
        <w:t>7947</w:t>
      </w:r>
      <w:r w:rsidRPr="008F67BB">
        <w:rPr>
          <w:lang w:val="en-US"/>
        </w:rPr>
        <w:t>c</w:t>
      </w:r>
      <w:r w:rsidRPr="008F67BB">
        <w:t>563</w:t>
      </w:r>
      <w:proofErr w:type="spellStart"/>
      <w:r w:rsidRPr="008F67BB">
        <w:rPr>
          <w:lang w:val="en-US"/>
        </w:rPr>
        <w:t>eb</w:t>
      </w:r>
      <w:proofErr w:type="spellEnd"/>
      <w:r w:rsidRPr="008F67BB">
        <w:t>7427</w:t>
      </w:r>
      <w:r w:rsidR="008F67BB" w:rsidRPr="004455C6">
        <w:t>.</w:t>
      </w:r>
    </w:p>
  </w:footnote>
  <w:footnote w:id="33">
    <w:p w14:paraId="70BCCF5C" w14:textId="77777777" w:rsidR="00A05656" w:rsidRPr="008F67BB" w:rsidRDefault="00A05656" w:rsidP="00A05656">
      <w:pPr>
        <w:pStyle w:val="a8"/>
        <w:ind w:firstLine="709"/>
        <w:contextualSpacing/>
      </w:pPr>
      <w:r w:rsidRPr="008F67BB">
        <w:rPr>
          <w:rStyle w:val="aa"/>
        </w:rPr>
        <w:footnoteRef/>
      </w:r>
      <w:r w:rsidRPr="008F67BB">
        <w:t xml:space="preserve"> Предполагаем, что объем нефти, которые «выпал» из-за ограничений на поставки в ЕС, можно перенаправить (60% или 59 </w:t>
      </w:r>
      <w:proofErr w:type="gramStart"/>
      <w:r w:rsidRPr="008F67BB">
        <w:t>млн</w:t>
      </w:r>
      <w:proofErr w:type="gramEnd"/>
      <w:r w:rsidRPr="008F67BB">
        <w:t xml:space="preserve"> т) на другие направления согласно их доле в общем экспорте (в Китай – 18 млн т, в другие страны – 8 млн т).</w:t>
      </w:r>
    </w:p>
  </w:footnote>
  <w:footnote w:id="34">
    <w:p w14:paraId="23D9E2CB" w14:textId="77777777" w:rsidR="00437C96" w:rsidRPr="00512A3F" w:rsidRDefault="00437C96" w:rsidP="00437C96">
      <w:pPr>
        <w:pStyle w:val="a8"/>
        <w:ind w:firstLine="709"/>
        <w:rPr>
          <w:sz w:val="16"/>
          <w:szCs w:val="16"/>
          <w:lang w:val="en-US"/>
        </w:rPr>
      </w:pPr>
      <w:r w:rsidRPr="00512A3F">
        <w:rPr>
          <w:rStyle w:val="aa"/>
          <w:sz w:val="16"/>
          <w:szCs w:val="16"/>
        </w:rPr>
        <w:footnoteRef/>
      </w:r>
      <w:r w:rsidRPr="00512A3F">
        <w:rPr>
          <w:sz w:val="16"/>
          <w:szCs w:val="16"/>
          <w:lang w:val="en-US"/>
        </w:rPr>
        <w:t xml:space="preserve"> </w:t>
      </w:r>
      <w:proofErr w:type="gramStart"/>
      <w:r w:rsidRPr="00512A3F">
        <w:rPr>
          <w:sz w:val="16"/>
          <w:szCs w:val="16"/>
          <w:lang w:val="en-US"/>
        </w:rPr>
        <w:t>Short-term energy outlook.</w:t>
      </w:r>
      <w:proofErr w:type="gramEnd"/>
      <w:r w:rsidRPr="00512A3F">
        <w:rPr>
          <w:sz w:val="16"/>
          <w:szCs w:val="16"/>
          <w:lang w:val="en-US"/>
        </w:rPr>
        <w:t xml:space="preserve"> Crude oil prices (released September 7, 2022) // https://www.eia.gov/outlooks/steo/</w:t>
      </w:r>
    </w:p>
  </w:footnote>
  <w:footnote w:id="35">
    <w:p w14:paraId="78DE5072" w14:textId="77777777" w:rsidR="00437C96" w:rsidRPr="00512A3F" w:rsidRDefault="00437C96" w:rsidP="00437C96">
      <w:pPr>
        <w:pStyle w:val="a8"/>
        <w:ind w:firstLine="709"/>
        <w:rPr>
          <w:sz w:val="16"/>
          <w:szCs w:val="16"/>
          <w:lang w:val="en-US"/>
        </w:rPr>
      </w:pPr>
      <w:r w:rsidRPr="00512A3F">
        <w:rPr>
          <w:rStyle w:val="aa"/>
          <w:sz w:val="16"/>
          <w:szCs w:val="16"/>
        </w:rPr>
        <w:footnoteRef/>
      </w:r>
      <w:r w:rsidRPr="00512A3F">
        <w:rPr>
          <w:sz w:val="16"/>
          <w:szCs w:val="16"/>
          <w:lang w:val="en-US"/>
        </w:rPr>
        <w:t xml:space="preserve"> OECD Economic Outlook No 111 (released June, 2022) // https://stats.oecd.org/viewhtml.aspx?datasetcode=EO111_INTERNET&amp;lang=en</w:t>
      </w:r>
    </w:p>
  </w:footnote>
  <w:footnote w:id="36">
    <w:p w14:paraId="03C1294B" w14:textId="77777777" w:rsidR="00437C96" w:rsidRPr="00512A3F" w:rsidRDefault="00437C96" w:rsidP="00437C96">
      <w:pPr>
        <w:pStyle w:val="a8"/>
        <w:ind w:firstLine="709"/>
        <w:rPr>
          <w:sz w:val="16"/>
          <w:szCs w:val="16"/>
        </w:rPr>
      </w:pPr>
      <w:r w:rsidRPr="00512A3F">
        <w:rPr>
          <w:rStyle w:val="aa"/>
          <w:sz w:val="16"/>
          <w:szCs w:val="16"/>
        </w:rPr>
        <w:footnoteRef/>
      </w:r>
      <w:r w:rsidRPr="00512A3F">
        <w:rPr>
          <w:sz w:val="16"/>
          <w:szCs w:val="16"/>
        </w:rPr>
        <w:t xml:space="preserve"> Среднесрочный прогноз Банка России по итогам заседания Совета директоров по ключевой ставке (опубликовано 23 Июля 2021) // https://www.cbr.ru/Collection/Collection/File/35488/forecast_210723.pdf</w:t>
      </w:r>
    </w:p>
  </w:footnote>
  <w:footnote w:id="37">
    <w:p w14:paraId="792A31E6" w14:textId="77777777" w:rsidR="00EA2AC6" w:rsidRDefault="00EA2AC6" w:rsidP="00E3709D">
      <w:pPr>
        <w:pStyle w:val="a8"/>
        <w:ind w:firstLine="567"/>
      </w:pPr>
      <w:r>
        <w:rPr>
          <w:rStyle w:val="aa"/>
        </w:rPr>
        <w:footnoteRef/>
      </w:r>
      <w:r>
        <w:t xml:space="preserve"> </w:t>
      </w:r>
      <w:proofErr w:type="gramStart"/>
      <w:r>
        <w:t xml:space="preserve">В указанном приложении помимо статей </w:t>
      </w:r>
      <w:r w:rsidRPr="009F7B7E">
        <w:rPr>
          <w:rFonts w:eastAsia="MS Mincho"/>
          <w:lang w:eastAsia="ja-JP"/>
        </w:rPr>
        <w:t>«</w:t>
      </w:r>
      <w:r w:rsidRPr="009F7B7E">
        <w:t>Разница между средствами, поступившими от размещения государственных ценных бумаг, и средствами, направленными на их погашение» и «Изменение остатков средств на счетах по учету средств федерального бюджета в течение соответствующего финансового года» имеется статья «Иные источники финансирования дефицита федерального бюджета» (без детализации).</w:t>
      </w:r>
      <w:proofErr w:type="gramEnd"/>
    </w:p>
  </w:footnote>
  <w:footnote w:id="38">
    <w:p w14:paraId="09F1355A" w14:textId="77777777" w:rsidR="00E3709D" w:rsidRDefault="00E3709D" w:rsidP="00E3709D">
      <w:pPr>
        <w:pStyle w:val="a8"/>
        <w:ind w:firstLine="567"/>
      </w:pPr>
      <w:r>
        <w:rPr>
          <w:rStyle w:val="aa"/>
        </w:rPr>
        <w:footnoteRef/>
      </w:r>
      <w:r>
        <w:t xml:space="preserve"> </w:t>
      </w:r>
      <w:proofErr w:type="gramStart"/>
      <w:r>
        <w:rPr>
          <w:iCs/>
          <w:szCs w:val="24"/>
        </w:rPr>
        <w:t xml:space="preserve">До реализации </w:t>
      </w:r>
      <w:r>
        <w:rPr>
          <w:spacing w:val="4"/>
          <w:szCs w:val="24"/>
          <w:lang w:eastAsia="en-US"/>
        </w:rPr>
        <w:t xml:space="preserve">сделки по переходу </w:t>
      </w:r>
      <w:r>
        <w:rPr>
          <w:color w:val="22272F"/>
          <w:szCs w:val="28"/>
          <w:shd w:val="clear" w:color="auto" w:fill="FFFFFF"/>
        </w:rPr>
        <w:t>о</w:t>
      </w:r>
      <w:r w:rsidRPr="004C6290">
        <w:rPr>
          <w:color w:val="22272F"/>
          <w:szCs w:val="28"/>
          <w:shd w:val="clear" w:color="auto" w:fill="FFFFFF"/>
        </w:rPr>
        <w:t>быкновенны</w:t>
      </w:r>
      <w:r>
        <w:rPr>
          <w:color w:val="22272F"/>
          <w:szCs w:val="28"/>
          <w:shd w:val="clear" w:color="auto" w:fill="FFFFFF"/>
        </w:rPr>
        <w:t>х</w:t>
      </w:r>
      <w:r w:rsidRPr="004C6290">
        <w:rPr>
          <w:color w:val="22272F"/>
          <w:szCs w:val="28"/>
          <w:shd w:val="clear" w:color="auto" w:fill="FFFFFF"/>
        </w:rPr>
        <w:t xml:space="preserve"> </w:t>
      </w:r>
      <w:r>
        <w:rPr>
          <w:szCs w:val="28"/>
          <w:lang w:eastAsia="en-US"/>
        </w:rPr>
        <w:t>акций Сбербанка</w:t>
      </w:r>
      <w:r w:rsidRPr="00B75B00">
        <w:rPr>
          <w:szCs w:val="28"/>
          <w:lang w:eastAsia="en-US"/>
        </w:rPr>
        <w:t xml:space="preserve"> </w:t>
      </w:r>
      <w:r>
        <w:rPr>
          <w:szCs w:val="24"/>
        </w:rPr>
        <w:t xml:space="preserve">на основании </w:t>
      </w:r>
      <w:r>
        <w:rPr>
          <w:color w:val="22272F"/>
          <w:szCs w:val="28"/>
          <w:shd w:val="clear" w:color="auto" w:fill="FFFFFF"/>
        </w:rPr>
        <w:t>ф</w:t>
      </w:r>
      <w:r w:rsidRPr="004C6290">
        <w:rPr>
          <w:color w:val="22272F"/>
          <w:szCs w:val="28"/>
          <w:shd w:val="clear" w:color="auto" w:fill="FFFFFF"/>
        </w:rPr>
        <w:t>едерального закона от 18.03.2020 № 50-ФЗ</w:t>
      </w:r>
      <w:r>
        <w:rPr>
          <w:szCs w:val="24"/>
        </w:rPr>
        <w:t xml:space="preserve"> от </w:t>
      </w:r>
      <w:r>
        <w:rPr>
          <w:color w:val="22272F"/>
          <w:szCs w:val="28"/>
          <w:shd w:val="clear" w:color="auto" w:fill="FFFFFF"/>
        </w:rPr>
        <w:t>Банка</w:t>
      </w:r>
      <w:r w:rsidRPr="004C6290">
        <w:rPr>
          <w:color w:val="22272F"/>
          <w:szCs w:val="28"/>
          <w:shd w:val="clear" w:color="auto" w:fill="FFFFFF"/>
        </w:rPr>
        <w:t xml:space="preserve"> России</w:t>
      </w:r>
      <w:r>
        <w:rPr>
          <w:color w:val="22272F"/>
          <w:szCs w:val="28"/>
          <w:shd w:val="clear" w:color="auto" w:fill="FFFFFF"/>
        </w:rPr>
        <w:t xml:space="preserve"> к </w:t>
      </w:r>
      <w:r w:rsidRPr="004C6290">
        <w:rPr>
          <w:color w:val="22272F"/>
          <w:szCs w:val="28"/>
          <w:shd w:val="clear" w:color="auto" w:fill="FFFFFF"/>
        </w:rPr>
        <w:t>Мини</w:t>
      </w:r>
      <w:r>
        <w:rPr>
          <w:color w:val="22272F"/>
          <w:szCs w:val="28"/>
          <w:shd w:val="clear" w:color="auto" w:fill="FFFFFF"/>
        </w:rPr>
        <w:t>стерству финансов РФ</w:t>
      </w:r>
      <w:r w:rsidRPr="00C036E0">
        <w:rPr>
          <w:color w:val="22272F"/>
          <w:szCs w:val="28"/>
          <w:shd w:val="clear" w:color="auto" w:fill="FFFFFF"/>
        </w:rPr>
        <w:t>,</w:t>
      </w:r>
      <w:r>
        <w:rPr>
          <w:color w:val="22272F"/>
          <w:szCs w:val="28"/>
          <w:shd w:val="clear" w:color="auto" w:fill="FFFFFF"/>
        </w:rPr>
        <w:t xml:space="preserve"> </w:t>
      </w:r>
      <w:r>
        <w:rPr>
          <w:szCs w:val="24"/>
        </w:rPr>
        <w:t>доходы от участия в капитале ПАО «Сбербанк России» учитывались в</w:t>
      </w:r>
      <w:r>
        <w:rPr>
          <w:szCs w:val="28"/>
        </w:rPr>
        <w:t xml:space="preserve"> прочих неналоговых доходах бюджета и </w:t>
      </w:r>
      <w:r>
        <w:rPr>
          <w:szCs w:val="24"/>
        </w:rPr>
        <w:t>на основании специальных законов</w:t>
      </w:r>
      <w:r w:rsidRPr="00047179">
        <w:rPr>
          <w:szCs w:val="24"/>
        </w:rPr>
        <w:t xml:space="preserve"> подлежали перечислению с уменьшением на эту сумму части совокупной прибыли </w:t>
      </w:r>
      <w:r w:rsidRPr="00DF396D">
        <w:rPr>
          <w:szCs w:val="28"/>
        </w:rPr>
        <w:t>Ц</w:t>
      </w:r>
      <w:r>
        <w:rPr>
          <w:szCs w:val="28"/>
        </w:rPr>
        <w:t>Б РФ</w:t>
      </w:r>
      <w:r w:rsidRPr="00047179">
        <w:rPr>
          <w:szCs w:val="24"/>
        </w:rPr>
        <w:t>, направляемой в федеральный бюджет.</w:t>
      </w:r>
      <w:proofErr w:type="gramEnd"/>
    </w:p>
  </w:footnote>
  <w:footnote w:id="39">
    <w:p w14:paraId="059864D0" w14:textId="77777777" w:rsidR="00E3709D" w:rsidRPr="00FC66B0" w:rsidRDefault="00E3709D" w:rsidP="00E3709D">
      <w:pPr>
        <w:pStyle w:val="a8"/>
        <w:ind w:firstLine="567"/>
      </w:pPr>
      <w:r>
        <w:rPr>
          <w:rStyle w:val="aa"/>
        </w:rPr>
        <w:footnoteRef/>
      </w:r>
      <w:r>
        <w:t xml:space="preserve"> П</w:t>
      </w:r>
      <w:r>
        <w:rPr>
          <w:lang w:eastAsia="en-US"/>
        </w:rPr>
        <w:t>рогноз на 2023 г</w:t>
      </w:r>
      <w:r w:rsidRPr="00FC66B0">
        <w:rPr>
          <w:lang w:eastAsia="en-US"/>
        </w:rPr>
        <w:t xml:space="preserve">. </w:t>
      </w:r>
      <w:r w:rsidRPr="009F7B7E">
        <w:rPr>
          <w:szCs w:val="28"/>
          <w:lang w:eastAsia="en-US"/>
        </w:rPr>
        <w:t>–</w:t>
      </w:r>
      <w:r>
        <w:rPr>
          <w:szCs w:val="28"/>
          <w:lang w:eastAsia="en-US"/>
        </w:rPr>
        <w:t xml:space="preserve"> 441</w:t>
      </w:r>
      <w:r w:rsidRPr="00FC66B0">
        <w:rPr>
          <w:szCs w:val="28"/>
          <w:lang w:eastAsia="en-US"/>
        </w:rPr>
        <w:t>,</w:t>
      </w:r>
      <w:r w:rsidRPr="00D73224">
        <w:rPr>
          <w:szCs w:val="28"/>
          <w:lang w:eastAsia="en-US"/>
        </w:rPr>
        <w:t>0</w:t>
      </w:r>
      <w:r w:rsidRPr="00FC66B0">
        <w:rPr>
          <w:szCs w:val="28"/>
          <w:lang w:eastAsia="en-US"/>
        </w:rPr>
        <w:t xml:space="preserve"> </w:t>
      </w:r>
      <w:proofErr w:type="gramStart"/>
      <w:r w:rsidRPr="00883E7C">
        <w:rPr>
          <w:lang w:eastAsia="en-US"/>
        </w:rPr>
        <w:t>млрд</w:t>
      </w:r>
      <w:proofErr w:type="gramEnd"/>
      <w:r w:rsidRPr="00883E7C">
        <w:rPr>
          <w:lang w:eastAsia="en-US"/>
        </w:rPr>
        <w:t xml:space="preserve"> руб.</w:t>
      </w:r>
      <w:r w:rsidRPr="00FC66B0">
        <w:rPr>
          <w:lang w:eastAsia="en-US"/>
        </w:rPr>
        <w:t xml:space="preserve">, </w:t>
      </w:r>
      <w:r>
        <w:rPr>
          <w:lang w:eastAsia="en-US"/>
        </w:rPr>
        <w:t>на 2024 г</w:t>
      </w:r>
      <w:r w:rsidRPr="00FC66B0">
        <w:rPr>
          <w:lang w:eastAsia="en-US"/>
        </w:rPr>
        <w:t xml:space="preserve">. </w:t>
      </w:r>
      <w:r w:rsidRPr="009F7B7E">
        <w:rPr>
          <w:szCs w:val="28"/>
          <w:lang w:eastAsia="en-US"/>
        </w:rPr>
        <w:t>–</w:t>
      </w:r>
      <w:r>
        <w:rPr>
          <w:szCs w:val="28"/>
          <w:lang w:eastAsia="en-US"/>
        </w:rPr>
        <w:t xml:space="preserve"> 632</w:t>
      </w:r>
      <w:r w:rsidRPr="00FC66B0">
        <w:rPr>
          <w:szCs w:val="28"/>
          <w:lang w:eastAsia="en-US"/>
        </w:rPr>
        <w:t>,</w:t>
      </w:r>
      <w:r>
        <w:rPr>
          <w:szCs w:val="28"/>
          <w:lang w:eastAsia="en-US"/>
        </w:rPr>
        <w:t>7</w:t>
      </w:r>
      <w:r w:rsidRPr="00FC66B0">
        <w:rPr>
          <w:szCs w:val="28"/>
          <w:lang w:eastAsia="en-US"/>
        </w:rPr>
        <w:t xml:space="preserve"> </w:t>
      </w:r>
      <w:r w:rsidRPr="00883E7C">
        <w:rPr>
          <w:lang w:eastAsia="en-US"/>
        </w:rPr>
        <w:t>млрд руб.</w:t>
      </w:r>
      <w:r w:rsidRPr="00FC66B0">
        <w:rPr>
          <w:lang w:eastAsia="en-US"/>
        </w:rPr>
        <w:t xml:space="preserve">, </w:t>
      </w:r>
      <w:r>
        <w:rPr>
          <w:lang w:eastAsia="en-US"/>
        </w:rPr>
        <w:t>на 2025 г</w:t>
      </w:r>
      <w:r w:rsidRPr="00FC66B0">
        <w:rPr>
          <w:lang w:eastAsia="en-US"/>
        </w:rPr>
        <w:t xml:space="preserve">. </w:t>
      </w:r>
      <w:r w:rsidRPr="009F7B7E">
        <w:rPr>
          <w:szCs w:val="28"/>
          <w:lang w:eastAsia="en-US"/>
        </w:rPr>
        <w:t>–</w:t>
      </w:r>
      <w:r>
        <w:rPr>
          <w:szCs w:val="28"/>
          <w:lang w:eastAsia="en-US"/>
        </w:rPr>
        <w:t xml:space="preserve"> </w:t>
      </w:r>
      <w:r w:rsidRPr="00D73224">
        <w:rPr>
          <w:szCs w:val="28"/>
          <w:lang w:eastAsia="en-US"/>
        </w:rPr>
        <w:t>5</w:t>
      </w:r>
      <w:r>
        <w:rPr>
          <w:szCs w:val="28"/>
          <w:lang w:eastAsia="en-US"/>
        </w:rPr>
        <w:t>98</w:t>
      </w:r>
      <w:r w:rsidRPr="00FC66B0">
        <w:rPr>
          <w:szCs w:val="28"/>
          <w:lang w:eastAsia="en-US"/>
        </w:rPr>
        <w:t>,</w:t>
      </w:r>
      <w:r>
        <w:rPr>
          <w:szCs w:val="28"/>
          <w:lang w:eastAsia="en-US"/>
        </w:rPr>
        <w:t>6</w:t>
      </w:r>
      <w:r w:rsidRPr="00FC66B0">
        <w:rPr>
          <w:szCs w:val="28"/>
          <w:lang w:eastAsia="en-US"/>
        </w:rPr>
        <w:t xml:space="preserve"> </w:t>
      </w:r>
      <w:r w:rsidRPr="00883E7C">
        <w:rPr>
          <w:lang w:eastAsia="en-US"/>
        </w:rPr>
        <w:t>млрд руб.</w:t>
      </w:r>
    </w:p>
    <w:p w14:paraId="42602BFF" w14:textId="77777777" w:rsidR="00E3709D" w:rsidRPr="00FC66B0" w:rsidRDefault="00E3709D" w:rsidP="00E3709D">
      <w:pPr>
        <w:pStyle w:val="a8"/>
      </w:pPr>
    </w:p>
  </w:footnote>
  <w:footnote w:id="40">
    <w:p w14:paraId="7DE9E1D5" w14:textId="77777777" w:rsidR="00EB3E75" w:rsidRDefault="00EB3E75" w:rsidP="00EB3E75">
      <w:pPr>
        <w:pStyle w:val="a8"/>
        <w:ind w:firstLine="708"/>
      </w:pPr>
      <w:r w:rsidRPr="000F72B5">
        <w:rPr>
          <w:rStyle w:val="afffd"/>
          <w:vertAlign w:val="superscript"/>
        </w:rPr>
        <w:footnoteRef/>
      </w:r>
      <w:r w:rsidRPr="000F72B5">
        <w:rPr>
          <w:vertAlign w:val="superscript"/>
        </w:rPr>
        <w:t xml:space="preserve"> </w:t>
      </w:r>
      <w:r>
        <w:t>Объемы расходов, принятые при утверждении паспортов национальных проектов.</w:t>
      </w:r>
    </w:p>
  </w:footnote>
  <w:footnote w:id="41">
    <w:p w14:paraId="1089B639" w14:textId="07FD216B" w:rsidR="00EB3E75" w:rsidRPr="000F72B5" w:rsidRDefault="00EB3E75" w:rsidP="00611BEC">
      <w:pPr>
        <w:ind w:firstLine="567"/>
        <w:rPr>
          <w:sz w:val="20"/>
          <w:szCs w:val="20"/>
        </w:rPr>
      </w:pPr>
      <w:r w:rsidRPr="000F72B5">
        <w:rPr>
          <w:rStyle w:val="afffd"/>
          <w:sz w:val="20"/>
          <w:szCs w:val="20"/>
          <w:vertAlign w:val="superscript"/>
        </w:rPr>
        <w:footnoteRef/>
      </w:r>
      <w:r w:rsidRPr="000F72B5">
        <w:rPr>
          <w:sz w:val="20"/>
          <w:szCs w:val="20"/>
        </w:rPr>
        <w:t xml:space="preserve"> Утвержденному распоряжением Правительства </w:t>
      </w:r>
      <w:r w:rsidR="00611BEC">
        <w:rPr>
          <w:sz w:val="20"/>
          <w:szCs w:val="20"/>
        </w:rPr>
        <w:t>РФ</w:t>
      </w:r>
      <w:r w:rsidRPr="000F72B5">
        <w:rPr>
          <w:sz w:val="20"/>
          <w:szCs w:val="20"/>
        </w:rPr>
        <w:t xml:space="preserve"> от 6 октября 2021 г. N 2816-р</w:t>
      </w:r>
      <w:r>
        <w:rPr>
          <w:sz w:val="20"/>
          <w:szCs w:val="20"/>
        </w:rPr>
        <w:t>.</w:t>
      </w:r>
    </w:p>
  </w:footnote>
  <w:footnote w:id="42">
    <w:p w14:paraId="78C60356" w14:textId="77777777" w:rsidR="00C34E1E" w:rsidRPr="00C34E1E" w:rsidRDefault="00C34E1E" w:rsidP="00C34E1E">
      <w:pPr>
        <w:pStyle w:val="a8"/>
        <w:ind w:firstLine="709"/>
        <w:rPr>
          <w:lang w:val="en-US"/>
        </w:rPr>
      </w:pPr>
      <w:r w:rsidRPr="00C34E1E">
        <w:rPr>
          <w:rStyle w:val="aa"/>
        </w:rPr>
        <w:footnoteRef/>
      </w:r>
      <w:r w:rsidRPr="00C34E1E">
        <w:rPr>
          <w:lang w:val="en-US"/>
        </w:rPr>
        <w:t xml:space="preserve"> </w:t>
      </w:r>
      <w:r w:rsidRPr="00C34E1E">
        <w:t>Отчет</w:t>
      </w:r>
      <w:r w:rsidRPr="00C34E1E">
        <w:rPr>
          <w:lang w:val="en-US"/>
        </w:rPr>
        <w:t xml:space="preserve"> McKinsey «The state of AI in 2021» URL: https://www.mckinsey.com/capabilities/quantumblack/our-insights/global-survey-the-state-of-ai-in-2021.</w:t>
      </w:r>
    </w:p>
  </w:footnote>
  <w:footnote w:id="43">
    <w:p w14:paraId="5F7AFFB0" w14:textId="77777777" w:rsidR="00C34E1E" w:rsidRPr="00C34E1E" w:rsidRDefault="00C34E1E" w:rsidP="00C34E1E">
      <w:pPr>
        <w:pStyle w:val="a8"/>
        <w:ind w:firstLine="709"/>
        <w:rPr>
          <w:lang w:val="en-US"/>
        </w:rPr>
      </w:pPr>
      <w:r w:rsidRPr="00C34E1E">
        <w:rPr>
          <w:rStyle w:val="aa"/>
        </w:rPr>
        <w:footnoteRef/>
      </w:r>
      <w:r w:rsidRPr="00C34E1E">
        <w:t xml:space="preserve"> Путин назвал развитие инфраструктуры одним из драйверов экономики. </w:t>
      </w:r>
      <w:r w:rsidRPr="00C34E1E">
        <w:rPr>
          <w:lang w:val="en-US"/>
        </w:rPr>
        <w:t>URL: https://ria.ru/20220524/infrastruktura-1790366381.html.</w:t>
      </w:r>
    </w:p>
  </w:footnote>
  <w:footnote w:id="44">
    <w:p w14:paraId="0CAFF01D" w14:textId="77777777" w:rsidR="00C34E1E" w:rsidRPr="00C34E1E" w:rsidRDefault="00C34E1E" w:rsidP="00C34E1E">
      <w:pPr>
        <w:pStyle w:val="a8"/>
        <w:ind w:firstLine="709"/>
      </w:pPr>
      <w:r w:rsidRPr="00C34E1E">
        <w:rPr>
          <w:rStyle w:val="aa"/>
        </w:rPr>
        <w:footnoteRef/>
      </w:r>
      <w:r w:rsidRPr="00C34E1E">
        <w:rPr>
          <w:lang w:val="en-US"/>
        </w:rPr>
        <w:t xml:space="preserve"> </w:t>
      </w:r>
      <w:r w:rsidRPr="00C34E1E">
        <w:t>Например</w:t>
      </w:r>
      <w:r w:rsidRPr="00C34E1E">
        <w:rPr>
          <w:lang w:val="en-US"/>
        </w:rPr>
        <w:t xml:space="preserve">, </w:t>
      </w:r>
      <w:r w:rsidRPr="00C34E1E">
        <w:t>обзорный</w:t>
      </w:r>
      <w:r w:rsidRPr="00C34E1E">
        <w:rPr>
          <w:lang w:val="en-US"/>
        </w:rPr>
        <w:t xml:space="preserve"> </w:t>
      </w:r>
      <w:r w:rsidRPr="00C34E1E">
        <w:t>доклад</w:t>
      </w:r>
      <w:r w:rsidRPr="00C34E1E">
        <w:rPr>
          <w:lang w:val="en-US"/>
        </w:rPr>
        <w:t xml:space="preserve"> </w:t>
      </w:r>
      <w:r w:rsidRPr="00C34E1E">
        <w:t>Всемирного</w:t>
      </w:r>
      <w:r w:rsidRPr="00C34E1E">
        <w:rPr>
          <w:lang w:val="en-US"/>
        </w:rPr>
        <w:t xml:space="preserve"> </w:t>
      </w:r>
      <w:r w:rsidRPr="00C34E1E">
        <w:t>банка</w:t>
      </w:r>
      <w:r w:rsidRPr="00C34E1E">
        <w:rPr>
          <w:lang w:val="en-US"/>
        </w:rPr>
        <w:t xml:space="preserve">, </w:t>
      </w:r>
      <w:r w:rsidRPr="00C34E1E">
        <w:t>вышедший</w:t>
      </w:r>
      <w:r w:rsidRPr="00C34E1E">
        <w:rPr>
          <w:lang w:val="en-US"/>
        </w:rPr>
        <w:t xml:space="preserve"> </w:t>
      </w:r>
      <w:r w:rsidRPr="00C34E1E">
        <w:t>в</w:t>
      </w:r>
      <w:r w:rsidRPr="00C34E1E">
        <w:rPr>
          <w:lang w:val="en-US"/>
        </w:rPr>
        <w:t xml:space="preserve"> 2021 </w:t>
      </w:r>
      <w:r w:rsidRPr="00C34E1E">
        <w:t>году</w:t>
      </w:r>
      <w:r w:rsidRPr="00C34E1E">
        <w:rPr>
          <w:lang w:val="en-US"/>
        </w:rPr>
        <w:t xml:space="preserve">: What Have We Learned about the Effectiveness of Infrastructure Investment as a Fiscal Stimulus? </w:t>
      </w:r>
      <w:r w:rsidRPr="00C34E1E">
        <w:t xml:space="preserve">A </w:t>
      </w:r>
      <w:proofErr w:type="spellStart"/>
      <w:r w:rsidRPr="00C34E1E">
        <w:t>Literature</w:t>
      </w:r>
      <w:proofErr w:type="spellEnd"/>
      <w:r w:rsidRPr="00C34E1E">
        <w:t xml:space="preserve"> </w:t>
      </w:r>
      <w:proofErr w:type="spellStart"/>
      <w:r w:rsidRPr="00C34E1E">
        <w:t>Review</w:t>
      </w:r>
      <w:proofErr w:type="spellEnd"/>
      <w:r w:rsidRPr="00C34E1E">
        <w:t xml:space="preserve">, 2021. </w:t>
      </w:r>
      <w:r w:rsidRPr="00C34E1E">
        <w:rPr>
          <w:lang w:val="en-US"/>
        </w:rPr>
        <w:t>URL</w:t>
      </w:r>
      <w:r w:rsidRPr="00C34E1E">
        <w:t>: https://openknowledge.worldbank.org/handle/10986/36347</w:t>
      </w:r>
    </w:p>
  </w:footnote>
  <w:footnote w:id="45">
    <w:p w14:paraId="549B2E99" w14:textId="77777777" w:rsidR="00C34E1E" w:rsidRPr="00C34E1E" w:rsidRDefault="00C34E1E" w:rsidP="00C34E1E">
      <w:pPr>
        <w:pStyle w:val="a8"/>
        <w:ind w:firstLine="709"/>
      </w:pPr>
      <w:r w:rsidRPr="00C34E1E">
        <w:rPr>
          <w:rStyle w:val="aa"/>
        </w:rPr>
        <w:footnoteRef/>
      </w:r>
      <w:r w:rsidRPr="00C34E1E">
        <w:t xml:space="preserve"> Россия, Азербайджан и Иран подписали совместную трёхстороннюю декларацию о развитии транспортного коридора «Север – Юг», </w:t>
      </w:r>
      <w:r w:rsidRPr="00C34E1E">
        <w:rPr>
          <w:lang w:val="en-US"/>
        </w:rPr>
        <w:t>URL</w:t>
      </w:r>
      <w:r w:rsidRPr="00C34E1E">
        <w:t>: http://government.ru/news/46488/.</w:t>
      </w:r>
    </w:p>
  </w:footnote>
  <w:footnote w:id="46">
    <w:p w14:paraId="605787E9" w14:textId="77777777" w:rsidR="00C34E1E" w:rsidRPr="00C34E1E" w:rsidRDefault="00C34E1E" w:rsidP="00C34E1E">
      <w:pPr>
        <w:pStyle w:val="a8"/>
        <w:ind w:firstLine="709"/>
      </w:pPr>
      <w:r w:rsidRPr="00C34E1E">
        <w:rPr>
          <w:rStyle w:val="aa"/>
        </w:rPr>
        <w:footnoteRef/>
      </w:r>
      <w:r w:rsidRPr="00C34E1E">
        <w:t xml:space="preserve"> </w:t>
      </w:r>
      <w:proofErr w:type="spellStart"/>
      <w:r w:rsidRPr="00C34E1E">
        <w:t>Мишустин</w:t>
      </w:r>
      <w:proofErr w:type="spellEnd"/>
      <w:r w:rsidRPr="00C34E1E">
        <w:t xml:space="preserve"> поручил подготовить детальный план по расширению Восточного полигона, </w:t>
      </w:r>
      <w:r w:rsidRPr="00C34E1E">
        <w:rPr>
          <w:lang w:val="en-US"/>
        </w:rPr>
        <w:t>URL</w:t>
      </w:r>
      <w:r w:rsidRPr="00C34E1E">
        <w:t>: https://tass.ru/ekonomika/10906793.</w:t>
      </w:r>
    </w:p>
  </w:footnote>
  <w:footnote w:id="47">
    <w:p w14:paraId="1905D7CE" w14:textId="77777777" w:rsidR="00C34E1E" w:rsidRPr="00C34E1E" w:rsidRDefault="00C34E1E" w:rsidP="00C34E1E">
      <w:pPr>
        <w:pStyle w:val="a8"/>
        <w:ind w:firstLine="709"/>
      </w:pPr>
      <w:r w:rsidRPr="00C34E1E">
        <w:rPr>
          <w:rStyle w:val="aa"/>
        </w:rPr>
        <w:footnoteRef/>
      </w:r>
      <w:r w:rsidRPr="00C34E1E">
        <w:t xml:space="preserve"> </w:t>
      </w:r>
      <w:r w:rsidRPr="00C34E1E">
        <w:rPr>
          <w:rFonts w:ascii="Tahoma" w:hAnsi="Tahoma" w:cs="Tahoma"/>
        </w:rPr>
        <w:t>﻿</w:t>
      </w:r>
      <w:r w:rsidRPr="00C34E1E">
        <w:t xml:space="preserve">Дефицит вывоза грузов по Восточному полигону может вырасти, </w:t>
      </w:r>
      <w:r w:rsidRPr="00C34E1E">
        <w:rPr>
          <w:lang w:val="en-US"/>
        </w:rPr>
        <w:t>URL</w:t>
      </w:r>
      <w:r w:rsidRPr="00C34E1E">
        <w:t>: https://ria.ru/20220831/defitsit-1813309760.html.</w:t>
      </w:r>
    </w:p>
  </w:footnote>
  <w:footnote w:id="48">
    <w:p w14:paraId="1034AB5E" w14:textId="77777777" w:rsidR="00C34E1E" w:rsidRPr="00CA510D" w:rsidRDefault="00C34E1E" w:rsidP="00C34E1E">
      <w:pPr>
        <w:pStyle w:val="a8"/>
        <w:ind w:firstLine="709"/>
        <w:rPr>
          <w:sz w:val="16"/>
          <w:szCs w:val="16"/>
        </w:rPr>
      </w:pPr>
      <w:r w:rsidRPr="00C34E1E">
        <w:rPr>
          <w:rStyle w:val="aa"/>
        </w:rPr>
        <w:footnoteRef/>
      </w:r>
      <w:r w:rsidRPr="00C34E1E">
        <w:rPr>
          <w:lang w:val="en-US"/>
        </w:rPr>
        <w:t xml:space="preserve"> Dobbs R., Pohl H., Lin D.-Y., </w:t>
      </w:r>
      <w:proofErr w:type="spellStart"/>
      <w:r w:rsidRPr="00C34E1E">
        <w:rPr>
          <w:lang w:val="en-US"/>
        </w:rPr>
        <w:t>Mischke</w:t>
      </w:r>
      <w:proofErr w:type="spellEnd"/>
      <w:r w:rsidRPr="00C34E1E">
        <w:rPr>
          <w:lang w:val="en-US"/>
        </w:rPr>
        <w:t xml:space="preserve"> J., </w:t>
      </w:r>
      <w:proofErr w:type="spellStart"/>
      <w:r w:rsidRPr="00C34E1E">
        <w:rPr>
          <w:lang w:val="en-US"/>
        </w:rPr>
        <w:t>Garemo</w:t>
      </w:r>
      <w:proofErr w:type="spellEnd"/>
      <w:r w:rsidRPr="00C34E1E">
        <w:rPr>
          <w:lang w:val="en-US"/>
        </w:rPr>
        <w:t xml:space="preserve"> N., </w:t>
      </w:r>
      <w:proofErr w:type="spellStart"/>
      <w:r w:rsidRPr="00C34E1E">
        <w:rPr>
          <w:lang w:val="en-US"/>
        </w:rPr>
        <w:t>Hexter</w:t>
      </w:r>
      <w:proofErr w:type="spellEnd"/>
      <w:r w:rsidRPr="00C34E1E">
        <w:rPr>
          <w:lang w:val="en-US"/>
        </w:rPr>
        <w:t xml:space="preserve"> J., </w:t>
      </w:r>
      <w:proofErr w:type="spellStart"/>
      <w:r w:rsidRPr="00C34E1E">
        <w:rPr>
          <w:lang w:val="en-US"/>
        </w:rPr>
        <w:t>Matzinger</w:t>
      </w:r>
      <w:proofErr w:type="spellEnd"/>
      <w:r w:rsidRPr="00C34E1E">
        <w:rPr>
          <w:lang w:val="en-US"/>
        </w:rPr>
        <w:t xml:space="preserve"> S., </w:t>
      </w:r>
      <w:proofErr w:type="spellStart"/>
      <w:r w:rsidRPr="00C34E1E">
        <w:rPr>
          <w:lang w:val="en-US"/>
        </w:rPr>
        <w:t>PalterR</w:t>
      </w:r>
      <w:proofErr w:type="spellEnd"/>
      <w:r w:rsidRPr="00C34E1E">
        <w:rPr>
          <w:lang w:val="en-US"/>
        </w:rPr>
        <w:t xml:space="preserve">., </w:t>
      </w:r>
      <w:proofErr w:type="spellStart"/>
      <w:r w:rsidRPr="00C34E1E">
        <w:rPr>
          <w:lang w:val="en-US"/>
        </w:rPr>
        <w:t>Nanavatty</w:t>
      </w:r>
      <w:proofErr w:type="spellEnd"/>
      <w:r w:rsidRPr="00C34E1E">
        <w:rPr>
          <w:lang w:val="en-US"/>
        </w:rPr>
        <w:t xml:space="preserve"> R. (2013). Infrastructure productivity: How to save $1 trillion a year. </w:t>
      </w:r>
      <w:proofErr w:type="gramStart"/>
      <w:r w:rsidRPr="00C34E1E">
        <w:rPr>
          <w:lang w:val="en-US"/>
        </w:rPr>
        <w:t>McKinsey Global Institute.</w:t>
      </w:r>
      <w:proofErr w:type="gramEnd"/>
      <w:r w:rsidRPr="00C34E1E">
        <w:rPr>
          <w:lang w:val="en-US"/>
        </w:rPr>
        <w:t xml:space="preserve"> </w:t>
      </w:r>
      <w:proofErr w:type="gramStart"/>
      <w:r w:rsidRPr="00C34E1E">
        <w:rPr>
          <w:lang w:val="en-US"/>
        </w:rPr>
        <w:t>January</w:t>
      </w:r>
      <w:r w:rsidRPr="00C34E1E">
        <w:t>.</w:t>
      </w:r>
      <w:proofErr w:type="gramEnd"/>
    </w:p>
  </w:footnote>
  <w:footnote w:id="49">
    <w:p w14:paraId="4F9EEB19" w14:textId="77777777" w:rsidR="00C34E1E" w:rsidRPr="000B02DC" w:rsidRDefault="00C34E1E" w:rsidP="000B02DC">
      <w:pPr>
        <w:pStyle w:val="a8"/>
        <w:ind w:firstLine="851"/>
      </w:pPr>
      <w:r w:rsidRPr="000B02DC">
        <w:rPr>
          <w:rStyle w:val="aa"/>
        </w:rPr>
        <w:footnoteRef/>
      </w:r>
      <w:r w:rsidRPr="000B02DC">
        <w:t xml:space="preserve"> Указ Президента РФ от 2 июля 2021 г. N 400 "О Стратегии национальной безопасности Российской Федерации".</w:t>
      </w:r>
    </w:p>
  </w:footnote>
  <w:footnote w:id="50">
    <w:p w14:paraId="1EADEF88" w14:textId="77777777" w:rsidR="00C34E1E" w:rsidRPr="000B02DC" w:rsidRDefault="00C34E1E" w:rsidP="000B02DC">
      <w:pPr>
        <w:pStyle w:val="a8"/>
        <w:ind w:firstLine="851"/>
        <w:rPr>
          <w:lang w:val="en-US"/>
        </w:rPr>
      </w:pPr>
      <w:r w:rsidRPr="000B02DC">
        <w:rPr>
          <w:rStyle w:val="aa"/>
        </w:rPr>
        <w:footnoteRef/>
      </w:r>
      <w:r w:rsidRPr="000B02DC">
        <w:rPr>
          <w:lang w:val="en-US"/>
        </w:rPr>
        <w:t xml:space="preserve"> </w:t>
      </w:r>
      <w:r w:rsidRPr="000B02DC">
        <w:t>Отчет</w:t>
      </w:r>
      <w:r w:rsidRPr="000B02DC">
        <w:rPr>
          <w:lang w:val="en-US"/>
        </w:rPr>
        <w:t xml:space="preserve"> McKinsey «The state of AI in 2021» URL: https://www.mckinsey.com/capabilities/quantumblack/our-insights/global-survey-the-state-of-ai-in-2021.</w:t>
      </w:r>
    </w:p>
  </w:footnote>
  <w:footnote w:id="51">
    <w:p w14:paraId="11CAF8E5" w14:textId="77777777" w:rsidR="00C34E1E" w:rsidRPr="000B02DC" w:rsidRDefault="00C34E1E" w:rsidP="000B02DC">
      <w:pPr>
        <w:pStyle w:val="a8"/>
        <w:ind w:firstLine="851"/>
        <w:rPr>
          <w:lang w:val="en-US"/>
        </w:rPr>
      </w:pPr>
      <w:r w:rsidRPr="000B02DC">
        <w:rPr>
          <w:rStyle w:val="aa"/>
        </w:rPr>
        <w:footnoteRef/>
      </w:r>
      <w:r w:rsidRPr="000B02DC">
        <w:rPr>
          <w:lang w:val="en-US"/>
        </w:rPr>
        <w:t xml:space="preserve"> </w:t>
      </w:r>
      <w:proofErr w:type="spellStart"/>
      <w:r w:rsidRPr="000B02DC">
        <w:rPr>
          <w:lang w:val="en-US"/>
        </w:rPr>
        <w:t>Исследование</w:t>
      </w:r>
      <w:proofErr w:type="spellEnd"/>
      <w:r w:rsidRPr="000B02DC">
        <w:rPr>
          <w:lang w:val="en-US"/>
        </w:rPr>
        <w:t xml:space="preserve"> Gartner Hype Cycle for Emerging Technologies, URL: https://www.gartner.com/en/articles/what-s-new-in-the-2022-gartner-hype-cycle-for-emerging-technologies</w:t>
      </w:r>
    </w:p>
  </w:footnote>
  <w:footnote w:id="52">
    <w:p w14:paraId="2C507152" w14:textId="76394AE3" w:rsidR="00CC5D86" w:rsidRDefault="00CC5D86" w:rsidP="005B11ED">
      <w:pPr>
        <w:pStyle w:val="a8"/>
        <w:ind w:firstLine="709"/>
      </w:pPr>
      <w:r>
        <w:rPr>
          <w:rStyle w:val="aa"/>
        </w:rPr>
        <w:footnoteRef/>
      </w:r>
      <w:r>
        <w:t xml:space="preserve"> Пояснительная записка с. 350</w:t>
      </w:r>
      <w:r w:rsidR="005B11ED">
        <w:t>.</w:t>
      </w:r>
    </w:p>
  </w:footnote>
  <w:footnote w:id="53">
    <w:p w14:paraId="25182205" w14:textId="77777777" w:rsidR="00CC5D86" w:rsidRDefault="00CC5D86" w:rsidP="005B11ED">
      <w:pPr>
        <w:pStyle w:val="a8"/>
        <w:ind w:firstLine="709"/>
      </w:pPr>
      <w:r>
        <w:rPr>
          <w:rStyle w:val="aa"/>
        </w:rPr>
        <w:footnoteRef/>
      </w:r>
      <w:r>
        <w:t xml:space="preserve"> Пояснительная записка с. 349.</w:t>
      </w:r>
    </w:p>
  </w:footnote>
  <w:footnote w:id="54">
    <w:p w14:paraId="29DDDB61" w14:textId="45423B2E" w:rsidR="00CC5D86" w:rsidRDefault="00CC5D86" w:rsidP="005B11ED">
      <w:pPr>
        <w:pStyle w:val="a8"/>
        <w:ind w:firstLine="709"/>
      </w:pPr>
      <w:r>
        <w:rPr>
          <w:rStyle w:val="aa"/>
        </w:rPr>
        <w:footnoteRef/>
      </w:r>
      <w:r>
        <w:t xml:space="preserve"> </w:t>
      </w:r>
      <w:r w:rsidRPr="004837D9">
        <w:t>Прогноз</w:t>
      </w:r>
      <w:r>
        <w:t>. С.88.</w:t>
      </w:r>
    </w:p>
  </w:footnote>
  <w:footnote w:id="55">
    <w:p w14:paraId="3F35EF9B" w14:textId="2D1C745C" w:rsidR="00CC5D86" w:rsidRDefault="00CC5D86" w:rsidP="005B11ED">
      <w:pPr>
        <w:pStyle w:val="a8"/>
        <w:ind w:firstLine="709"/>
      </w:pPr>
      <w:r>
        <w:rPr>
          <w:rStyle w:val="aa"/>
        </w:rPr>
        <w:footnoteRef/>
      </w:r>
      <w:r>
        <w:t xml:space="preserve"> </w:t>
      </w:r>
      <w:r w:rsidRPr="004837D9">
        <w:t>Прогноз</w:t>
      </w:r>
      <w:r>
        <w:t>. С.63.</w:t>
      </w:r>
    </w:p>
  </w:footnote>
  <w:footnote w:id="56">
    <w:p w14:paraId="1335DF35" w14:textId="5DB54C42" w:rsidR="00CC5D86" w:rsidRDefault="00CC5D86" w:rsidP="00D35876">
      <w:pPr>
        <w:pStyle w:val="a8"/>
        <w:ind w:left="142" w:firstLine="567"/>
      </w:pPr>
      <w:r>
        <w:rPr>
          <w:rStyle w:val="aa"/>
        </w:rPr>
        <w:footnoteRef/>
      </w:r>
      <w:r>
        <w:t xml:space="preserve"> </w:t>
      </w:r>
      <w:r w:rsidRPr="004837D9">
        <w:t>Прогноз</w:t>
      </w:r>
      <w:r w:rsidR="00EF562D">
        <w:t xml:space="preserve">. </w:t>
      </w:r>
      <w:r>
        <w:t>С.62</w:t>
      </w:r>
    </w:p>
  </w:footnote>
  <w:footnote w:id="57">
    <w:p w14:paraId="744E814D" w14:textId="58582ECC" w:rsidR="00FD5D90" w:rsidRDefault="00FD5D90" w:rsidP="00C1576F">
      <w:pPr>
        <w:pStyle w:val="a8"/>
        <w:ind w:firstLine="567"/>
      </w:pPr>
      <w:r>
        <w:rPr>
          <w:rStyle w:val="aa"/>
        </w:rPr>
        <w:footnoteRef/>
      </w:r>
      <w:r>
        <w:t xml:space="preserve"> </w:t>
      </w:r>
      <w:proofErr w:type="gramStart"/>
      <w:r>
        <w:rPr>
          <w:szCs w:val="28"/>
        </w:rPr>
        <w:t>Р</w:t>
      </w:r>
      <w:r w:rsidRPr="000D3D95">
        <w:rPr>
          <w:szCs w:val="28"/>
        </w:rPr>
        <w:t>азработан</w:t>
      </w:r>
      <w:proofErr w:type="gramEnd"/>
      <w:r w:rsidRPr="000D3D95">
        <w:rPr>
          <w:szCs w:val="28"/>
        </w:rPr>
        <w:t xml:space="preserve"> в соответствии с указанием Президента </w:t>
      </w:r>
      <w:r w:rsidR="00C1576F">
        <w:rPr>
          <w:szCs w:val="28"/>
        </w:rPr>
        <w:t>РФ</w:t>
      </w:r>
      <w:r>
        <w:rPr>
          <w:szCs w:val="28"/>
        </w:rPr>
        <w:t xml:space="preserve"> от 10.02.2022 №</w:t>
      </w:r>
      <w:r w:rsidRPr="000D3D95">
        <w:rPr>
          <w:szCs w:val="28"/>
        </w:rPr>
        <w:t>Пр-290</w:t>
      </w:r>
      <w:r>
        <w:rPr>
          <w:szCs w:val="28"/>
        </w:rPr>
        <w:t>.</w:t>
      </w:r>
    </w:p>
  </w:footnote>
  <w:footnote w:id="58">
    <w:p w14:paraId="7E691A9A" w14:textId="72100A77" w:rsidR="00ED366C" w:rsidRPr="008A3BCD" w:rsidRDefault="00ED366C" w:rsidP="0056025D">
      <w:pPr>
        <w:pStyle w:val="a8"/>
        <w:ind w:firstLine="709"/>
      </w:pPr>
      <w:r>
        <w:rPr>
          <w:rStyle w:val="aa"/>
        </w:rPr>
        <w:footnoteRef/>
      </w:r>
      <w:r w:rsidRPr="00CF6889">
        <w:t xml:space="preserve"> </w:t>
      </w:r>
      <w:r>
        <w:t xml:space="preserve">Показатель – </w:t>
      </w:r>
      <w:proofErr w:type="spellStart"/>
      <w:r>
        <w:t>Central</w:t>
      </w:r>
      <w:proofErr w:type="spellEnd"/>
      <w:r w:rsidRPr="00CF6889">
        <w:t xml:space="preserve"> </w:t>
      </w:r>
      <w:proofErr w:type="spellStart"/>
      <w:r>
        <w:t>government</w:t>
      </w:r>
      <w:proofErr w:type="spellEnd"/>
      <w:r>
        <w:t xml:space="preserve"> </w:t>
      </w:r>
      <w:proofErr w:type="spellStart"/>
      <w:r>
        <w:t>debt</w:t>
      </w:r>
      <w:proofErr w:type="spellEnd"/>
      <w:r>
        <w:t xml:space="preserve">, </w:t>
      </w:r>
      <w:proofErr w:type="spellStart"/>
      <w:r>
        <w:t>total</w:t>
      </w:r>
      <w:proofErr w:type="spellEnd"/>
      <w:r w:rsidRPr="00CF6889">
        <w:t xml:space="preserve"> (% </w:t>
      </w:r>
      <w:r>
        <w:t>GDP</w:t>
      </w:r>
      <w:r w:rsidRPr="00CF6889">
        <w:t>)</w:t>
      </w:r>
      <w:r>
        <w:t xml:space="preserve">, источник – Мировой банк. </w:t>
      </w:r>
      <w:r>
        <w:rPr>
          <w:lang w:val="en-US"/>
        </w:rPr>
        <w:t>URL</w:t>
      </w:r>
      <w:r w:rsidRPr="008A3BCD">
        <w:t xml:space="preserve">: </w:t>
      </w:r>
      <w:hyperlink r:id="rId1" w:history="1">
        <w:r w:rsidRPr="0056025D">
          <w:rPr>
            <w:rStyle w:val="a7"/>
            <w:lang w:val="en-US"/>
          </w:rPr>
          <w:t>https</w:t>
        </w:r>
        <w:r w:rsidRPr="008A3BCD">
          <w:rPr>
            <w:rStyle w:val="a7"/>
          </w:rPr>
          <w:t>://</w:t>
        </w:r>
        <w:r w:rsidRPr="0056025D">
          <w:rPr>
            <w:rStyle w:val="a7"/>
            <w:lang w:val="en-US"/>
          </w:rPr>
          <w:t>data</w:t>
        </w:r>
        <w:r w:rsidRPr="008A3BCD">
          <w:rPr>
            <w:rStyle w:val="a7"/>
          </w:rPr>
          <w:t>.</w:t>
        </w:r>
        <w:proofErr w:type="spellStart"/>
        <w:r w:rsidRPr="0056025D">
          <w:rPr>
            <w:rStyle w:val="a7"/>
            <w:lang w:val="en-US"/>
          </w:rPr>
          <w:t>worldbank</w:t>
        </w:r>
        <w:proofErr w:type="spellEnd"/>
        <w:r w:rsidRPr="008A3BCD">
          <w:rPr>
            <w:rStyle w:val="a7"/>
          </w:rPr>
          <w:t>.</w:t>
        </w:r>
        <w:r w:rsidRPr="0056025D">
          <w:rPr>
            <w:rStyle w:val="a7"/>
            <w:lang w:val="en-US"/>
          </w:rPr>
          <w:t>org</w:t>
        </w:r>
        <w:r w:rsidRPr="008A3BCD">
          <w:rPr>
            <w:rStyle w:val="a7"/>
          </w:rPr>
          <w:t>/</w:t>
        </w:r>
        <w:r w:rsidRPr="0056025D">
          <w:rPr>
            <w:rStyle w:val="a7"/>
            <w:lang w:val="en-US"/>
          </w:rPr>
          <w:t>indicator</w:t>
        </w:r>
        <w:r w:rsidRPr="008A3BCD">
          <w:rPr>
            <w:rStyle w:val="a7"/>
          </w:rPr>
          <w:t>/</w:t>
        </w:r>
        <w:r w:rsidRPr="0056025D">
          <w:rPr>
            <w:rStyle w:val="a7"/>
            <w:lang w:val="en-US"/>
          </w:rPr>
          <w:t>GC</w:t>
        </w:r>
        <w:r w:rsidRPr="008A3BCD">
          <w:rPr>
            <w:rStyle w:val="a7"/>
          </w:rPr>
          <w:t>.</w:t>
        </w:r>
        <w:r w:rsidRPr="0056025D">
          <w:rPr>
            <w:rStyle w:val="a7"/>
            <w:lang w:val="en-US"/>
          </w:rPr>
          <w:t>DOD</w:t>
        </w:r>
        <w:r w:rsidRPr="008A3BCD">
          <w:rPr>
            <w:rStyle w:val="a7"/>
          </w:rPr>
          <w:t>.</w:t>
        </w:r>
        <w:r w:rsidRPr="00415CF0">
          <w:rPr>
            <w:rStyle w:val="a7"/>
            <w:lang w:val="en-US"/>
          </w:rPr>
          <w:t>TOTL</w:t>
        </w:r>
        <w:r w:rsidRPr="008A3BCD">
          <w:rPr>
            <w:rStyle w:val="a7"/>
          </w:rPr>
          <w:t>.</w:t>
        </w:r>
        <w:r w:rsidRPr="0056025D">
          <w:rPr>
            <w:rStyle w:val="a7"/>
            <w:lang w:val="en-US"/>
          </w:rPr>
          <w:t>GD</w:t>
        </w:r>
        <w:r w:rsidRPr="008A3BCD">
          <w:rPr>
            <w:rStyle w:val="a7"/>
          </w:rPr>
          <w:t>.</w:t>
        </w:r>
        <w:r w:rsidRPr="0056025D">
          <w:rPr>
            <w:rStyle w:val="a7"/>
            <w:lang w:val="en-US"/>
          </w:rPr>
          <w:t>ZS</w:t>
        </w:r>
      </w:hyperlink>
      <w:r w:rsidRPr="008A3BCD">
        <w:t xml:space="preserve"> </w:t>
      </w:r>
    </w:p>
  </w:footnote>
  <w:footnote w:id="59">
    <w:p w14:paraId="212E8181" w14:textId="6C6E605A" w:rsidR="00ED366C" w:rsidRPr="008A3BCD" w:rsidRDefault="00ED366C" w:rsidP="0056025D">
      <w:pPr>
        <w:pStyle w:val="a8"/>
        <w:ind w:firstLine="709"/>
      </w:pPr>
      <w:r>
        <w:rPr>
          <w:rStyle w:val="aa"/>
        </w:rPr>
        <w:footnoteRef/>
      </w:r>
      <w:r w:rsidRPr="00CF6889">
        <w:t xml:space="preserve"> </w:t>
      </w:r>
      <w:r>
        <w:t xml:space="preserve">Показатель – </w:t>
      </w:r>
      <w:proofErr w:type="spellStart"/>
      <w:r>
        <w:t>Interest</w:t>
      </w:r>
      <w:proofErr w:type="spellEnd"/>
      <w:r w:rsidRPr="00CF6889">
        <w:t xml:space="preserve"> </w:t>
      </w:r>
      <w:proofErr w:type="spellStart"/>
      <w:r>
        <w:t>payments</w:t>
      </w:r>
      <w:proofErr w:type="spellEnd"/>
      <w:r w:rsidRPr="00CF6889">
        <w:t xml:space="preserve"> (% </w:t>
      </w:r>
      <w:proofErr w:type="spellStart"/>
      <w:r>
        <w:t>expense</w:t>
      </w:r>
      <w:proofErr w:type="spellEnd"/>
      <w:r w:rsidRPr="00CF6889">
        <w:t>)</w:t>
      </w:r>
      <w:r>
        <w:t xml:space="preserve">, источник – Мировой банк. </w:t>
      </w:r>
      <w:r>
        <w:rPr>
          <w:lang w:val="en-US"/>
        </w:rPr>
        <w:t>URL</w:t>
      </w:r>
      <w:r w:rsidRPr="008A3BCD">
        <w:t xml:space="preserve">: </w:t>
      </w:r>
      <w:hyperlink r:id="rId2" w:history="1">
        <w:r w:rsidRPr="0056025D">
          <w:rPr>
            <w:rStyle w:val="a7"/>
            <w:lang w:val="en-US"/>
          </w:rPr>
          <w:t>https</w:t>
        </w:r>
        <w:r w:rsidRPr="008A3BCD">
          <w:rPr>
            <w:rStyle w:val="a7"/>
          </w:rPr>
          <w:t>://</w:t>
        </w:r>
        <w:r w:rsidRPr="0056025D">
          <w:rPr>
            <w:rStyle w:val="a7"/>
            <w:lang w:val="en-US"/>
          </w:rPr>
          <w:t>data</w:t>
        </w:r>
        <w:r w:rsidRPr="008A3BCD">
          <w:rPr>
            <w:rStyle w:val="a7"/>
          </w:rPr>
          <w:t>.</w:t>
        </w:r>
        <w:proofErr w:type="spellStart"/>
        <w:r w:rsidRPr="0056025D">
          <w:rPr>
            <w:rStyle w:val="a7"/>
            <w:lang w:val="en-US"/>
          </w:rPr>
          <w:t>worldbank</w:t>
        </w:r>
        <w:proofErr w:type="spellEnd"/>
        <w:r w:rsidRPr="008A3BCD">
          <w:rPr>
            <w:rStyle w:val="a7"/>
          </w:rPr>
          <w:t>.</w:t>
        </w:r>
        <w:r w:rsidRPr="0056025D">
          <w:rPr>
            <w:rStyle w:val="a7"/>
            <w:lang w:val="en-US"/>
          </w:rPr>
          <w:t>org</w:t>
        </w:r>
        <w:r w:rsidRPr="008A3BCD">
          <w:rPr>
            <w:rStyle w:val="a7"/>
          </w:rPr>
          <w:t>/</w:t>
        </w:r>
        <w:r w:rsidRPr="0056025D">
          <w:rPr>
            <w:rStyle w:val="a7"/>
            <w:lang w:val="en-US"/>
          </w:rPr>
          <w:t>indicator</w:t>
        </w:r>
        <w:r w:rsidRPr="008A3BCD">
          <w:rPr>
            <w:rStyle w:val="a7"/>
          </w:rPr>
          <w:t>/</w:t>
        </w:r>
        <w:r w:rsidRPr="0056025D">
          <w:rPr>
            <w:rStyle w:val="a7"/>
            <w:lang w:val="en-US"/>
          </w:rPr>
          <w:t>GC</w:t>
        </w:r>
        <w:r w:rsidRPr="008A3BCD">
          <w:rPr>
            <w:rStyle w:val="a7"/>
          </w:rPr>
          <w:t>.</w:t>
        </w:r>
        <w:r w:rsidRPr="0056025D">
          <w:rPr>
            <w:rStyle w:val="a7"/>
            <w:lang w:val="en-US"/>
          </w:rPr>
          <w:t>XPN</w:t>
        </w:r>
        <w:r w:rsidRPr="008A3BCD">
          <w:rPr>
            <w:rStyle w:val="a7"/>
          </w:rPr>
          <w:t>.</w:t>
        </w:r>
        <w:r w:rsidRPr="0056025D">
          <w:rPr>
            <w:rStyle w:val="a7"/>
            <w:lang w:val="en-US"/>
          </w:rPr>
          <w:t>INTP</w:t>
        </w:r>
        <w:r w:rsidRPr="008A3BCD">
          <w:rPr>
            <w:rStyle w:val="a7"/>
          </w:rPr>
          <w:t>.</w:t>
        </w:r>
        <w:r w:rsidRPr="0056025D">
          <w:rPr>
            <w:rStyle w:val="a7"/>
            <w:lang w:val="en-US"/>
          </w:rPr>
          <w:t>ZS</w:t>
        </w:r>
      </w:hyperlink>
    </w:p>
  </w:footnote>
  <w:footnote w:id="60">
    <w:p w14:paraId="102AF993" w14:textId="5E0CB1A3" w:rsidR="00ED366C" w:rsidRPr="00523C56" w:rsidRDefault="00ED366C" w:rsidP="00ED366C">
      <w:pPr>
        <w:pStyle w:val="a8"/>
        <w:ind w:firstLine="567"/>
      </w:pPr>
      <w:r>
        <w:rPr>
          <w:rStyle w:val="aa"/>
        </w:rPr>
        <w:footnoteRef/>
      </w:r>
      <w:r w:rsidRPr="00CF6889">
        <w:t xml:space="preserve"> </w:t>
      </w:r>
      <w:r>
        <w:t>Показатель рассчитан как отношение расходов на обслуживание долга (</w:t>
      </w:r>
      <w:proofErr w:type="spellStart"/>
      <w:r>
        <w:t>Public</w:t>
      </w:r>
      <w:proofErr w:type="spellEnd"/>
      <w:r w:rsidRPr="00CF6889">
        <w:t xml:space="preserve"> </w:t>
      </w:r>
      <w:proofErr w:type="spellStart"/>
      <w:r>
        <w:t>debt</w:t>
      </w:r>
      <w:proofErr w:type="spellEnd"/>
      <w:r w:rsidRPr="00CF6889">
        <w:t xml:space="preserve"> </w:t>
      </w:r>
      <w:proofErr w:type="spellStart"/>
      <w:r>
        <w:t>transactions</w:t>
      </w:r>
      <w:proofErr w:type="spellEnd"/>
      <w:r>
        <w:t>, COFOG</w:t>
      </w:r>
      <w:r w:rsidRPr="00CF6889">
        <w:t xml:space="preserve"> 70170)</w:t>
      </w:r>
      <w:r>
        <w:t xml:space="preserve"> к совокупным государственным расходам (</w:t>
      </w:r>
      <w:proofErr w:type="spellStart"/>
      <w:r w:rsidRPr="00A14121">
        <w:t>Total</w:t>
      </w:r>
      <w:proofErr w:type="spellEnd"/>
      <w:r w:rsidRPr="001E5CC9">
        <w:t xml:space="preserve"> </w:t>
      </w:r>
      <w:proofErr w:type="spellStart"/>
      <w:r w:rsidRPr="00A14121">
        <w:t>government</w:t>
      </w:r>
      <w:proofErr w:type="spellEnd"/>
      <w:r w:rsidRPr="001E5CC9">
        <w:t xml:space="preserve"> </w:t>
      </w:r>
      <w:proofErr w:type="spellStart"/>
      <w:r w:rsidRPr="00A14121">
        <w:t>expenditure</w:t>
      </w:r>
      <w:proofErr w:type="spellEnd"/>
      <w:r>
        <w:t>), источник – база данных ОЭСР. U</w:t>
      </w:r>
      <w:r>
        <w:rPr>
          <w:lang w:val="en-US"/>
        </w:rPr>
        <w:t>RL</w:t>
      </w:r>
      <w:r>
        <w:t xml:space="preserve">: </w:t>
      </w:r>
      <w:hyperlink r:id="rId3" w:history="1">
        <w:r w:rsidRPr="00381BDB">
          <w:rPr>
            <w:rStyle w:val="a7"/>
          </w:rPr>
          <w:t>https://stats.oecd.org</w:t>
        </w:r>
      </w:hyperlink>
    </w:p>
  </w:footnote>
  <w:footnote w:id="61">
    <w:p w14:paraId="5BB5295C" w14:textId="7E092283" w:rsidR="00ED366C" w:rsidRPr="000E3C6D" w:rsidRDefault="00ED366C" w:rsidP="00ED366C">
      <w:pPr>
        <w:pStyle w:val="a8"/>
        <w:ind w:firstLine="567"/>
      </w:pPr>
      <w:r>
        <w:rPr>
          <w:rStyle w:val="aa"/>
        </w:rPr>
        <w:footnoteRef/>
      </w:r>
      <w:r w:rsidRPr="00CF6889">
        <w:t xml:space="preserve"> </w:t>
      </w:r>
      <w:r>
        <w:t>Показатель рассчитан как отношение инвестиционных государственных расходов (</w:t>
      </w:r>
      <w:proofErr w:type="spellStart"/>
      <w:r>
        <w:t>Gross</w:t>
      </w:r>
      <w:proofErr w:type="spellEnd"/>
      <w:r w:rsidRPr="00CF6889">
        <w:t xml:space="preserve"> </w:t>
      </w:r>
      <w:proofErr w:type="spellStart"/>
      <w:r>
        <w:t>capital</w:t>
      </w:r>
      <w:proofErr w:type="spellEnd"/>
      <w:r w:rsidRPr="00CF6889">
        <w:t xml:space="preserve"> </w:t>
      </w:r>
      <w:proofErr w:type="spellStart"/>
      <w:r>
        <w:t>formation</w:t>
      </w:r>
      <w:proofErr w:type="spellEnd"/>
      <w:r>
        <w:t>) к совокупным государственным расходам (</w:t>
      </w:r>
      <w:proofErr w:type="spellStart"/>
      <w:r w:rsidRPr="00A14121">
        <w:t>Total</w:t>
      </w:r>
      <w:proofErr w:type="spellEnd"/>
      <w:r w:rsidRPr="001E5CC9">
        <w:t xml:space="preserve"> </w:t>
      </w:r>
      <w:proofErr w:type="spellStart"/>
      <w:r w:rsidRPr="00A14121">
        <w:t>government</w:t>
      </w:r>
      <w:proofErr w:type="spellEnd"/>
      <w:r w:rsidRPr="001E5CC9">
        <w:t xml:space="preserve"> </w:t>
      </w:r>
      <w:proofErr w:type="spellStart"/>
      <w:r w:rsidRPr="00A14121">
        <w:t>expenditure</w:t>
      </w:r>
      <w:proofErr w:type="spellEnd"/>
      <w:r>
        <w:t xml:space="preserve">), источник – база данных ОЭСР. </w:t>
      </w:r>
      <w:r>
        <w:rPr>
          <w:lang w:val="en-US"/>
        </w:rPr>
        <w:t>URL</w:t>
      </w:r>
      <w:r>
        <w:t xml:space="preserve">: </w:t>
      </w:r>
      <w:hyperlink r:id="rId4" w:history="1">
        <w:r w:rsidRPr="00381BDB">
          <w:rPr>
            <w:rStyle w:val="a7"/>
          </w:rPr>
          <w:t>https://stats.oecd.org</w:t>
        </w:r>
      </w:hyperlink>
      <w:r>
        <w:t xml:space="preserve"> </w:t>
      </w:r>
    </w:p>
  </w:footnote>
  <w:footnote w:id="62">
    <w:p w14:paraId="7E15B01C" w14:textId="77777777" w:rsidR="004455C6" w:rsidRDefault="004455C6" w:rsidP="00AF49F9">
      <w:pPr>
        <w:pStyle w:val="a8"/>
        <w:ind w:firstLine="709"/>
      </w:pPr>
      <w:r>
        <w:rPr>
          <w:rStyle w:val="aa"/>
        </w:rPr>
        <w:footnoteRef/>
      </w:r>
      <w:r>
        <w:t xml:space="preserve"> С учетом уровня инфляции, выраженного в ИПЦ.</w:t>
      </w:r>
    </w:p>
  </w:footnote>
  <w:footnote w:id="63">
    <w:p w14:paraId="21122D17" w14:textId="77777777" w:rsidR="004455C6" w:rsidRDefault="004455C6" w:rsidP="004455C6">
      <w:pPr>
        <w:pStyle w:val="a8"/>
        <w:ind w:firstLine="567"/>
      </w:pPr>
      <w:r>
        <w:rPr>
          <w:rStyle w:val="aa"/>
        </w:rPr>
        <w:footnoteRef/>
      </w:r>
      <w:r>
        <w:t xml:space="preserve"> При этом формально распределение межбюджетных трансфертов является предметом второго чтения, однако результаты распределения субсидий, субвенций и иных межбюджетных трансфертов были представлены в составе материалов, внесенных до первого чтения.</w:t>
      </w:r>
    </w:p>
  </w:footnote>
  <w:footnote w:id="64">
    <w:p w14:paraId="51589C34" w14:textId="77777777" w:rsidR="004455C6" w:rsidRDefault="004455C6" w:rsidP="004455C6">
      <w:pPr>
        <w:pStyle w:val="a8"/>
        <w:ind w:firstLine="567"/>
      </w:pPr>
      <w:r>
        <w:rPr>
          <w:rStyle w:val="aa"/>
        </w:rPr>
        <w:footnoteRef/>
      </w:r>
      <w:r>
        <w:t xml:space="preserve"> 1 </w:t>
      </w:r>
      <w:proofErr w:type="spellStart"/>
      <w:r>
        <w:t>п.п</w:t>
      </w:r>
      <w:proofErr w:type="spellEnd"/>
      <w:r>
        <w:t xml:space="preserve">. региональной ставки по налогу на прибыль организаций </w:t>
      </w:r>
      <w:proofErr w:type="gramStart"/>
      <w:r>
        <w:t>централизован</w:t>
      </w:r>
      <w:proofErr w:type="gramEnd"/>
      <w:r>
        <w:t xml:space="preserve"> на федеральном уровне начиная с 2017 г. с последующим перераспределением между регионами в форме дотаций.</w:t>
      </w:r>
    </w:p>
  </w:footnote>
  <w:footnote w:id="65">
    <w:p w14:paraId="4F6D505B" w14:textId="77777777" w:rsidR="004455C6" w:rsidRDefault="004455C6" w:rsidP="004455C6">
      <w:pPr>
        <w:pStyle w:val="a8"/>
        <w:ind w:firstLine="567"/>
      </w:pPr>
      <w:r>
        <w:rPr>
          <w:rStyle w:val="aa"/>
        </w:rPr>
        <w:footnoteRef/>
      </w:r>
      <w:r>
        <w:t xml:space="preserve"> Формально указанная доля должна составить в 2024 г. 45,7 %, однако следует помнить, что принятие решений о предоставлении трансфертов вне рамок национальных проектов зачастую происходит при подготовке бюджета на очередной год, а не на плановый период, то есть указанная доля может сократиться при подготовке бюджета на 2024–2026 гг.</w:t>
      </w:r>
    </w:p>
  </w:footnote>
  <w:footnote w:id="66">
    <w:p w14:paraId="2FB08841" w14:textId="77777777" w:rsidR="004455C6" w:rsidRDefault="004455C6" w:rsidP="004455C6">
      <w:pPr>
        <w:pStyle w:val="a8"/>
        <w:ind w:firstLine="567"/>
      </w:pPr>
      <w:r>
        <w:rPr>
          <w:rStyle w:val="aa"/>
        </w:rPr>
        <w:footnoteRef/>
      </w:r>
      <w:r>
        <w:t xml:space="preserve"> На 477,8 </w:t>
      </w:r>
      <w:proofErr w:type="gramStart"/>
      <w:r>
        <w:t>млрд</w:t>
      </w:r>
      <w:proofErr w:type="gramEnd"/>
      <w:r>
        <w:t xml:space="preserve"> руб. в номинальном выражении, или на 592,6 млрд руб. в реальном выражении в ценах 2022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F617" w14:textId="77777777" w:rsidR="00631660" w:rsidRPr="008C5537" w:rsidRDefault="00631660" w:rsidP="006238F0">
    <w:pPr>
      <w:pStyle w:val="ab"/>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3">
    <w:nsid w:val="05024D02"/>
    <w:multiLevelType w:val="hybridMultilevel"/>
    <w:tmpl w:val="12407390"/>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A2E6D"/>
    <w:multiLevelType w:val="hybridMultilevel"/>
    <w:tmpl w:val="A4EEF070"/>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A7CE9"/>
    <w:multiLevelType w:val="hybridMultilevel"/>
    <w:tmpl w:val="AD48423A"/>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0A2974BF"/>
    <w:multiLevelType w:val="hybridMultilevel"/>
    <w:tmpl w:val="496C1638"/>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0A4645FA"/>
    <w:multiLevelType w:val="hybridMultilevel"/>
    <w:tmpl w:val="A30A3C20"/>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95FC5"/>
    <w:multiLevelType w:val="hybridMultilevel"/>
    <w:tmpl w:val="2F727C94"/>
    <w:lvl w:ilvl="0" w:tplc="AB28ABC8">
      <w:start w:val="1"/>
      <w:numFmt w:val="bullet"/>
      <w:lvlText w:val=""/>
      <w:lvlJc w:val="left"/>
      <w:pPr>
        <w:ind w:left="1069" w:hanging="360"/>
      </w:pPr>
      <w:rPr>
        <w:rFonts w:ascii="Wingdings" w:hAnsi="Wingdings" w:hint="default"/>
        <w:color w:val="9606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0E4C9C"/>
    <w:multiLevelType w:val="hybridMultilevel"/>
    <w:tmpl w:val="A65ED1A6"/>
    <w:lvl w:ilvl="0" w:tplc="858A914C">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8A4E70"/>
    <w:multiLevelType w:val="hybridMultilevel"/>
    <w:tmpl w:val="B9903B3A"/>
    <w:lvl w:ilvl="0" w:tplc="3734113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8F7E33"/>
    <w:multiLevelType w:val="hybridMultilevel"/>
    <w:tmpl w:val="9CD2BF48"/>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C540B1"/>
    <w:multiLevelType w:val="hybridMultilevel"/>
    <w:tmpl w:val="FC70F906"/>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752D58"/>
    <w:multiLevelType w:val="hybridMultilevel"/>
    <w:tmpl w:val="62327634"/>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nsid w:val="133C0F83"/>
    <w:multiLevelType w:val="multilevel"/>
    <w:tmpl w:val="7FDECEB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3555E41"/>
    <w:multiLevelType w:val="hybridMultilevel"/>
    <w:tmpl w:val="46B4BDC2"/>
    <w:lvl w:ilvl="0" w:tplc="1B9E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6F07EA"/>
    <w:multiLevelType w:val="hybridMultilevel"/>
    <w:tmpl w:val="4B824AE2"/>
    <w:lvl w:ilvl="0" w:tplc="3992F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B605BE"/>
    <w:multiLevelType w:val="hybridMultilevel"/>
    <w:tmpl w:val="27ECD8AE"/>
    <w:lvl w:ilvl="0" w:tplc="082E06BC">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E956EC"/>
    <w:multiLevelType w:val="hybridMultilevel"/>
    <w:tmpl w:val="C05ACADA"/>
    <w:lvl w:ilvl="0" w:tplc="275AF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F45B4A"/>
    <w:multiLevelType w:val="hybridMultilevel"/>
    <w:tmpl w:val="FBDCE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4C1E24"/>
    <w:multiLevelType w:val="hybridMultilevel"/>
    <w:tmpl w:val="1BD64B54"/>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663A8C"/>
    <w:multiLevelType w:val="hybridMultilevel"/>
    <w:tmpl w:val="79F08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252306"/>
    <w:multiLevelType w:val="hybridMultilevel"/>
    <w:tmpl w:val="43A43CA8"/>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21102074"/>
    <w:multiLevelType w:val="hybridMultilevel"/>
    <w:tmpl w:val="5756EA64"/>
    <w:lvl w:ilvl="0" w:tplc="858A914C">
      <w:start w:val="1"/>
      <w:numFmt w:val="bullet"/>
      <w:lvlText w:val=""/>
      <w:lvlJc w:val="left"/>
      <w:pPr>
        <w:ind w:left="1429" w:hanging="360"/>
      </w:pPr>
      <w:rPr>
        <w:rFonts w:ascii="Symbol" w:hAnsi="Symbol" w:hint="default"/>
      </w:rPr>
    </w:lvl>
    <w:lvl w:ilvl="1" w:tplc="04190011">
      <w:start w:val="1"/>
      <w:numFmt w:val="decimal"/>
      <w:lvlText w:val="%2)"/>
      <w:lvlJc w:val="left"/>
      <w:pPr>
        <w:ind w:left="2149" w:hanging="360"/>
      </w:pPr>
      <w:rPr>
        <w:rFont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23F520C9"/>
    <w:multiLevelType w:val="hybridMultilevel"/>
    <w:tmpl w:val="E0F81158"/>
    <w:lvl w:ilvl="0" w:tplc="9954A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1D2BBA"/>
    <w:multiLevelType w:val="hybridMultilevel"/>
    <w:tmpl w:val="6374EE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4A0457B"/>
    <w:multiLevelType w:val="hybridMultilevel"/>
    <w:tmpl w:val="65889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5B08CE"/>
    <w:multiLevelType w:val="hybridMultilevel"/>
    <w:tmpl w:val="E1EE20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CC40A97"/>
    <w:multiLevelType w:val="hybridMultilevel"/>
    <w:tmpl w:val="EC506B12"/>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EB4177"/>
    <w:multiLevelType w:val="hybridMultilevel"/>
    <w:tmpl w:val="1AF8F2E6"/>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30B66286"/>
    <w:multiLevelType w:val="hybridMultilevel"/>
    <w:tmpl w:val="E17E5BEA"/>
    <w:lvl w:ilvl="0" w:tplc="5C0E13E0">
      <w:start w:val="1"/>
      <w:numFmt w:val="bullet"/>
      <w:lvlText w:val="‒"/>
      <w:lvlJc w:val="left"/>
      <w:pPr>
        <w:ind w:left="1069" w:hanging="360"/>
      </w:pPr>
      <w:rPr>
        <w:rFonts w:ascii="Times New Roman" w:hAnsi="Times New Roman" w:cs="Times New Roman" w:hint="default"/>
        <w:color w:val="9606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181432"/>
    <w:multiLevelType w:val="hybridMultilevel"/>
    <w:tmpl w:val="75FA59E6"/>
    <w:lvl w:ilvl="0" w:tplc="3BF204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D2EF4"/>
    <w:multiLevelType w:val="hybridMultilevel"/>
    <w:tmpl w:val="BE6010DE"/>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nsid w:val="374348C9"/>
    <w:multiLevelType w:val="hybridMultilevel"/>
    <w:tmpl w:val="2A8CC2DC"/>
    <w:lvl w:ilvl="0" w:tplc="5C0E13E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nsid w:val="3AA04EA6"/>
    <w:multiLevelType w:val="hybridMultilevel"/>
    <w:tmpl w:val="124C60B2"/>
    <w:lvl w:ilvl="0" w:tplc="5C0E13E0">
      <w:start w:val="1"/>
      <w:numFmt w:val="bullet"/>
      <w:lvlText w:val="‒"/>
      <w:lvlJc w:val="left"/>
      <w:pPr>
        <w:ind w:left="1069" w:hanging="360"/>
      </w:pPr>
      <w:rPr>
        <w:rFonts w:ascii="Times New Roman" w:hAnsi="Times New Roman" w:cs="Times New Roman" w:hint="default"/>
        <w:color w:val="9606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B737808"/>
    <w:multiLevelType w:val="hybridMultilevel"/>
    <w:tmpl w:val="8D520D5A"/>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3BBC5FCF"/>
    <w:multiLevelType w:val="hybridMultilevel"/>
    <w:tmpl w:val="8E7A6494"/>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0A0FB7"/>
    <w:multiLevelType w:val="hybridMultilevel"/>
    <w:tmpl w:val="30FCAF76"/>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721CDE"/>
    <w:multiLevelType w:val="hybridMultilevel"/>
    <w:tmpl w:val="507E83BA"/>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ECC65F3"/>
    <w:multiLevelType w:val="hybridMultilevel"/>
    <w:tmpl w:val="A56C966E"/>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nsid w:val="40B935B6"/>
    <w:multiLevelType w:val="hybridMultilevel"/>
    <w:tmpl w:val="79FC39FC"/>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E30031"/>
    <w:multiLevelType w:val="hybridMultilevel"/>
    <w:tmpl w:val="C978A476"/>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48E71C73"/>
    <w:multiLevelType w:val="hybridMultilevel"/>
    <w:tmpl w:val="2724E33E"/>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1157D7"/>
    <w:multiLevelType w:val="hybridMultilevel"/>
    <w:tmpl w:val="147E7798"/>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9F907C6"/>
    <w:multiLevelType w:val="hybridMultilevel"/>
    <w:tmpl w:val="E72AD1D8"/>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A69717F"/>
    <w:multiLevelType w:val="hybridMultilevel"/>
    <w:tmpl w:val="99B8D7B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nsid w:val="4A8228C2"/>
    <w:multiLevelType w:val="hybridMultilevel"/>
    <w:tmpl w:val="C1185358"/>
    <w:lvl w:ilvl="0" w:tplc="9C7EF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7506F0"/>
    <w:multiLevelType w:val="hybridMultilevel"/>
    <w:tmpl w:val="B0D8BC86"/>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D421DEB"/>
    <w:multiLevelType w:val="hybridMultilevel"/>
    <w:tmpl w:val="226035A0"/>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nsid w:val="4ED91DB9"/>
    <w:multiLevelType w:val="hybridMultilevel"/>
    <w:tmpl w:val="3774D736"/>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08713A"/>
    <w:multiLevelType w:val="hybridMultilevel"/>
    <w:tmpl w:val="F7B6C114"/>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8912FE"/>
    <w:multiLevelType w:val="hybridMultilevel"/>
    <w:tmpl w:val="A1466338"/>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3">
    <w:nsid w:val="54C55575"/>
    <w:multiLevelType w:val="hybridMultilevel"/>
    <w:tmpl w:val="7A2EC0F6"/>
    <w:lvl w:ilvl="0" w:tplc="B7B6774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9781C"/>
    <w:multiLevelType w:val="multilevel"/>
    <w:tmpl w:val="34CCF60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A565FCB"/>
    <w:multiLevelType w:val="hybridMultilevel"/>
    <w:tmpl w:val="6C08F346"/>
    <w:lvl w:ilvl="0" w:tplc="5C0E13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E676FB"/>
    <w:multiLevelType w:val="hybridMultilevel"/>
    <w:tmpl w:val="9C40BEC2"/>
    <w:lvl w:ilvl="0" w:tplc="5C0E13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C696C1D"/>
    <w:multiLevelType w:val="hybridMultilevel"/>
    <w:tmpl w:val="BBFC5C52"/>
    <w:lvl w:ilvl="0" w:tplc="5C0E13E0">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8">
    <w:nsid w:val="5D071991"/>
    <w:multiLevelType w:val="hybridMultilevel"/>
    <w:tmpl w:val="E5BC1C14"/>
    <w:lvl w:ilvl="0" w:tplc="5C0E13E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64E60E00"/>
    <w:multiLevelType w:val="multilevel"/>
    <w:tmpl w:val="AE50DB20"/>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671019E4"/>
    <w:multiLevelType w:val="hybridMultilevel"/>
    <w:tmpl w:val="F718DF5E"/>
    <w:lvl w:ilvl="0" w:tplc="FFF03104">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AE3BA1"/>
    <w:multiLevelType w:val="hybridMultilevel"/>
    <w:tmpl w:val="E640A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B1E3831"/>
    <w:multiLevelType w:val="multilevel"/>
    <w:tmpl w:val="EBE8BDD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3">
    <w:nsid w:val="6B766B9D"/>
    <w:multiLevelType w:val="multilevel"/>
    <w:tmpl w:val="797C192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F91598F"/>
    <w:multiLevelType w:val="hybridMultilevel"/>
    <w:tmpl w:val="F718DF5E"/>
    <w:lvl w:ilvl="0" w:tplc="FFF03104">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EE2E51"/>
    <w:multiLevelType w:val="hybridMultilevel"/>
    <w:tmpl w:val="6DFCBEEA"/>
    <w:lvl w:ilvl="0" w:tplc="94BC8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5CF499A"/>
    <w:multiLevelType w:val="hybridMultilevel"/>
    <w:tmpl w:val="CAE8C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5D23E02"/>
    <w:multiLevelType w:val="hybridMultilevel"/>
    <w:tmpl w:val="25E07FD4"/>
    <w:lvl w:ilvl="0" w:tplc="275AF754">
      <w:start w:val="1"/>
      <w:numFmt w:val="decimal"/>
      <w:lvlText w:val="%1)"/>
      <w:lvlJc w:val="left"/>
      <w:pPr>
        <w:ind w:left="1429" w:hanging="360"/>
      </w:pPr>
      <w:rPr>
        <w:rFonts w:hint="default"/>
      </w:rPr>
    </w:lvl>
    <w:lvl w:ilvl="1" w:tplc="04190011">
      <w:start w:val="1"/>
      <w:numFmt w:val="decimal"/>
      <w:lvlText w:val="%2)"/>
      <w:lvlJc w:val="left"/>
      <w:pPr>
        <w:ind w:left="2149" w:hanging="360"/>
      </w:pPr>
      <w:rPr>
        <w:rFont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761E38F5"/>
    <w:multiLevelType w:val="hybridMultilevel"/>
    <w:tmpl w:val="84FC30B8"/>
    <w:lvl w:ilvl="0" w:tplc="7494BF9A">
      <w:start w:val="1"/>
      <w:numFmt w:val="decimal"/>
      <w:lvlText w:val="%1)"/>
      <w:lvlJc w:val="left"/>
      <w:pPr>
        <w:tabs>
          <w:tab w:val="num" w:pos="720"/>
        </w:tabs>
        <w:ind w:left="720" w:hanging="360"/>
      </w:pPr>
    </w:lvl>
    <w:lvl w:ilvl="1" w:tplc="006C8114" w:tentative="1">
      <w:start w:val="1"/>
      <w:numFmt w:val="decimal"/>
      <w:lvlText w:val="%2)"/>
      <w:lvlJc w:val="left"/>
      <w:pPr>
        <w:tabs>
          <w:tab w:val="num" w:pos="1440"/>
        </w:tabs>
        <w:ind w:left="1440" w:hanging="360"/>
      </w:pPr>
    </w:lvl>
    <w:lvl w:ilvl="2" w:tplc="6BDEB6F6" w:tentative="1">
      <w:start w:val="1"/>
      <w:numFmt w:val="decimal"/>
      <w:lvlText w:val="%3)"/>
      <w:lvlJc w:val="left"/>
      <w:pPr>
        <w:tabs>
          <w:tab w:val="num" w:pos="2160"/>
        </w:tabs>
        <w:ind w:left="2160" w:hanging="360"/>
      </w:pPr>
    </w:lvl>
    <w:lvl w:ilvl="3" w:tplc="96B888EC" w:tentative="1">
      <w:start w:val="1"/>
      <w:numFmt w:val="decimal"/>
      <w:lvlText w:val="%4)"/>
      <w:lvlJc w:val="left"/>
      <w:pPr>
        <w:tabs>
          <w:tab w:val="num" w:pos="2880"/>
        </w:tabs>
        <w:ind w:left="2880" w:hanging="360"/>
      </w:pPr>
    </w:lvl>
    <w:lvl w:ilvl="4" w:tplc="33CA24E8" w:tentative="1">
      <w:start w:val="1"/>
      <w:numFmt w:val="decimal"/>
      <w:lvlText w:val="%5)"/>
      <w:lvlJc w:val="left"/>
      <w:pPr>
        <w:tabs>
          <w:tab w:val="num" w:pos="3600"/>
        </w:tabs>
        <w:ind w:left="3600" w:hanging="360"/>
      </w:pPr>
    </w:lvl>
    <w:lvl w:ilvl="5" w:tplc="35823540" w:tentative="1">
      <w:start w:val="1"/>
      <w:numFmt w:val="decimal"/>
      <w:lvlText w:val="%6)"/>
      <w:lvlJc w:val="left"/>
      <w:pPr>
        <w:tabs>
          <w:tab w:val="num" w:pos="4320"/>
        </w:tabs>
        <w:ind w:left="4320" w:hanging="360"/>
      </w:pPr>
    </w:lvl>
    <w:lvl w:ilvl="6" w:tplc="271E1DBE" w:tentative="1">
      <w:start w:val="1"/>
      <w:numFmt w:val="decimal"/>
      <w:lvlText w:val="%7)"/>
      <w:lvlJc w:val="left"/>
      <w:pPr>
        <w:tabs>
          <w:tab w:val="num" w:pos="5040"/>
        </w:tabs>
        <w:ind w:left="5040" w:hanging="360"/>
      </w:pPr>
    </w:lvl>
    <w:lvl w:ilvl="7" w:tplc="63C26346" w:tentative="1">
      <w:start w:val="1"/>
      <w:numFmt w:val="decimal"/>
      <w:lvlText w:val="%8)"/>
      <w:lvlJc w:val="left"/>
      <w:pPr>
        <w:tabs>
          <w:tab w:val="num" w:pos="5760"/>
        </w:tabs>
        <w:ind w:left="5760" w:hanging="360"/>
      </w:pPr>
    </w:lvl>
    <w:lvl w:ilvl="8" w:tplc="DA8CDC8E" w:tentative="1">
      <w:start w:val="1"/>
      <w:numFmt w:val="decimal"/>
      <w:lvlText w:val="%9)"/>
      <w:lvlJc w:val="left"/>
      <w:pPr>
        <w:tabs>
          <w:tab w:val="num" w:pos="6480"/>
        </w:tabs>
        <w:ind w:left="6480" w:hanging="360"/>
      </w:pPr>
    </w:lvl>
  </w:abstractNum>
  <w:abstractNum w:abstractNumId="69">
    <w:nsid w:val="78856798"/>
    <w:multiLevelType w:val="hybridMultilevel"/>
    <w:tmpl w:val="2A541C00"/>
    <w:lvl w:ilvl="0" w:tplc="933CF164">
      <w:start w:val="1"/>
      <w:numFmt w:val="bullet"/>
      <w:lvlText w:val="‒"/>
      <w:lvlJc w:val="left"/>
      <w:pPr>
        <w:ind w:left="1069" w:hanging="360"/>
      </w:pPr>
      <w:rPr>
        <w:rFonts w:ascii="Times New Roman"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9C7130D"/>
    <w:multiLevelType w:val="hybridMultilevel"/>
    <w:tmpl w:val="374A5F42"/>
    <w:lvl w:ilvl="0" w:tplc="275AF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53137C"/>
    <w:multiLevelType w:val="hybridMultilevel"/>
    <w:tmpl w:val="5C4C5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65"/>
  </w:num>
  <w:num w:numId="6">
    <w:abstractNumId w:val="51"/>
  </w:num>
  <w:num w:numId="7">
    <w:abstractNumId w:val="12"/>
  </w:num>
  <w:num w:numId="8">
    <w:abstractNumId w:val="33"/>
  </w:num>
  <w:num w:numId="9">
    <w:abstractNumId w:val="31"/>
  </w:num>
  <w:num w:numId="10">
    <w:abstractNumId w:val="43"/>
  </w:num>
  <w:num w:numId="11">
    <w:abstractNumId w:val="4"/>
  </w:num>
  <w:num w:numId="12">
    <w:abstractNumId w:val="7"/>
  </w:num>
  <w:num w:numId="13">
    <w:abstractNumId w:val="55"/>
  </w:num>
  <w:num w:numId="14">
    <w:abstractNumId w:val="20"/>
  </w:num>
  <w:num w:numId="15">
    <w:abstractNumId w:val="41"/>
  </w:num>
  <w:num w:numId="16">
    <w:abstractNumId w:val="38"/>
  </w:num>
  <w:num w:numId="17">
    <w:abstractNumId w:val="3"/>
  </w:num>
  <w:num w:numId="18">
    <w:abstractNumId w:val="48"/>
  </w:num>
  <w:num w:numId="19">
    <w:abstractNumId w:val="53"/>
  </w:num>
  <w:num w:numId="20">
    <w:abstractNumId w:val="25"/>
  </w:num>
  <w:num w:numId="21">
    <w:abstractNumId w:val="28"/>
  </w:num>
  <w:num w:numId="22">
    <w:abstractNumId w:val="50"/>
  </w:num>
  <w:num w:numId="23">
    <w:abstractNumId w:val="44"/>
  </w:num>
  <w:num w:numId="24">
    <w:abstractNumId w:val="11"/>
  </w:num>
  <w:num w:numId="25">
    <w:abstractNumId w:val="58"/>
  </w:num>
  <w:num w:numId="26">
    <w:abstractNumId w:val="23"/>
  </w:num>
  <w:num w:numId="27">
    <w:abstractNumId w:val="37"/>
  </w:num>
  <w:num w:numId="28">
    <w:abstractNumId w:val="60"/>
  </w:num>
  <w:num w:numId="29">
    <w:abstractNumId w:val="64"/>
  </w:num>
  <w:num w:numId="30">
    <w:abstractNumId w:val="16"/>
  </w:num>
  <w:num w:numId="31">
    <w:abstractNumId w:val="8"/>
  </w:num>
  <w:num w:numId="32">
    <w:abstractNumId w:val="17"/>
  </w:num>
  <w:num w:numId="33">
    <w:abstractNumId w:val="35"/>
  </w:num>
  <w:num w:numId="34">
    <w:abstractNumId w:val="30"/>
  </w:num>
  <w:num w:numId="35">
    <w:abstractNumId w:val="69"/>
  </w:num>
  <w:num w:numId="36">
    <w:abstractNumId w:val="23"/>
    <w:lvlOverride w:ilvl="0">
      <w:lvl w:ilvl="0" w:tplc="858A914C">
        <w:start w:val="1"/>
        <w:numFmt w:val="decimal"/>
        <w:lvlText w:val="%1)"/>
        <w:lvlJc w:val="left"/>
        <w:pPr>
          <w:ind w:left="2149" w:hanging="360"/>
        </w:pPr>
        <w:rPr>
          <w:rFonts w:hint="default"/>
        </w:rPr>
      </w:lvl>
    </w:lvlOverride>
    <w:lvlOverride w:ilvl="1">
      <w:lvl w:ilvl="1" w:tplc="04190011">
        <w:start w:val="1"/>
        <w:numFmt w:val="lowerLetter"/>
        <w:lvlText w:val="%2."/>
        <w:lvlJc w:val="left"/>
        <w:pPr>
          <w:ind w:left="1440" w:hanging="360"/>
        </w:pPr>
      </w:lvl>
    </w:lvlOverride>
    <w:lvlOverride w:ilvl="2">
      <w:lvl w:ilvl="2" w:tplc="04190005"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37">
    <w:abstractNumId w:val="67"/>
  </w:num>
  <w:num w:numId="38">
    <w:abstractNumId w:val="23"/>
    <w:lvlOverride w:ilvl="0">
      <w:lvl w:ilvl="0" w:tplc="858A914C">
        <w:start w:val="1"/>
        <w:numFmt w:val="decimal"/>
        <w:lvlText w:val="%1)"/>
        <w:lvlJc w:val="left"/>
        <w:pPr>
          <w:ind w:left="2149" w:hanging="360"/>
        </w:pPr>
        <w:rPr>
          <w:rFonts w:hint="default"/>
        </w:rPr>
      </w:lvl>
    </w:lvlOverride>
    <w:lvlOverride w:ilvl="1">
      <w:lvl w:ilvl="1" w:tplc="04190011">
        <w:start w:val="1"/>
        <w:numFmt w:val="lowerLetter"/>
        <w:lvlText w:val="%2."/>
        <w:lvlJc w:val="left"/>
        <w:pPr>
          <w:ind w:left="1440" w:hanging="360"/>
        </w:pPr>
      </w:lvl>
    </w:lvlOverride>
    <w:lvlOverride w:ilvl="2">
      <w:lvl w:ilvl="2" w:tplc="04190005"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39">
    <w:abstractNumId w:val="18"/>
  </w:num>
  <w:num w:numId="40">
    <w:abstractNumId w:val="70"/>
  </w:num>
  <w:num w:numId="41">
    <w:abstractNumId w:val="15"/>
  </w:num>
  <w:num w:numId="42">
    <w:abstractNumId w:val="10"/>
  </w:num>
  <w:num w:numId="43">
    <w:abstractNumId w:val="46"/>
  </w:num>
  <w:num w:numId="44">
    <w:abstractNumId w:val="9"/>
  </w:num>
  <w:num w:numId="45">
    <w:abstractNumId w:val="47"/>
  </w:num>
  <w:num w:numId="46">
    <w:abstractNumId w:val="61"/>
  </w:num>
  <w:num w:numId="47">
    <w:abstractNumId w:val="24"/>
  </w:num>
  <w:num w:numId="48">
    <w:abstractNumId w:val="26"/>
  </w:num>
  <w:num w:numId="49">
    <w:abstractNumId w:val="27"/>
  </w:num>
  <w:num w:numId="50">
    <w:abstractNumId w:val="71"/>
  </w:num>
  <w:num w:numId="51">
    <w:abstractNumId w:val="66"/>
  </w:num>
  <w:num w:numId="52">
    <w:abstractNumId w:val="52"/>
  </w:num>
  <w:num w:numId="53">
    <w:abstractNumId w:val="62"/>
  </w:num>
  <w:num w:numId="54">
    <w:abstractNumId w:val="63"/>
  </w:num>
  <w:num w:numId="55">
    <w:abstractNumId w:val="14"/>
  </w:num>
  <w:num w:numId="56">
    <w:abstractNumId w:val="54"/>
  </w:num>
  <w:num w:numId="57">
    <w:abstractNumId w:val="59"/>
  </w:num>
  <w:num w:numId="58">
    <w:abstractNumId w:val="68"/>
  </w:num>
  <w:num w:numId="59">
    <w:abstractNumId w:val="19"/>
  </w:num>
  <w:num w:numId="60">
    <w:abstractNumId w:val="21"/>
  </w:num>
  <w:num w:numId="61">
    <w:abstractNumId w:val="56"/>
  </w:num>
  <w:num w:numId="62">
    <w:abstractNumId w:val="5"/>
  </w:num>
  <w:num w:numId="63">
    <w:abstractNumId w:val="22"/>
  </w:num>
  <w:num w:numId="64">
    <w:abstractNumId w:val="6"/>
  </w:num>
  <w:num w:numId="65">
    <w:abstractNumId w:val="40"/>
  </w:num>
  <w:num w:numId="66">
    <w:abstractNumId w:val="36"/>
  </w:num>
  <w:num w:numId="67">
    <w:abstractNumId w:val="42"/>
  </w:num>
  <w:num w:numId="68">
    <w:abstractNumId w:val="13"/>
  </w:num>
  <w:num w:numId="69">
    <w:abstractNumId w:val="32"/>
  </w:num>
  <w:num w:numId="70">
    <w:abstractNumId w:val="57"/>
  </w:num>
  <w:num w:numId="71">
    <w:abstractNumId w:val="29"/>
  </w:num>
  <w:num w:numId="72">
    <w:abstractNumId w:val="49"/>
  </w:num>
  <w:num w:numId="73">
    <w:abstractNumId w:val="4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FB"/>
    <w:rsid w:val="000011EC"/>
    <w:rsid w:val="000020D0"/>
    <w:rsid w:val="00005DF0"/>
    <w:rsid w:val="00006A49"/>
    <w:rsid w:val="00010EEB"/>
    <w:rsid w:val="00011240"/>
    <w:rsid w:val="00014E8D"/>
    <w:rsid w:val="00017018"/>
    <w:rsid w:val="00021561"/>
    <w:rsid w:val="00021F14"/>
    <w:rsid w:val="0002614E"/>
    <w:rsid w:val="00032B55"/>
    <w:rsid w:val="00040466"/>
    <w:rsid w:val="00040D1D"/>
    <w:rsid w:val="00043E7A"/>
    <w:rsid w:val="00044FB8"/>
    <w:rsid w:val="000459D3"/>
    <w:rsid w:val="00045A26"/>
    <w:rsid w:val="00046F5C"/>
    <w:rsid w:val="000476EC"/>
    <w:rsid w:val="00050E23"/>
    <w:rsid w:val="00055C80"/>
    <w:rsid w:val="000630C3"/>
    <w:rsid w:val="00063E6D"/>
    <w:rsid w:val="00063E74"/>
    <w:rsid w:val="00066592"/>
    <w:rsid w:val="00067A72"/>
    <w:rsid w:val="0007139F"/>
    <w:rsid w:val="00073893"/>
    <w:rsid w:val="00076489"/>
    <w:rsid w:val="0007677C"/>
    <w:rsid w:val="00082780"/>
    <w:rsid w:val="000830B8"/>
    <w:rsid w:val="00083C07"/>
    <w:rsid w:val="0008430B"/>
    <w:rsid w:val="0008478A"/>
    <w:rsid w:val="00087320"/>
    <w:rsid w:val="000919A8"/>
    <w:rsid w:val="00094724"/>
    <w:rsid w:val="00094B9B"/>
    <w:rsid w:val="0009776C"/>
    <w:rsid w:val="00097C85"/>
    <w:rsid w:val="000A168F"/>
    <w:rsid w:val="000A16F1"/>
    <w:rsid w:val="000A2509"/>
    <w:rsid w:val="000A2FED"/>
    <w:rsid w:val="000A342A"/>
    <w:rsid w:val="000A4A35"/>
    <w:rsid w:val="000A6E93"/>
    <w:rsid w:val="000A73A7"/>
    <w:rsid w:val="000B02DC"/>
    <w:rsid w:val="000B59B8"/>
    <w:rsid w:val="000B73D5"/>
    <w:rsid w:val="000C1D85"/>
    <w:rsid w:val="000C1FEE"/>
    <w:rsid w:val="000D0314"/>
    <w:rsid w:val="000D4018"/>
    <w:rsid w:val="000D6E2B"/>
    <w:rsid w:val="000D731C"/>
    <w:rsid w:val="000D7598"/>
    <w:rsid w:val="000E1A33"/>
    <w:rsid w:val="000E3DA6"/>
    <w:rsid w:val="000E5D4B"/>
    <w:rsid w:val="000F042F"/>
    <w:rsid w:val="000F0B56"/>
    <w:rsid w:val="000F1A97"/>
    <w:rsid w:val="000F282E"/>
    <w:rsid w:val="000F3825"/>
    <w:rsid w:val="000F48C1"/>
    <w:rsid w:val="000F4E3A"/>
    <w:rsid w:val="000F4F71"/>
    <w:rsid w:val="000F596A"/>
    <w:rsid w:val="000F7EA2"/>
    <w:rsid w:val="001026EB"/>
    <w:rsid w:val="0010335D"/>
    <w:rsid w:val="00105382"/>
    <w:rsid w:val="00107E2B"/>
    <w:rsid w:val="001118DA"/>
    <w:rsid w:val="00114AEB"/>
    <w:rsid w:val="00116EE4"/>
    <w:rsid w:val="0012375A"/>
    <w:rsid w:val="00126409"/>
    <w:rsid w:val="00130D58"/>
    <w:rsid w:val="00131057"/>
    <w:rsid w:val="0013136C"/>
    <w:rsid w:val="0013248E"/>
    <w:rsid w:val="00132F26"/>
    <w:rsid w:val="00134CE4"/>
    <w:rsid w:val="0014371E"/>
    <w:rsid w:val="00144D38"/>
    <w:rsid w:val="001457AF"/>
    <w:rsid w:val="00145D26"/>
    <w:rsid w:val="00146C99"/>
    <w:rsid w:val="00146F7B"/>
    <w:rsid w:val="00150C9E"/>
    <w:rsid w:val="001539F7"/>
    <w:rsid w:val="00154B03"/>
    <w:rsid w:val="00155371"/>
    <w:rsid w:val="001554B8"/>
    <w:rsid w:val="00161118"/>
    <w:rsid w:val="00163D81"/>
    <w:rsid w:val="00164688"/>
    <w:rsid w:val="001671AF"/>
    <w:rsid w:val="00167E9E"/>
    <w:rsid w:val="00171DED"/>
    <w:rsid w:val="00172042"/>
    <w:rsid w:val="001729B1"/>
    <w:rsid w:val="001745C0"/>
    <w:rsid w:val="00175C7C"/>
    <w:rsid w:val="001837A2"/>
    <w:rsid w:val="00184178"/>
    <w:rsid w:val="00184421"/>
    <w:rsid w:val="00185059"/>
    <w:rsid w:val="00185928"/>
    <w:rsid w:val="00190148"/>
    <w:rsid w:val="001916D4"/>
    <w:rsid w:val="001917B5"/>
    <w:rsid w:val="00193056"/>
    <w:rsid w:val="00197E47"/>
    <w:rsid w:val="001A0136"/>
    <w:rsid w:val="001A0FA6"/>
    <w:rsid w:val="001A20FB"/>
    <w:rsid w:val="001A5FE3"/>
    <w:rsid w:val="001A632E"/>
    <w:rsid w:val="001A7511"/>
    <w:rsid w:val="001B3BFF"/>
    <w:rsid w:val="001B4AA2"/>
    <w:rsid w:val="001B5104"/>
    <w:rsid w:val="001B710D"/>
    <w:rsid w:val="001C0714"/>
    <w:rsid w:val="001C1E95"/>
    <w:rsid w:val="001C5FC5"/>
    <w:rsid w:val="001C794C"/>
    <w:rsid w:val="001E041B"/>
    <w:rsid w:val="001E0E86"/>
    <w:rsid w:val="001E17D8"/>
    <w:rsid w:val="001E5A4E"/>
    <w:rsid w:val="001E6AEC"/>
    <w:rsid w:val="001F196A"/>
    <w:rsid w:val="001F3FAC"/>
    <w:rsid w:val="001F6B60"/>
    <w:rsid w:val="00200236"/>
    <w:rsid w:val="00200A4F"/>
    <w:rsid w:val="00202D0A"/>
    <w:rsid w:val="00205AC5"/>
    <w:rsid w:val="00205D47"/>
    <w:rsid w:val="00206F40"/>
    <w:rsid w:val="00211249"/>
    <w:rsid w:val="0021163F"/>
    <w:rsid w:val="00217133"/>
    <w:rsid w:val="0021794A"/>
    <w:rsid w:val="002207C5"/>
    <w:rsid w:val="00220CFD"/>
    <w:rsid w:val="00221BE3"/>
    <w:rsid w:val="00230AF9"/>
    <w:rsid w:val="00231EC9"/>
    <w:rsid w:val="002329F0"/>
    <w:rsid w:val="00236197"/>
    <w:rsid w:val="00236DB9"/>
    <w:rsid w:val="002374EA"/>
    <w:rsid w:val="0024133A"/>
    <w:rsid w:val="00242084"/>
    <w:rsid w:val="002422F5"/>
    <w:rsid w:val="00244A57"/>
    <w:rsid w:val="002472AA"/>
    <w:rsid w:val="00252312"/>
    <w:rsid w:val="00255BE8"/>
    <w:rsid w:val="00256F19"/>
    <w:rsid w:val="00257817"/>
    <w:rsid w:val="002606E9"/>
    <w:rsid w:val="002612E4"/>
    <w:rsid w:val="00263A3B"/>
    <w:rsid w:val="002650EF"/>
    <w:rsid w:val="00265327"/>
    <w:rsid w:val="002760AE"/>
    <w:rsid w:val="00276E68"/>
    <w:rsid w:val="00282C0C"/>
    <w:rsid w:val="002908F7"/>
    <w:rsid w:val="00290EA5"/>
    <w:rsid w:val="0029175D"/>
    <w:rsid w:val="00291BCB"/>
    <w:rsid w:val="00292ED3"/>
    <w:rsid w:val="002945A8"/>
    <w:rsid w:val="00294D49"/>
    <w:rsid w:val="00295E97"/>
    <w:rsid w:val="002A0202"/>
    <w:rsid w:val="002A1085"/>
    <w:rsid w:val="002A19E4"/>
    <w:rsid w:val="002A3B96"/>
    <w:rsid w:val="002A640F"/>
    <w:rsid w:val="002B15D6"/>
    <w:rsid w:val="002B301D"/>
    <w:rsid w:val="002B3639"/>
    <w:rsid w:val="002B3AD2"/>
    <w:rsid w:val="002B3BA6"/>
    <w:rsid w:val="002B6CBF"/>
    <w:rsid w:val="002C2263"/>
    <w:rsid w:val="002C283D"/>
    <w:rsid w:val="002C3A28"/>
    <w:rsid w:val="002C4E2B"/>
    <w:rsid w:val="002D160C"/>
    <w:rsid w:val="002D5EE8"/>
    <w:rsid w:val="002D7130"/>
    <w:rsid w:val="002E013D"/>
    <w:rsid w:val="002E18B6"/>
    <w:rsid w:val="002E6A88"/>
    <w:rsid w:val="002E7591"/>
    <w:rsid w:val="002F412C"/>
    <w:rsid w:val="002F7347"/>
    <w:rsid w:val="002F7D4B"/>
    <w:rsid w:val="00300800"/>
    <w:rsid w:val="0030215F"/>
    <w:rsid w:val="00306168"/>
    <w:rsid w:val="00310C50"/>
    <w:rsid w:val="003117AF"/>
    <w:rsid w:val="00312DE0"/>
    <w:rsid w:val="0031481C"/>
    <w:rsid w:val="00314921"/>
    <w:rsid w:val="00316A14"/>
    <w:rsid w:val="0031705F"/>
    <w:rsid w:val="00317ABB"/>
    <w:rsid w:val="00320001"/>
    <w:rsid w:val="00320340"/>
    <w:rsid w:val="0033013F"/>
    <w:rsid w:val="00332861"/>
    <w:rsid w:val="003328D7"/>
    <w:rsid w:val="00334299"/>
    <w:rsid w:val="00335818"/>
    <w:rsid w:val="00335CC4"/>
    <w:rsid w:val="003423B5"/>
    <w:rsid w:val="0034294C"/>
    <w:rsid w:val="00344E6A"/>
    <w:rsid w:val="0034563A"/>
    <w:rsid w:val="00346DAD"/>
    <w:rsid w:val="003530C0"/>
    <w:rsid w:val="003534E6"/>
    <w:rsid w:val="0035462F"/>
    <w:rsid w:val="0035465C"/>
    <w:rsid w:val="00354F5F"/>
    <w:rsid w:val="0035761E"/>
    <w:rsid w:val="0035799D"/>
    <w:rsid w:val="0036135F"/>
    <w:rsid w:val="0036342A"/>
    <w:rsid w:val="00363B4B"/>
    <w:rsid w:val="00364586"/>
    <w:rsid w:val="00366447"/>
    <w:rsid w:val="0037391B"/>
    <w:rsid w:val="003755D0"/>
    <w:rsid w:val="003760A3"/>
    <w:rsid w:val="0037740D"/>
    <w:rsid w:val="003778A0"/>
    <w:rsid w:val="00392F03"/>
    <w:rsid w:val="003A0264"/>
    <w:rsid w:val="003A0A35"/>
    <w:rsid w:val="003A3EE6"/>
    <w:rsid w:val="003A4E96"/>
    <w:rsid w:val="003A719F"/>
    <w:rsid w:val="003B266B"/>
    <w:rsid w:val="003B6127"/>
    <w:rsid w:val="003B6227"/>
    <w:rsid w:val="003C007A"/>
    <w:rsid w:val="003C2805"/>
    <w:rsid w:val="003C2AE6"/>
    <w:rsid w:val="003C6E88"/>
    <w:rsid w:val="003C793F"/>
    <w:rsid w:val="003D3DEF"/>
    <w:rsid w:val="003D4870"/>
    <w:rsid w:val="003D5D72"/>
    <w:rsid w:val="003D6316"/>
    <w:rsid w:val="003D6A44"/>
    <w:rsid w:val="003D6DED"/>
    <w:rsid w:val="003D744D"/>
    <w:rsid w:val="003E0222"/>
    <w:rsid w:val="003E2810"/>
    <w:rsid w:val="003E28A7"/>
    <w:rsid w:val="003E40EE"/>
    <w:rsid w:val="003E4F4A"/>
    <w:rsid w:val="003F0313"/>
    <w:rsid w:val="003F09DD"/>
    <w:rsid w:val="003F0C4D"/>
    <w:rsid w:val="003F19EA"/>
    <w:rsid w:val="003F37F1"/>
    <w:rsid w:val="003F3CFC"/>
    <w:rsid w:val="003F7976"/>
    <w:rsid w:val="00400492"/>
    <w:rsid w:val="004011FC"/>
    <w:rsid w:val="00402232"/>
    <w:rsid w:val="00402B75"/>
    <w:rsid w:val="00402EEC"/>
    <w:rsid w:val="004116E4"/>
    <w:rsid w:val="00411DB5"/>
    <w:rsid w:val="00415CF0"/>
    <w:rsid w:val="00415F89"/>
    <w:rsid w:val="00416629"/>
    <w:rsid w:val="0041689C"/>
    <w:rsid w:val="00416F51"/>
    <w:rsid w:val="004172C9"/>
    <w:rsid w:val="00417C50"/>
    <w:rsid w:val="00423A93"/>
    <w:rsid w:val="00424A0F"/>
    <w:rsid w:val="00426529"/>
    <w:rsid w:val="00431C8D"/>
    <w:rsid w:val="00433C17"/>
    <w:rsid w:val="0043490A"/>
    <w:rsid w:val="00437C96"/>
    <w:rsid w:val="004436A5"/>
    <w:rsid w:val="00443B9F"/>
    <w:rsid w:val="00444E2E"/>
    <w:rsid w:val="00445198"/>
    <w:rsid w:val="004455C6"/>
    <w:rsid w:val="00450601"/>
    <w:rsid w:val="0045171E"/>
    <w:rsid w:val="00452AAA"/>
    <w:rsid w:val="00452DA9"/>
    <w:rsid w:val="00453B40"/>
    <w:rsid w:val="00453DCE"/>
    <w:rsid w:val="00454DAB"/>
    <w:rsid w:val="00460F01"/>
    <w:rsid w:val="004616C3"/>
    <w:rsid w:val="00463AE7"/>
    <w:rsid w:val="00465FED"/>
    <w:rsid w:val="00471B18"/>
    <w:rsid w:val="0047565A"/>
    <w:rsid w:val="00476304"/>
    <w:rsid w:val="004773C7"/>
    <w:rsid w:val="004800BF"/>
    <w:rsid w:val="00481686"/>
    <w:rsid w:val="00483177"/>
    <w:rsid w:val="00483F78"/>
    <w:rsid w:val="0048668C"/>
    <w:rsid w:val="00487ADD"/>
    <w:rsid w:val="00490160"/>
    <w:rsid w:val="00492C32"/>
    <w:rsid w:val="00494741"/>
    <w:rsid w:val="00495E91"/>
    <w:rsid w:val="004962C0"/>
    <w:rsid w:val="00496C8D"/>
    <w:rsid w:val="00497EB2"/>
    <w:rsid w:val="004A231B"/>
    <w:rsid w:val="004A35B2"/>
    <w:rsid w:val="004A63AB"/>
    <w:rsid w:val="004A6A78"/>
    <w:rsid w:val="004A6B23"/>
    <w:rsid w:val="004A77BB"/>
    <w:rsid w:val="004A7C37"/>
    <w:rsid w:val="004B0376"/>
    <w:rsid w:val="004B256E"/>
    <w:rsid w:val="004B2C39"/>
    <w:rsid w:val="004B2DA1"/>
    <w:rsid w:val="004B422C"/>
    <w:rsid w:val="004C127B"/>
    <w:rsid w:val="004C4427"/>
    <w:rsid w:val="004C4CC0"/>
    <w:rsid w:val="004C6B40"/>
    <w:rsid w:val="004C751D"/>
    <w:rsid w:val="004C7714"/>
    <w:rsid w:val="004D1D00"/>
    <w:rsid w:val="004D3664"/>
    <w:rsid w:val="004D57A6"/>
    <w:rsid w:val="004E1980"/>
    <w:rsid w:val="004E49A2"/>
    <w:rsid w:val="004E6316"/>
    <w:rsid w:val="004F05B8"/>
    <w:rsid w:val="004F2575"/>
    <w:rsid w:val="004F5D6B"/>
    <w:rsid w:val="004F6655"/>
    <w:rsid w:val="004F77F0"/>
    <w:rsid w:val="005032AD"/>
    <w:rsid w:val="00503E46"/>
    <w:rsid w:val="00506088"/>
    <w:rsid w:val="00506F1A"/>
    <w:rsid w:val="005100B1"/>
    <w:rsid w:val="00510CC9"/>
    <w:rsid w:val="005112D2"/>
    <w:rsid w:val="005221FA"/>
    <w:rsid w:val="0052311A"/>
    <w:rsid w:val="00523240"/>
    <w:rsid w:val="005242FF"/>
    <w:rsid w:val="00525602"/>
    <w:rsid w:val="0053059A"/>
    <w:rsid w:val="00531508"/>
    <w:rsid w:val="00531AD7"/>
    <w:rsid w:val="005345D3"/>
    <w:rsid w:val="00544DEB"/>
    <w:rsid w:val="00551ABF"/>
    <w:rsid w:val="00552D72"/>
    <w:rsid w:val="005537B3"/>
    <w:rsid w:val="00555D9E"/>
    <w:rsid w:val="005560C8"/>
    <w:rsid w:val="00556C9D"/>
    <w:rsid w:val="0055726F"/>
    <w:rsid w:val="00557F23"/>
    <w:rsid w:val="0056025D"/>
    <w:rsid w:val="00561DEC"/>
    <w:rsid w:val="00564454"/>
    <w:rsid w:val="00564C76"/>
    <w:rsid w:val="00565D18"/>
    <w:rsid w:val="005666B7"/>
    <w:rsid w:val="0057319A"/>
    <w:rsid w:val="005831EE"/>
    <w:rsid w:val="00583335"/>
    <w:rsid w:val="005846D1"/>
    <w:rsid w:val="00594200"/>
    <w:rsid w:val="005971FB"/>
    <w:rsid w:val="0059763F"/>
    <w:rsid w:val="005A36EC"/>
    <w:rsid w:val="005A540F"/>
    <w:rsid w:val="005A54DE"/>
    <w:rsid w:val="005B11ED"/>
    <w:rsid w:val="005B468A"/>
    <w:rsid w:val="005B47D7"/>
    <w:rsid w:val="005B5BB5"/>
    <w:rsid w:val="005B5BF9"/>
    <w:rsid w:val="005C4030"/>
    <w:rsid w:val="005C5F2F"/>
    <w:rsid w:val="005D145E"/>
    <w:rsid w:val="005D1E64"/>
    <w:rsid w:val="005D7AD2"/>
    <w:rsid w:val="005E0E19"/>
    <w:rsid w:val="005E24B5"/>
    <w:rsid w:val="005E4C13"/>
    <w:rsid w:val="005E6DC2"/>
    <w:rsid w:val="005E6F47"/>
    <w:rsid w:val="005F001A"/>
    <w:rsid w:val="005F0333"/>
    <w:rsid w:val="005F0819"/>
    <w:rsid w:val="005F1B07"/>
    <w:rsid w:val="005F2CF1"/>
    <w:rsid w:val="005F3860"/>
    <w:rsid w:val="005F4FE9"/>
    <w:rsid w:val="005F518C"/>
    <w:rsid w:val="005F5ADC"/>
    <w:rsid w:val="005F715A"/>
    <w:rsid w:val="00600443"/>
    <w:rsid w:val="00603E6E"/>
    <w:rsid w:val="00605491"/>
    <w:rsid w:val="00611BEC"/>
    <w:rsid w:val="00614767"/>
    <w:rsid w:val="0062212F"/>
    <w:rsid w:val="00622676"/>
    <w:rsid w:val="006238F0"/>
    <w:rsid w:val="006251C4"/>
    <w:rsid w:val="00627ADD"/>
    <w:rsid w:val="006302D3"/>
    <w:rsid w:val="00631269"/>
    <w:rsid w:val="00631660"/>
    <w:rsid w:val="00632B25"/>
    <w:rsid w:val="00635B79"/>
    <w:rsid w:val="00635CF4"/>
    <w:rsid w:val="00640E45"/>
    <w:rsid w:val="006410F9"/>
    <w:rsid w:val="00641D3A"/>
    <w:rsid w:val="0064296B"/>
    <w:rsid w:val="00642D65"/>
    <w:rsid w:val="00645600"/>
    <w:rsid w:val="006463DA"/>
    <w:rsid w:val="0064681F"/>
    <w:rsid w:val="00651584"/>
    <w:rsid w:val="0065236E"/>
    <w:rsid w:val="00655FF0"/>
    <w:rsid w:val="00660135"/>
    <w:rsid w:val="00660F8F"/>
    <w:rsid w:val="00666424"/>
    <w:rsid w:val="00670342"/>
    <w:rsid w:val="00671E24"/>
    <w:rsid w:val="00672485"/>
    <w:rsid w:val="00672C9F"/>
    <w:rsid w:val="0067300F"/>
    <w:rsid w:val="00673F4D"/>
    <w:rsid w:val="00674C90"/>
    <w:rsid w:val="00674D9B"/>
    <w:rsid w:val="006753EB"/>
    <w:rsid w:val="00677968"/>
    <w:rsid w:val="00677CE9"/>
    <w:rsid w:val="00681A25"/>
    <w:rsid w:val="0068261D"/>
    <w:rsid w:val="0068292A"/>
    <w:rsid w:val="006829CF"/>
    <w:rsid w:val="00682DF7"/>
    <w:rsid w:val="00690AC1"/>
    <w:rsid w:val="00691974"/>
    <w:rsid w:val="00697FFE"/>
    <w:rsid w:val="006A0553"/>
    <w:rsid w:val="006A1715"/>
    <w:rsid w:val="006A2062"/>
    <w:rsid w:val="006A2737"/>
    <w:rsid w:val="006A5B93"/>
    <w:rsid w:val="006B09EC"/>
    <w:rsid w:val="006B103B"/>
    <w:rsid w:val="006B646E"/>
    <w:rsid w:val="006B7001"/>
    <w:rsid w:val="006C084D"/>
    <w:rsid w:val="006C0C71"/>
    <w:rsid w:val="006C0E7E"/>
    <w:rsid w:val="006D36B9"/>
    <w:rsid w:val="006D46C5"/>
    <w:rsid w:val="006D689A"/>
    <w:rsid w:val="006D68F3"/>
    <w:rsid w:val="006E0070"/>
    <w:rsid w:val="006E0E26"/>
    <w:rsid w:val="006E18C6"/>
    <w:rsid w:val="006E4632"/>
    <w:rsid w:val="006F01F0"/>
    <w:rsid w:val="006F125F"/>
    <w:rsid w:val="006F170C"/>
    <w:rsid w:val="006F74C4"/>
    <w:rsid w:val="006F7539"/>
    <w:rsid w:val="0070020A"/>
    <w:rsid w:val="007005E9"/>
    <w:rsid w:val="00703CEC"/>
    <w:rsid w:val="00703F1E"/>
    <w:rsid w:val="0070600E"/>
    <w:rsid w:val="007067C2"/>
    <w:rsid w:val="0070707B"/>
    <w:rsid w:val="0071102D"/>
    <w:rsid w:val="00711A86"/>
    <w:rsid w:val="00715D5F"/>
    <w:rsid w:val="00720ADA"/>
    <w:rsid w:val="00721B02"/>
    <w:rsid w:val="00722103"/>
    <w:rsid w:val="00723245"/>
    <w:rsid w:val="00723CF1"/>
    <w:rsid w:val="00725114"/>
    <w:rsid w:val="007254B9"/>
    <w:rsid w:val="007265BC"/>
    <w:rsid w:val="00731D2B"/>
    <w:rsid w:val="007330C2"/>
    <w:rsid w:val="007345EE"/>
    <w:rsid w:val="00736A77"/>
    <w:rsid w:val="00744F44"/>
    <w:rsid w:val="00746831"/>
    <w:rsid w:val="00750645"/>
    <w:rsid w:val="00750BF1"/>
    <w:rsid w:val="00752B3B"/>
    <w:rsid w:val="007548E7"/>
    <w:rsid w:val="00757D1A"/>
    <w:rsid w:val="00761958"/>
    <w:rsid w:val="00766F62"/>
    <w:rsid w:val="007670DC"/>
    <w:rsid w:val="00773F1C"/>
    <w:rsid w:val="00775433"/>
    <w:rsid w:val="00776238"/>
    <w:rsid w:val="00782F27"/>
    <w:rsid w:val="00784787"/>
    <w:rsid w:val="00787E44"/>
    <w:rsid w:val="007931B0"/>
    <w:rsid w:val="007931C8"/>
    <w:rsid w:val="00793910"/>
    <w:rsid w:val="00793C8D"/>
    <w:rsid w:val="0079642C"/>
    <w:rsid w:val="00797647"/>
    <w:rsid w:val="007979DA"/>
    <w:rsid w:val="007A002D"/>
    <w:rsid w:val="007A0741"/>
    <w:rsid w:val="007A6443"/>
    <w:rsid w:val="007B0567"/>
    <w:rsid w:val="007B598B"/>
    <w:rsid w:val="007B6510"/>
    <w:rsid w:val="007C0AD2"/>
    <w:rsid w:val="007C17F8"/>
    <w:rsid w:val="007C2802"/>
    <w:rsid w:val="007C2803"/>
    <w:rsid w:val="007C41E2"/>
    <w:rsid w:val="007C5FC0"/>
    <w:rsid w:val="007C67D4"/>
    <w:rsid w:val="007C7A1E"/>
    <w:rsid w:val="007D0902"/>
    <w:rsid w:val="007D098C"/>
    <w:rsid w:val="007D1E8C"/>
    <w:rsid w:val="007D5408"/>
    <w:rsid w:val="007E09F1"/>
    <w:rsid w:val="007E55D7"/>
    <w:rsid w:val="007E66D2"/>
    <w:rsid w:val="007F0805"/>
    <w:rsid w:val="007F17A0"/>
    <w:rsid w:val="007F28FF"/>
    <w:rsid w:val="007F5F9B"/>
    <w:rsid w:val="0080056C"/>
    <w:rsid w:val="00800C6A"/>
    <w:rsid w:val="008012B1"/>
    <w:rsid w:val="0080447F"/>
    <w:rsid w:val="00805A31"/>
    <w:rsid w:val="008068A9"/>
    <w:rsid w:val="008069D0"/>
    <w:rsid w:val="0080787D"/>
    <w:rsid w:val="00807BA7"/>
    <w:rsid w:val="00807EF9"/>
    <w:rsid w:val="00811E82"/>
    <w:rsid w:val="008140D6"/>
    <w:rsid w:val="0081621A"/>
    <w:rsid w:val="00817132"/>
    <w:rsid w:val="00817463"/>
    <w:rsid w:val="00817473"/>
    <w:rsid w:val="00817C2E"/>
    <w:rsid w:val="008207FA"/>
    <w:rsid w:val="00825168"/>
    <w:rsid w:val="00826F81"/>
    <w:rsid w:val="00830447"/>
    <w:rsid w:val="008305E9"/>
    <w:rsid w:val="00835324"/>
    <w:rsid w:val="0083658F"/>
    <w:rsid w:val="008367BE"/>
    <w:rsid w:val="00837221"/>
    <w:rsid w:val="0084181B"/>
    <w:rsid w:val="0084205B"/>
    <w:rsid w:val="00843A67"/>
    <w:rsid w:val="00847263"/>
    <w:rsid w:val="00851329"/>
    <w:rsid w:val="00854A68"/>
    <w:rsid w:val="00855CB8"/>
    <w:rsid w:val="00862FFE"/>
    <w:rsid w:val="008636EE"/>
    <w:rsid w:val="008637AE"/>
    <w:rsid w:val="008642F4"/>
    <w:rsid w:val="00864705"/>
    <w:rsid w:val="00866137"/>
    <w:rsid w:val="00867323"/>
    <w:rsid w:val="008742A2"/>
    <w:rsid w:val="0087603E"/>
    <w:rsid w:val="00880163"/>
    <w:rsid w:val="008819EA"/>
    <w:rsid w:val="00882EB3"/>
    <w:rsid w:val="00890054"/>
    <w:rsid w:val="008901D5"/>
    <w:rsid w:val="008906BB"/>
    <w:rsid w:val="008924F3"/>
    <w:rsid w:val="00894691"/>
    <w:rsid w:val="0089665F"/>
    <w:rsid w:val="008A01E5"/>
    <w:rsid w:val="008A04BE"/>
    <w:rsid w:val="008A0B87"/>
    <w:rsid w:val="008A2488"/>
    <w:rsid w:val="008A3BCD"/>
    <w:rsid w:val="008A6C47"/>
    <w:rsid w:val="008A6E40"/>
    <w:rsid w:val="008B383D"/>
    <w:rsid w:val="008B3D8A"/>
    <w:rsid w:val="008B5668"/>
    <w:rsid w:val="008B5E43"/>
    <w:rsid w:val="008B6093"/>
    <w:rsid w:val="008C0CA8"/>
    <w:rsid w:val="008C186C"/>
    <w:rsid w:val="008C48AA"/>
    <w:rsid w:val="008C49F1"/>
    <w:rsid w:val="008C611C"/>
    <w:rsid w:val="008C770A"/>
    <w:rsid w:val="008D0F57"/>
    <w:rsid w:val="008D2B21"/>
    <w:rsid w:val="008D31DC"/>
    <w:rsid w:val="008D4072"/>
    <w:rsid w:val="008D5220"/>
    <w:rsid w:val="008E66A2"/>
    <w:rsid w:val="008E6B24"/>
    <w:rsid w:val="008E6E1B"/>
    <w:rsid w:val="008F34C6"/>
    <w:rsid w:val="008F5668"/>
    <w:rsid w:val="008F5F3F"/>
    <w:rsid w:val="008F62E9"/>
    <w:rsid w:val="008F67BB"/>
    <w:rsid w:val="00905BB8"/>
    <w:rsid w:val="0091020D"/>
    <w:rsid w:val="0091461B"/>
    <w:rsid w:val="009151FE"/>
    <w:rsid w:val="00916621"/>
    <w:rsid w:val="00917813"/>
    <w:rsid w:val="00920BCF"/>
    <w:rsid w:val="00920CAD"/>
    <w:rsid w:val="00923121"/>
    <w:rsid w:val="0092448B"/>
    <w:rsid w:val="00924940"/>
    <w:rsid w:val="00927BE6"/>
    <w:rsid w:val="009306CE"/>
    <w:rsid w:val="00930FCB"/>
    <w:rsid w:val="0094064F"/>
    <w:rsid w:val="00940E78"/>
    <w:rsid w:val="009439F9"/>
    <w:rsid w:val="00947D2E"/>
    <w:rsid w:val="009500E0"/>
    <w:rsid w:val="0095662B"/>
    <w:rsid w:val="00956867"/>
    <w:rsid w:val="009573E8"/>
    <w:rsid w:val="009619D6"/>
    <w:rsid w:val="00963483"/>
    <w:rsid w:val="00963B7F"/>
    <w:rsid w:val="009643D7"/>
    <w:rsid w:val="00965A98"/>
    <w:rsid w:val="00965F4A"/>
    <w:rsid w:val="00967592"/>
    <w:rsid w:val="009678BE"/>
    <w:rsid w:val="00972FA7"/>
    <w:rsid w:val="009746CE"/>
    <w:rsid w:val="00981C25"/>
    <w:rsid w:val="00984255"/>
    <w:rsid w:val="009861CF"/>
    <w:rsid w:val="0098620E"/>
    <w:rsid w:val="00986D05"/>
    <w:rsid w:val="00987696"/>
    <w:rsid w:val="00987707"/>
    <w:rsid w:val="009911CE"/>
    <w:rsid w:val="00991C99"/>
    <w:rsid w:val="00993BE2"/>
    <w:rsid w:val="00994D48"/>
    <w:rsid w:val="00995D0D"/>
    <w:rsid w:val="00995E45"/>
    <w:rsid w:val="009A0A3D"/>
    <w:rsid w:val="009A1377"/>
    <w:rsid w:val="009A2583"/>
    <w:rsid w:val="009A2911"/>
    <w:rsid w:val="009A2CBE"/>
    <w:rsid w:val="009A5D66"/>
    <w:rsid w:val="009A61A3"/>
    <w:rsid w:val="009A740B"/>
    <w:rsid w:val="009B02D9"/>
    <w:rsid w:val="009B06CE"/>
    <w:rsid w:val="009B0A55"/>
    <w:rsid w:val="009B1A23"/>
    <w:rsid w:val="009B294E"/>
    <w:rsid w:val="009B2BE2"/>
    <w:rsid w:val="009B71BC"/>
    <w:rsid w:val="009B778E"/>
    <w:rsid w:val="009C0046"/>
    <w:rsid w:val="009C1042"/>
    <w:rsid w:val="009C16EB"/>
    <w:rsid w:val="009C4A7F"/>
    <w:rsid w:val="009C4CF8"/>
    <w:rsid w:val="009D22DF"/>
    <w:rsid w:val="009D345A"/>
    <w:rsid w:val="009D5B83"/>
    <w:rsid w:val="009E156F"/>
    <w:rsid w:val="009E24DC"/>
    <w:rsid w:val="009E6E63"/>
    <w:rsid w:val="009F0100"/>
    <w:rsid w:val="009F17F8"/>
    <w:rsid w:val="009F22BB"/>
    <w:rsid w:val="009F2549"/>
    <w:rsid w:val="009F6BCC"/>
    <w:rsid w:val="009F7CE8"/>
    <w:rsid w:val="00A02403"/>
    <w:rsid w:val="00A039F0"/>
    <w:rsid w:val="00A0470E"/>
    <w:rsid w:val="00A05656"/>
    <w:rsid w:val="00A059D2"/>
    <w:rsid w:val="00A0617F"/>
    <w:rsid w:val="00A15AC9"/>
    <w:rsid w:val="00A211AF"/>
    <w:rsid w:val="00A24744"/>
    <w:rsid w:val="00A258E0"/>
    <w:rsid w:val="00A25A8A"/>
    <w:rsid w:val="00A2775C"/>
    <w:rsid w:val="00A3057D"/>
    <w:rsid w:val="00A3077D"/>
    <w:rsid w:val="00A33B9C"/>
    <w:rsid w:val="00A33FB5"/>
    <w:rsid w:val="00A35722"/>
    <w:rsid w:val="00A42B28"/>
    <w:rsid w:val="00A42DA1"/>
    <w:rsid w:val="00A43468"/>
    <w:rsid w:val="00A4422A"/>
    <w:rsid w:val="00A52122"/>
    <w:rsid w:val="00A5443F"/>
    <w:rsid w:val="00A54DA0"/>
    <w:rsid w:val="00A57313"/>
    <w:rsid w:val="00A61705"/>
    <w:rsid w:val="00A63362"/>
    <w:rsid w:val="00A700F8"/>
    <w:rsid w:val="00A70282"/>
    <w:rsid w:val="00A703C9"/>
    <w:rsid w:val="00A7092A"/>
    <w:rsid w:val="00A7121E"/>
    <w:rsid w:val="00A81BFD"/>
    <w:rsid w:val="00A845B5"/>
    <w:rsid w:val="00A85FA4"/>
    <w:rsid w:val="00A864DC"/>
    <w:rsid w:val="00A905E6"/>
    <w:rsid w:val="00A91B47"/>
    <w:rsid w:val="00A92A8E"/>
    <w:rsid w:val="00A92AC5"/>
    <w:rsid w:val="00A94300"/>
    <w:rsid w:val="00A94633"/>
    <w:rsid w:val="00AA0954"/>
    <w:rsid w:val="00AA2E4A"/>
    <w:rsid w:val="00AA534F"/>
    <w:rsid w:val="00AA56BA"/>
    <w:rsid w:val="00AA64FC"/>
    <w:rsid w:val="00AB227F"/>
    <w:rsid w:val="00AB2F49"/>
    <w:rsid w:val="00AB4A91"/>
    <w:rsid w:val="00AC04FA"/>
    <w:rsid w:val="00AC09C1"/>
    <w:rsid w:val="00AC197F"/>
    <w:rsid w:val="00AC1DD2"/>
    <w:rsid w:val="00AC566E"/>
    <w:rsid w:val="00AD52B8"/>
    <w:rsid w:val="00AD5E92"/>
    <w:rsid w:val="00AD6C16"/>
    <w:rsid w:val="00AD791C"/>
    <w:rsid w:val="00AE255B"/>
    <w:rsid w:val="00AE2BE1"/>
    <w:rsid w:val="00AE2C3D"/>
    <w:rsid w:val="00AE2F8B"/>
    <w:rsid w:val="00AE5969"/>
    <w:rsid w:val="00AE5D88"/>
    <w:rsid w:val="00AF0857"/>
    <w:rsid w:val="00AF2049"/>
    <w:rsid w:val="00AF2F0A"/>
    <w:rsid w:val="00AF32A4"/>
    <w:rsid w:val="00AF49F9"/>
    <w:rsid w:val="00AF4B2A"/>
    <w:rsid w:val="00AF5C9C"/>
    <w:rsid w:val="00B01B1A"/>
    <w:rsid w:val="00B02292"/>
    <w:rsid w:val="00B05689"/>
    <w:rsid w:val="00B06AC9"/>
    <w:rsid w:val="00B114B5"/>
    <w:rsid w:val="00B12D44"/>
    <w:rsid w:val="00B14919"/>
    <w:rsid w:val="00B1667A"/>
    <w:rsid w:val="00B1687F"/>
    <w:rsid w:val="00B1727C"/>
    <w:rsid w:val="00B209D0"/>
    <w:rsid w:val="00B20FE8"/>
    <w:rsid w:val="00B2227B"/>
    <w:rsid w:val="00B2258A"/>
    <w:rsid w:val="00B22D0E"/>
    <w:rsid w:val="00B23A9F"/>
    <w:rsid w:val="00B23FB0"/>
    <w:rsid w:val="00B24449"/>
    <w:rsid w:val="00B25D29"/>
    <w:rsid w:val="00B25E50"/>
    <w:rsid w:val="00B30246"/>
    <w:rsid w:val="00B30599"/>
    <w:rsid w:val="00B308CD"/>
    <w:rsid w:val="00B33032"/>
    <w:rsid w:val="00B33D5C"/>
    <w:rsid w:val="00B358B0"/>
    <w:rsid w:val="00B420F7"/>
    <w:rsid w:val="00B4294F"/>
    <w:rsid w:val="00B44F8D"/>
    <w:rsid w:val="00B46727"/>
    <w:rsid w:val="00B46FB8"/>
    <w:rsid w:val="00B476F0"/>
    <w:rsid w:val="00B50945"/>
    <w:rsid w:val="00B5130A"/>
    <w:rsid w:val="00B54516"/>
    <w:rsid w:val="00B54A9B"/>
    <w:rsid w:val="00B6450B"/>
    <w:rsid w:val="00B64FB4"/>
    <w:rsid w:val="00B656A1"/>
    <w:rsid w:val="00B70D0F"/>
    <w:rsid w:val="00B716F5"/>
    <w:rsid w:val="00B71920"/>
    <w:rsid w:val="00B80FF1"/>
    <w:rsid w:val="00B83C63"/>
    <w:rsid w:val="00B8736A"/>
    <w:rsid w:val="00B87C13"/>
    <w:rsid w:val="00B90764"/>
    <w:rsid w:val="00B90B51"/>
    <w:rsid w:val="00B94FA1"/>
    <w:rsid w:val="00B960CE"/>
    <w:rsid w:val="00BA114C"/>
    <w:rsid w:val="00BA25C0"/>
    <w:rsid w:val="00BA2A66"/>
    <w:rsid w:val="00BA2E07"/>
    <w:rsid w:val="00BA319E"/>
    <w:rsid w:val="00BA344A"/>
    <w:rsid w:val="00BA5689"/>
    <w:rsid w:val="00BA5CAF"/>
    <w:rsid w:val="00BA72CC"/>
    <w:rsid w:val="00BA7D80"/>
    <w:rsid w:val="00BB073F"/>
    <w:rsid w:val="00BB1E38"/>
    <w:rsid w:val="00BB355F"/>
    <w:rsid w:val="00BB5AC1"/>
    <w:rsid w:val="00BC022D"/>
    <w:rsid w:val="00BC3421"/>
    <w:rsid w:val="00BE268B"/>
    <w:rsid w:val="00BE3067"/>
    <w:rsid w:val="00BE33FD"/>
    <w:rsid w:val="00BE5547"/>
    <w:rsid w:val="00BE75BE"/>
    <w:rsid w:val="00BF08C8"/>
    <w:rsid w:val="00BF2726"/>
    <w:rsid w:val="00BF2E61"/>
    <w:rsid w:val="00BF4CB0"/>
    <w:rsid w:val="00BF50ED"/>
    <w:rsid w:val="00BF6053"/>
    <w:rsid w:val="00BF6623"/>
    <w:rsid w:val="00BF7A1F"/>
    <w:rsid w:val="00C006E1"/>
    <w:rsid w:val="00C00E0E"/>
    <w:rsid w:val="00C05298"/>
    <w:rsid w:val="00C07084"/>
    <w:rsid w:val="00C078F1"/>
    <w:rsid w:val="00C1014E"/>
    <w:rsid w:val="00C109BF"/>
    <w:rsid w:val="00C10B33"/>
    <w:rsid w:val="00C114F8"/>
    <w:rsid w:val="00C12DD7"/>
    <w:rsid w:val="00C12F61"/>
    <w:rsid w:val="00C1343B"/>
    <w:rsid w:val="00C1463B"/>
    <w:rsid w:val="00C1576F"/>
    <w:rsid w:val="00C1684F"/>
    <w:rsid w:val="00C17380"/>
    <w:rsid w:val="00C20982"/>
    <w:rsid w:val="00C20ACE"/>
    <w:rsid w:val="00C24CB9"/>
    <w:rsid w:val="00C27D1C"/>
    <w:rsid w:val="00C301B5"/>
    <w:rsid w:val="00C321C8"/>
    <w:rsid w:val="00C32243"/>
    <w:rsid w:val="00C34E1E"/>
    <w:rsid w:val="00C37C54"/>
    <w:rsid w:val="00C416BD"/>
    <w:rsid w:val="00C43988"/>
    <w:rsid w:val="00C43A94"/>
    <w:rsid w:val="00C43DF8"/>
    <w:rsid w:val="00C4662E"/>
    <w:rsid w:val="00C473F9"/>
    <w:rsid w:val="00C50031"/>
    <w:rsid w:val="00C5172F"/>
    <w:rsid w:val="00C54EB7"/>
    <w:rsid w:val="00C55298"/>
    <w:rsid w:val="00C567FB"/>
    <w:rsid w:val="00C572ED"/>
    <w:rsid w:val="00C61574"/>
    <w:rsid w:val="00C6757E"/>
    <w:rsid w:val="00C70000"/>
    <w:rsid w:val="00C72729"/>
    <w:rsid w:val="00C72F00"/>
    <w:rsid w:val="00C75D90"/>
    <w:rsid w:val="00C77359"/>
    <w:rsid w:val="00C813B3"/>
    <w:rsid w:val="00C81588"/>
    <w:rsid w:val="00C81591"/>
    <w:rsid w:val="00C834DE"/>
    <w:rsid w:val="00C87F32"/>
    <w:rsid w:val="00C90E31"/>
    <w:rsid w:val="00C92406"/>
    <w:rsid w:val="00C92466"/>
    <w:rsid w:val="00CA22C1"/>
    <w:rsid w:val="00CA6816"/>
    <w:rsid w:val="00CA7824"/>
    <w:rsid w:val="00CA7DC7"/>
    <w:rsid w:val="00CB5643"/>
    <w:rsid w:val="00CB7F40"/>
    <w:rsid w:val="00CC3EF0"/>
    <w:rsid w:val="00CC5D86"/>
    <w:rsid w:val="00CC72C6"/>
    <w:rsid w:val="00CC7348"/>
    <w:rsid w:val="00CD272E"/>
    <w:rsid w:val="00CE343F"/>
    <w:rsid w:val="00CE477D"/>
    <w:rsid w:val="00CE4F7D"/>
    <w:rsid w:val="00CE73C2"/>
    <w:rsid w:val="00D05913"/>
    <w:rsid w:val="00D06F8E"/>
    <w:rsid w:val="00D078EB"/>
    <w:rsid w:val="00D1294F"/>
    <w:rsid w:val="00D15A9F"/>
    <w:rsid w:val="00D179F9"/>
    <w:rsid w:val="00D2287B"/>
    <w:rsid w:val="00D234A0"/>
    <w:rsid w:val="00D236C9"/>
    <w:rsid w:val="00D23E13"/>
    <w:rsid w:val="00D253F7"/>
    <w:rsid w:val="00D302E7"/>
    <w:rsid w:val="00D31D09"/>
    <w:rsid w:val="00D31E4D"/>
    <w:rsid w:val="00D33FBA"/>
    <w:rsid w:val="00D3534E"/>
    <w:rsid w:val="00D35636"/>
    <w:rsid w:val="00D35876"/>
    <w:rsid w:val="00D372CC"/>
    <w:rsid w:val="00D40F27"/>
    <w:rsid w:val="00D41903"/>
    <w:rsid w:val="00D424BE"/>
    <w:rsid w:val="00D429AA"/>
    <w:rsid w:val="00D44DC5"/>
    <w:rsid w:val="00D50302"/>
    <w:rsid w:val="00D504C8"/>
    <w:rsid w:val="00D5150A"/>
    <w:rsid w:val="00D527B9"/>
    <w:rsid w:val="00D53072"/>
    <w:rsid w:val="00D55422"/>
    <w:rsid w:val="00D55995"/>
    <w:rsid w:val="00D639F9"/>
    <w:rsid w:val="00D67728"/>
    <w:rsid w:val="00D677BC"/>
    <w:rsid w:val="00D71015"/>
    <w:rsid w:val="00D71A99"/>
    <w:rsid w:val="00D72EC8"/>
    <w:rsid w:val="00D736CB"/>
    <w:rsid w:val="00D74FAA"/>
    <w:rsid w:val="00D77363"/>
    <w:rsid w:val="00D808D4"/>
    <w:rsid w:val="00D86CCA"/>
    <w:rsid w:val="00D8735A"/>
    <w:rsid w:val="00D945AD"/>
    <w:rsid w:val="00D97507"/>
    <w:rsid w:val="00D975C5"/>
    <w:rsid w:val="00DA133F"/>
    <w:rsid w:val="00DA1F37"/>
    <w:rsid w:val="00DA2EDF"/>
    <w:rsid w:val="00DA5047"/>
    <w:rsid w:val="00DA63F9"/>
    <w:rsid w:val="00DA6CF7"/>
    <w:rsid w:val="00DB0263"/>
    <w:rsid w:val="00DB1228"/>
    <w:rsid w:val="00DB22A3"/>
    <w:rsid w:val="00DB2447"/>
    <w:rsid w:val="00DB4769"/>
    <w:rsid w:val="00DB55F4"/>
    <w:rsid w:val="00DB5FE0"/>
    <w:rsid w:val="00DC2EEC"/>
    <w:rsid w:val="00DC34DC"/>
    <w:rsid w:val="00DC41B8"/>
    <w:rsid w:val="00DD3D95"/>
    <w:rsid w:val="00DD72F3"/>
    <w:rsid w:val="00DE2B28"/>
    <w:rsid w:val="00DE2BAC"/>
    <w:rsid w:val="00DE4014"/>
    <w:rsid w:val="00DE4318"/>
    <w:rsid w:val="00DE5F3D"/>
    <w:rsid w:val="00DE7F52"/>
    <w:rsid w:val="00DF11BD"/>
    <w:rsid w:val="00DF2D06"/>
    <w:rsid w:val="00DF6086"/>
    <w:rsid w:val="00DF6ED1"/>
    <w:rsid w:val="00E00CCB"/>
    <w:rsid w:val="00E0330E"/>
    <w:rsid w:val="00E063B7"/>
    <w:rsid w:val="00E07175"/>
    <w:rsid w:val="00E103B9"/>
    <w:rsid w:val="00E103FE"/>
    <w:rsid w:val="00E1114F"/>
    <w:rsid w:val="00E13061"/>
    <w:rsid w:val="00E138ED"/>
    <w:rsid w:val="00E13A0B"/>
    <w:rsid w:val="00E164DD"/>
    <w:rsid w:val="00E16EDD"/>
    <w:rsid w:val="00E20BF9"/>
    <w:rsid w:val="00E21D85"/>
    <w:rsid w:val="00E21F34"/>
    <w:rsid w:val="00E2204F"/>
    <w:rsid w:val="00E22DB6"/>
    <w:rsid w:val="00E23582"/>
    <w:rsid w:val="00E248F3"/>
    <w:rsid w:val="00E30454"/>
    <w:rsid w:val="00E3110B"/>
    <w:rsid w:val="00E33501"/>
    <w:rsid w:val="00E33797"/>
    <w:rsid w:val="00E33D2A"/>
    <w:rsid w:val="00E33F78"/>
    <w:rsid w:val="00E36B06"/>
    <w:rsid w:val="00E3709D"/>
    <w:rsid w:val="00E37FC5"/>
    <w:rsid w:val="00E41C3C"/>
    <w:rsid w:val="00E4719A"/>
    <w:rsid w:val="00E508B9"/>
    <w:rsid w:val="00E50A24"/>
    <w:rsid w:val="00E555DB"/>
    <w:rsid w:val="00E56815"/>
    <w:rsid w:val="00E5734A"/>
    <w:rsid w:val="00E614C0"/>
    <w:rsid w:val="00E622C3"/>
    <w:rsid w:val="00E67829"/>
    <w:rsid w:val="00E827D5"/>
    <w:rsid w:val="00E847DC"/>
    <w:rsid w:val="00E853B4"/>
    <w:rsid w:val="00E85DD6"/>
    <w:rsid w:val="00E86142"/>
    <w:rsid w:val="00E86A95"/>
    <w:rsid w:val="00E915FB"/>
    <w:rsid w:val="00E9304B"/>
    <w:rsid w:val="00E95314"/>
    <w:rsid w:val="00E95983"/>
    <w:rsid w:val="00E96B5D"/>
    <w:rsid w:val="00EA18F0"/>
    <w:rsid w:val="00EA24E7"/>
    <w:rsid w:val="00EA2AC6"/>
    <w:rsid w:val="00EA3371"/>
    <w:rsid w:val="00EA44D8"/>
    <w:rsid w:val="00EA478E"/>
    <w:rsid w:val="00EA76DB"/>
    <w:rsid w:val="00EA7C4B"/>
    <w:rsid w:val="00EB21CA"/>
    <w:rsid w:val="00EB3E75"/>
    <w:rsid w:val="00EB4F6B"/>
    <w:rsid w:val="00EB52B3"/>
    <w:rsid w:val="00EB70F0"/>
    <w:rsid w:val="00EC0258"/>
    <w:rsid w:val="00EC0C55"/>
    <w:rsid w:val="00EC4546"/>
    <w:rsid w:val="00EC53F7"/>
    <w:rsid w:val="00ED285B"/>
    <w:rsid w:val="00ED366C"/>
    <w:rsid w:val="00ED4474"/>
    <w:rsid w:val="00ED4DBC"/>
    <w:rsid w:val="00ED539A"/>
    <w:rsid w:val="00ED7EE6"/>
    <w:rsid w:val="00EE2232"/>
    <w:rsid w:val="00EE3E53"/>
    <w:rsid w:val="00EE4B12"/>
    <w:rsid w:val="00EE73F5"/>
    <w:rsid w:val="00EF24BD"/>
    <w:rsid w:val="00EF52C2"/>
    <w:rsid w:val="00EF562D"/>
    <w:rsid w:val="00EF5839"/>
    <w:rsid w:val="00EF7DB3"/>
    <w:rsid w:val="00F024C5"/>
    <w:rsid w:val="00F050B6"/>
    <w:rsid w:val="00F11765"/>
    <w:rsid w:val="00F1192B"/>
    <w:rsid w:val="00F12077"/>
    <w:rsid w:val="00F13557"/>
    <w:rsid w:val="00F13B9F"/>
    <w:rsid w:val="00F13DA8"/>
    <w:rsid w:val="00F21988"/>
    <w:rsid w:val="00F2419E"/>
    <w:rsid w:val="00F249D3"/>
    <w:rsid w:val="00F2637B"/>
    <w:rsid w:val="00F27C95"/>
    <w:rsid w:val="00F307C3"/>
    <w:rsid w:val="00F316C8"/>
    <w:rsid w:val="00F318EC"/>
    <w:rsid w:val="00F32572"/>
    <w:rsid w:val="00F33898"/>
    <w:rsid w:val="00F36B8B"/>
    <w:rsid w:val="00F36BFD"/>
    <w:rsid w:val="00F41EED"/>
    <w:rsid w:val="00F4432A"/>
    <w:rsid w:val="00F4574B"/>
    <w:rsid w:val="00F466CE"/>
    <w:rsid w:val="00F476FA"/>
    <w:rsid w:val="00F47D45"/>
    <w:rsid w:val="00F47D81"/>
    <w:rsid w:val="00F47ED6"/>
    <w:rsid w:val="00F5036F"/>
    <w:rsid w:val="00F5046D"/>
    <w:rsid w:val="00F51A65"/>
    <w:rsid w:val="00F51D43"/>
    <w:rsid w:val="00F53A44"/>
    <w:rsid w:val="00F55789"/>
    <w:rsid w:val="00F619BA"/>
    <w:rsid w:val="00F61B37"/>
    <w:rsid w:val="00F64D0F"/>
    <w:rsid w:val="00F66272"/>
    <w:rsid w:val="00F671FF"/>
    <w:rsid w:val="00F721AF"/>
    <w:rsid w:val="00F74013"/>
    <w:rsid w:val="00F801AD"/>
    <w:rsid w:val="00F8071B"/>
    <w:rsid w:val="00F827F5"/>
    <w:rsid w:val="00F85D41"/>
    <w:rsid w:val="00F86CDB"/>
    <w:rsid w:val="00F91044"/>
    <w:rsid w:val="00F91BED"/>
    <w:rsid w:val="00F94E03"/>
    <w:rsid w:val="00F96472"/>
    <w:rsid w:val="00F97C6C"/>
    <w:rsid w:val="00FA27B6"/>
    <w:rsid w:val="00FA53E7"/>
    <w:rsid w:val="00FB0E5A"/>
    <w:rsid w:val="00FB0ECA"/>
    <w:rsid w:val="00FB1ADB"/>
    <w:rsid w:val="00FB1DC3"/>
    <w:rsid w:val="00FC4B65"/>
    <w:rsid w:val="00FC673B"/>
    <w:rsid w:val="00FC7253"/>
    <w:rsid w:val="00FD2C12"/>
    <w:rsid w:val="00FD3AD1"/>
    <w:rsid w:val="00FD4D09"/>
    <w:rsid w:val="00FD5D90"/>
    <w:rsid w:val="00FD6E05"/>
    <w:rsid w:val="00FD743B"/>
    <w:rsid w:val="00FE003C"/>
    <w:rsid w:val="00FE03CD"/>
    <w:rsid w:val="00FE435D"/>
    <w:rsid w:val="00FE65D2"/>
    <w:rsid w:val="00FE6DD1"/>
    <w:rsid w:val="00FE7472"/>
    <w:rsid w:val="00FE78DC"/>
    <w:rsid w:val="00FF1113"/>
    <w:rsid w:val="00FF3768"/>
    <w:rsid w:val="00FF5D87"/>
    <w:rsid w:val="00FF6050"/>
    <w:rsid w:val="00FF6CB8"/>
    <w:rsid w:val="00FF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2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qFormat="1"/>
    <w:lsdException w:name="caption" w:qFormat="1"/>
    <w:lsdException w:name="footnote reference" w:uiPriority="99" w:qFormat="1"/>
    <w:lsdException w:name="annotation reference" w:uiPriority="99" w:qFormat="1"/>
    <w:lsdException w:name="page number"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qFormat="1"/>
    <w:lsdException w:name="Normal (Web)" w:qFormat="1"/>
    <w:lsdException w:name="annotation subject"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qFormat="1"/>
    <w:lsdException w:name="TOC Heading" w:qFormat="1"/>
  </w:latentStyles>
  <w:style w:type="paragraph" w:default="1" w:styleId="a0">
    <w:name w:val="Normal"/>
    <w:qFormat/>
    <w:rsid w:val="00EF7DB3"/>
    <w:rPr>
      <w:sz w:val="24"/>
      <w:szCs w:val="24"/>
    </w:rPr>
  </w:style>
  <w:style w:type="paragraph" w:styleId="1">
    <w:name w:val="heading 1"/>
    <w:basedOn w:val="a0"/>
    <w:next w:val="a0"/>
    <w:link w:val="10"/>
    <w:uiPriority w:val="9"/>
    <w:qFormat/>
    <w:rsid w:val="00995E45"/>
    <w:pPr>
      <w:keepNext/>
      <w:spacing w:before="240" w:after="360"/>
      <w:outlineLvl w:val="0"/>
    </w:pPr>
    <w:rPr>
      <w:rFonts w:ascii="Arial" w:hAnsi="Arial"/>
      <w:b/>
      <w:kern w:val="28"/>
      <w:sz w:val="28"/>
      <w:szCs w:val="20"/>
    </w:rPr>
  </w:style>
  <w:style w:type="paragraph" w:styleId="20">
    <w:name w:val="heading 2"/>
    <w:basedOn w:val="a0"/>
    <w:next w:val="a0"/>
    <w:link w:val="21"/>
    <w:uiPriority w:val="9"/>
    <w:qFormat/>
    <w:rsid w:val="00995E45"/>
    <w:pPr>
      <w:keepNext/>
      <w:spacing w:before="240" w:after="60"/>
      <w:outlineLvl w:val="1"/>
    </w:pPr>
    <w:rPr>
      <w:rFonts w:ascii="Arial" w:hAnsi="Arial"/>
      <w:b/>
      <w:szCs w:val="20"/>
    </w:rPr>
  </w:style>
  <w:style w:type="paragraph" w:styleId="30">
    <w:name w:val="heading 3"/>
    <w:basedOn w:val="a0"/>
    <w:next w:val="a0"/>
    <w:link w:val="31"/>
    <w:uiPriority w:val="9"/>
    <w:qFormat/>
    <w:rsid w:val="00995E45"/>
    <w:pPr>
      <w:keepNext/>
      <w:spacing w:before="60" w:after="60"/>
      <w:ind w:left="680"/>
      <w:outlineLvl w:val="2"/>
    </w:pPr>
    <w:rPr>
      <w:rFonts w:ascii="Arial" w:hAnsi="Arial"/>
      <w:i/>
      <w:szCs w:val="20"/>
    </w:rPr>
  </w:style>
  <w:style w:type="paragraph" w:styleId="4">
    <w:name w:val="heading 4"/>
    <w:basedOn w:val="a0"/>
    <w:next w:val="a0"/>
    <w:link w:val="40"/>
    <w:uiPriority w:val="9"/>
    <w:qFormat/>
    <w:rsid w:val="00995E45"/>
    <w:pPr>
      <w:keepNext/>
      <w:spacing w:before="60"/>
      <w:ind w:left="680"/>
      <w:outlineLvl w:val="3"/>
    </w:pPr>
    <w:rPr>
      <w:b/>
      <w:bCs/>
      <w:szCs w:val="28"/>
    </w:rPr>
  </w:style>
  <w:style w:type="paragraph" w:styleId="5">
    <w:name w:val="heading 5"/>
    <w:basedOn w:val="a0"/>
    <w:next w:val="a0"/>
    <w:link w:val="50"/>
    <w:uiPriority w:val="9"/>
    <w:qFormat/>
    <w:rsid w:val="00995E45"/>
    <w:pPr>
      <w:numPr>
        <w:ilvl w:val="4"/>
        <w:numId w:val="4"/>
      </w:numPr>
      <w:spacing w:before="240" w:after="60"/>
      <w:jc w:val="both"/>
      <w:outlineLvl w:val="4"/>
    </w:pPr>
    <w:rPr>
      <w:sz w:val="22"/>
      <w:szCs w:val="20"/>
    </w:rPr>
  </w:style>
  <w:style w:type="paragraph" w:styleId="6">
    <w:name w:val="heading 6"/>
    <w:basedOn w:val="a0"/>
    <w:next w:val="a0"/>
    <w:link w:val="60"/>
    <w:uiPriority w:val="9"/>
    <w:qFormat/>
    <w:rsid w:val="00995E45"/>
    <w:pPr>
      <w:numPr>
        <w:ilvl w:val="5"/>
        <w:numId w:val="4"/>
      </w:numPr>
      <w:spacing w:before="240" w:after="60"/>
      <w:jc w:val="both"/>
      <w:outlineLvl w:val="5"/>
    </w:pPr>
    <w:rPr>
      <w:i/>
      <w:sz w:val="22"/>
      <w:szCs w:val="20"/>
    </w:rPr>
  </w:style>
  <w:style w:type="paragraph" w:styleId="7">
    <w:name w:val="heading 7"/>
    <w:basedOn w:val="a0"/>
    <w:next w:val="a0"/>
    <w:link w:val="70"/>
    <w:qFormat/>
    <w:rsid w:val="00995E45"/>
    <w:pPr>
      <w:numPr>
        <w:ilvl w:val="6"/>
        <w:numId w:val="4"/>
      </w:numPr>
      <w:spacing w:before="240" w:after="60"/>
      <w:jc w:val="both"/>
      <w:outlineLvl w:val="6"/>
    </w:pPr>
    <w:rPr>
      <w:rFonts w:ascii="Arial" w:hAnsi="Arial"/>
      <w:sz w:val="20"/>
      <w:szCs w:val="20"/>
    </w:rPr>
  </w:style>
  <w:style w:type="paragraph" w:styleId="8">
    <w:name w:val="heading 8"/>
    <w:basedOn w:val="a0"/>
    <w:next w:val="a0"/>
    <w:link w:val="80"/>
    <w:qFormat/>
    <w:rsid w:val="00995E45"/>
    <w:pPr>
      <w:numPr>
        <w:ilvl w:val="7"/>
        <w:numId w:val="4"/>
      </w:numPr>
      <w:spacing w:before="240" w:after="60"/>
      <w:jc w:val="both"/>
      <w:outlineLvl w:val="7"/>
    </w:pPr>
    <w:rPr>
      <w:rFonts w:ascii="Arial" w:hAnsi="Arial"/>
      <w:i/>
      <w:sz w:val="20"/>
      <w:szCs w:val="20"/>
    </w:rPr>
  </w:style>
  <w:style w:type="paragraph" w:styleId="9">
    <w:name w:val="heading 9"/>
    <w:basedOn w:val="a0"/>
    <w:next w:val="a0"/>
    <w:link w:val="90"/>
    <w:qFormat/>
    <w:rsid w:val="00995E45"/>
    <w:pPr>
      <w:numPr>
        <w:ilvl w:val="8"/>
        <w:numId w:val="4"/>
      </w:numPr>
      <w:spacing w:before="240" w:after="60"/>
      <w:jc w:val="both"/>
      <w:outlineLvl w:val="8"/>
    </w:pPr>
    <w:rPr>
      <w:rFonts w:ascii="Arial"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0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qFormat/>
    <w:rsid w:val="001F3FAC"/>
    <w:rPr>
      <w:rFonts w:ascii="Tahoma" w:hAnsi="Tahoma" w:cs="Tahoma"/>
      <w:sz w:val="16"/>
      <w:szCs w:val="16"/>
    </w:rPr>
  </w:style>
  <w:style w:type="character" w:styleId="a7">
    <w:name w:val="Hyperlink"/>
    <w:basedOn w:val="a1"/>
    <w:uiPriority w:val="99"/>
    <w:unhideWhenUsed/>
    <w:rsid w:val="000919A8"/>
    <w:rPr>
      <w:color w:val="0000FF" w:themeColor="hyperlink"/>
      <w:u w:val="single"/>
    </w:rPr>
  </w:style>
  <w:style w:type="character" w:customStyle="1" w:styleId="10">
    <w:name w:val="Заголовок 1 Знак"/>
    <w:basedOn w:val="a1"/>
    <w:link w:val="1"/>
    <w:qFormat/>
    <w:rsid w:val="00995E45"/>
    <w:rPr>
      <w:rFonts w:ascii="Arial" w:hAnsi="Arial"/>
      <w:b/>
      <w:kern w:val="28"/>
      <w:sz w:val="28"/>
    </w:rPr>
  </w:style>
  <w:style w:type="character" w:customStyle="1" w:styleId="21">
    <w:name w:val="Заголовок 2 Знак"/>
    <w:basedOn w:val="a1"/>
    <w:link w:val="20"/>
    <w:qFormat/>
    <w:rsid w:val="00995E45"/>
    <w:rPr>
      <w:rFonts w:ascii="Arial" w:hAnsi="Arial"/>
      <w:b/>
      <w:sz w:val="24"/>
    </w:rPr>
  </w:style>
  <w:style w:type="character" w:customStyle="1" w:styleId="31">
    <w:name w:val="Заголовок 3 Знак"/>
    <w:basedOn w:val="a1"/>
    <w:link w:val="30"/>
    <w:qFormat/>
    <w:rsid w:val="00995E45"/>
    <w:rPr>
      <w:rFonts w:ascii="Arial" w:hAnsi="Arial"/>
      <w:i/>
      <w:sz w:val="24"/>
    </w:rPr>
  </w:style>
  <w:style w:type="character" w:customStyle="1" w:styleId="40">
    <w:name w:val="Заголовок 4 Знак"/>
    <w:basedOn w:val="a1"/>
    <w:link w:val="4"/>
    <w:qFormat/>
    <w:rsid w:val="00995E45"/>
    <w:rPr>
      <w:b/>
      <w:bCs/>
      <w:sz w:val="24"/>
      <w:szCs w:val="28"/>
    </w:rPr>
  </w:style>
  <w:style w:type="character" w:customStyle="1" w:styleId="50">
    <w:name w:val="Заголовок 5 Знак"/>
    <w:basedOn w:val="a1"/>
    <w:link w:val="5"/>
    <w:qFormat/>
    <w:rsid w:val="00995E45"/>
    <w:rPr>
      <w:sz w:val="22"/>
    </w:rPr>
  </w:style>
  <w:style w:type="character" w:customStyle="1" w:styleId="60">
    <w:name w:val="Заголовок 6 Знак"/>
    <w:basedOn w:val="a1"/>
    <w:link w:val="6"/>
    <w:qFormat/>
    <w:rsid w:val="00995E45"/>
    <w:rPr>
      <w:i/>
      <w:sz w:val="22"/>
    </w:rPr>
  </w:style>
  <w:style w:type="character" w:customStyle="1" w:styleId="70">
    <w:name w:val="Заголовок 7 Знак"/>
    <w:basedOn w:val="a1"/>
    <w:link w:val="7"/>
    <w:qFormat/>
    <w:rsid w:val="00995E45"/>
    <w:rPr>
      <w:rFonts w:ascii="Arial" w:hAnsi="Arial"/>
    </w:rPr>
  </w:style>
  <w:style w:type="character" w:customStyle="1" w:styleId="80">
    <w:name w:val="Заголовок 8 Знак"/>
    <w:basedOn w:val="a1"/>
    <w:link w:val="8"/>
    <w:qFormat/>
    <w:rsid w:val="00995E45"/>
    <w:rPr>
      <w:rFonts w:ascii="Arial" w:hAnsi="Arial"/>
      <w:i/>
    </w:rPr>
  </w:style>
  <w:style w:type="character" w:customStyle="1" w:styleId="90">
    <w:name w:val="Заголовок 9 Знак"/>
    <w:basedOn w:val="a1"/>
    <w:link w:val="9"/>
    <w:qFormat/>
    <w:rsid w:val="00995E45"/>
    <w:rPr>
      <w:rFonts w:ascii="Arial" w:hAnsi="Arial"/>
      <w:i/>
      <w:sz w:val="18"/>
    </w:rPr>
  </w:style>
  <w:style w:type="paragraph" w:styleId="a8">
    <w:name w:val="footnote text"/>
    <w:aliases w:val="Table_Footnote_last,Текст сноски-FN,Oaeno niinee-FN,Oaeno niinee Ciae,Footnote Text Char Знак Знак,Footnote Text Char Знак,single space,footnote text,Schriftart: 9 pt,Schriftart: 10 pt,Schriftart: 8 pt,Footnote Text Char,f,FOOTNOTE,FOOTNOT"/>
    <w:basedOn w:val="a0"/>
    <w:link w:val="a9"/>
    <w:uiPriority w:val="99"/>
    <w:qFormat/>
    <w:rsid w:val="00995E45"/>
    <w:pPr>
      <w:jc w:val="both"/>
    </w:pPr>
    <w:rPr>
      <w:sz w:val="20"/>
      <w:szCs w:val="20"/>
    </w:rPr>
  </w:style>
  <w:style w:type="character" w:customStyle="1" w:styleId="a9">
    <w:name w:val="Текст сноски Знак"/>
    <w:aliases w:val="Table_Footnote_last Знак1,Текст сноски-FN Знак1,Oaeno niinee-FN Знак1,Oaeno niinee Ciae Знак1,Footnote Text Char Знак Знак Знак1,Footnote Text Char Знак Знак2,single space Знак1,footnote text Знак1,Schriftart: 9 pt Знак,f Знак1"/>
    <w:basedOn w:val="a1"/>
    <w:link w:val="a8"/>
    <w:uiPriority w:val="99"/>
    <w:qFormat/>
    <w:rsid w:val="00995E45"/>
  </w:style>
  <w:style w:type="character" w:styleId="aa">
    <w:name w:val="footnote reference"/>
    <w:aliases w:val="Знак сноски-FN,Ciae niinee-FN,Знак сноски 1,SUPERS,Footnote Reference Number,fr,Used by Word for Help footnote symbols,Referencia nota al pie,16 Point,Superscript 6 Point,Footnote Reference_LVL6,Footnote Reference_LVL61,Ciae niinee 1,Ref,ОР"/>
    <w:basedOn w:val="a1"/>
    <w:uiPriority w:val="99"/>
    <w:qFormat/>
    <w:rsid w:val="00995E45"/>
    <w:rPr>
      <w:vertAlign w:val="superscript"/>
    </w:rPr>
  </w:style>
  <w:style w:type="paragraph" w:styleId="ab">
    <w:name w:val="header"/>
    <w:basedOn w:val="a0"/>
    <w:link w:val="ac"/>
    <w:rsid w:val="00995E45"/>
    <w:pPr>
      <w:tabs>
        <w:tab w:val="center" w:pos="4153"/>
        <w:tab w:val="right" w:pos="8306"/>
      </w:tabs>
      <w:jc w:val="both"/>
    </w:pPr>
    <w:rPr>
      <w:sz w:val="18"/>
      <w:szCs w:val="20"/>
    </w:rPr>
  </w:style>
  <w:style w:type="character" w:customStyle="1" w:styleId="ac">
    <w:name w:val="Верхний колонтитул Знак"/>
    <w:basedOn w:val="a1"/>
    <w:link w:val="ab"/>
    <w:qFormat/>
    <w:rsid w:val="00995E45"/>
    <w:rPr>
      <w:sz w:val="18"/>
    </w:rPr>
  </w:style>
  <w:style w:type="paragraph" w:styleId="a">
    <w:name w:val="List Bullet"/>
    <w:basedOn w:val="a0"/>
    <w:autoRedefine/>
    <w:qFormat/>
    <w:rsid w:val="00995E45"/>
    <w:pPr>
      <w:numPr>
        <w:numId w:val="1"/>
      </w:numPr>
      <w:spacing w:before="60"/>
      <w:jc w:val="both"/>
    </w:pPr>
    <w:rPr>
      <w:szCs w:val="20"/>
    </w:rPr>
  </w:style>
  <w:style w:type="paragraph" w:styleId="2">
    <w:name w:val="List Bullet 2"/>
    <w:basedOn w:val="a0"/>
    <w:autoRedefine/>
    <w:qFormat/>
    <w:rsid w:val="00995E45"/>
    <w:pPr>
      <w:numPr>
        <w:numId w:val="2"/>
      </w:numPr>
      <w:spacing w:before="60"/>
      <w:jc w:val="both"/>
    </w:pPr>
    <w:rPr>
      <w:szCs w:val="20"/>
    </w:rPr>
  </w:style>
  <w:style w:type="paragraph" w:styleId="3">
    <w:name w:val="List Bullet 3"/>
    <w:basedOn w:val="a0"/>
    <w:autoRedefine/>
    <w:qFormat/>
    <w:rsid w:val="00995E45"/>
    <w:pPr>
      <w:numPr>
        <w:numId w:val="3"/>
      </w:numPr>
      <w:spacing w:before="60"/>
      <w:jc w:val="both"/>
    </w:pPr>
    <w:rPr>
      <w:szCs w:val="20"/>
    </w:rPr>
  </w:style>
  <w:style w:type="character" w:styleId="ad">
    <w:name w:val="page number"/>
    <w:basedOn w:val="a1"/>
    <w:qFormat/>
    <w:rsid w:val="00995E45"/>
  </w:style>
  <w:style w:type="paragraph" w:customStyle="1" w:styleId="ae">
    <w:name w:val="Источник основной"/>
    <w:basedOn w:val="a0"/>
    <w:qFormat/>
    <w:rsid w:val="00995E45"/>
    <w:pPr>
      <w:keepLines/>
      <w:spacing w:before="60"/>
      <w:jc w:val="both"/>
    </w:pPr>
    <w:rPr>
      <w:sz w:val="18"/>
      <w:szCs w:val="20"/>
    </w:rPr>
  </w:style>
  <w:style w:type="paragraph" w:customStyle="1" w:styleId="af">
    <w:name w:val="Номер_ТАБ"/>
    <w:basedOn w:val="a0"/>
    <w:qFormat/>
    <w:rsid w:val="00995E45"/>
    <w:pPr>
      <w:keepNext/>
      <w:spacing w:before="120"/>
      <w:jc w:val="right"/>
    </w:pPr>
    <w:rPr>
      <w:i/>
      <w:szCs w:val="20"/>
    </w:rPr>
  </w:style>
  <w:style w:type="paragraph" w:customStyle="1" w:styleId="af0">
    <w:name w:val="Источник последний абзац"/>
    <w:basedOn w:val="ae"/>
    <w:qFormat/>
    <w:rsid w:val="00995E45"/>
    <w:pPr>
      <w:spacing w:after="120"/>
    </w:pPr>
  </w:style>
  <w:style w:type="paragraph" w:customStyle="1" w:styleId="af1">
    <w:name w:val="Объект (рисунок"/>
    <w:aliases w:val="график)"/>
    <w:basedOn w:val="a0"/>
    <w:qFormat/>
    <w:rsid w:val="00995E45"/>
    <w:pPr>
      <w:spacing w:before="60" w:after="120"/>
      <w:jc w:val="center"/>
    </w:pPr>
    <w:rPr>
      <w:szCs w:val="20"/>
    </w:rPr>
  </w:style>
  <w:style w:type="paragraph" w:customStyle="1" w:styleId="af2">
    <w:name w:val="#Таблица текст"/>
    <w:basedOn w:val="a0"/>
    <w:qFormat/>
    <w:rsid w:val="00995E45"/>
    <w:rPr>
      <w:sz w:val="20"/>
      <w:szCs w:val="20"/>
    </w:rPr>
  </w:style>
  <w:style w:type="paragraph" w:customStyle="1" w:styleId="af3">
    <w:name w:val="#Таблица цифры"/>
    <w:basedOn w:val="a0"/>
    <w:qFormat/>
    <w:rsid w:val="00995E45"/>
    <w:pPr>
      <w:jc w:val="center"/>
    </w:pPr>
    <w:rPr>
      <w:sz w:val="20"/>
      <w:szCs w:val="20"/>
    </w:rPr>
  </w:style>
  <w:style w:type="paragraph" w:customStyle="1" w:styleId="af4">
    <w:name w:val="#Таблица названия столбцов"/>
    <w:basedOn w:val="a0"/>
    <w:qFormat/>
    <w:rsid w:val="00995E45"/>
    <w:pPr>
      <w:jc w:val="center"/>
    </w:pPr>
    <w:rPr>
      <w:b/>
      <w:sz w:val="20"/>
      <w:szCs w:val="20"/>
    </w:rPr>
  </w:style>
  <w:style w:type="paragraph" w:styleId="af5">
    <w:name w:val="footer"/>
    <w:basedOn w:val="a0"/>
    <w:link w:val="af6"/>
    <w:rsid w:val="00995E45"/>
    <w:pPr>
      <w:tabs>
        <w:tab w:val="center" w:pos="4153"/>
        <w:tab w:val="right" w:pos="8306"/>
      </w:tabs>
      <w:spacing w:before="60"/>
      <w:ind w:firstLine="567"/>
      <w:jc w:val="both"/>
    </w:pPr>
    <w:rPr>
      <w:szCs w:val="20"/>
    </w:rPr>
  </w:style>
  <w:style w:type="character" w:customStyle="1" w:styleId="af6">
    <w:name w:val="Нижний колонтитул Знак"/>
    <w:basedOn w:val="a1"/>
    <w:link w:val="af5"/>
    <w:qFormat/>
    <w:rsid w:val="00995E45"/>
    <w:rPr>
      <w:sz w:val="24"/>
    </w:rPr>
  </w:style>
  <w:style w:type="paragraph" w:customStyle="1" w:styleId="af7">
    <w:name w:val="Заголовок_ТАБ"/>
    <w:basedOn w:val="a0"/>
    <w:link w:val="af8"/>
    <w:qFormat/>
    <w:rsid w:val="00995E45"/>
    <w:pPr>
      <w:spacing w:before="60" w:after="120"/>
      <w:jc w:val="center"/>
    </w:pPr>
    <w:rPr>
      <w:b/>
      <w:szCs w:val="20"/>
    </w:rPr>
  </w:style>
  <w:style w:type="paragraph" w:customStyle="1" w:styleId="af9">
    <w:name w:val="Заголовок_РИС"/>
    <w:basedOn w:val="a0"/>
    <w:qFormat/>
    <w:rsid w:val="00995E45"/>
    <w:pPr>
      <w:keepNext/>
      <w:spacing w:before="240" w:after="60"/>
      <w:jc w:val="center"/>
    </w:pPr>
    <w:rPr>
      <w:szCs w:val="20"/>
    </w:rPr>
  </w:style>
  <w:style w:type="character" w:customStyle="1" w:styleId="afa">
    <w:name w:val="Номер_РИС"/>
    <w:basedOn w:val="a1"/>
    <w:qFormat/>
    <w:rsid w:val="00995E45"/>
    <w:rPr>
      <w:i/>
      <w:sz w:val="24"/>
    </w:rPr>
  </w:style>
  <w:style w:type="paragraph" w:customStyle="1" w:styleId="afb">
    <w:name w:val="раздилитель сноски"/>
    <w:basedOn w:val="a0"/>
    <w:next w:val="a8"/>
    <w:qFormat/>
    <w:rsid w:val="00995E45"/>
    <w:pPr>
      <w:spacing w:before="60"/>
      <w:jc w:val="both"/>
    </w:pPr>
    <w:rPr>
      <w:szCs w:val="20"/>
      <w:lang w:val="en-US"/>
    </w:rPr>
  </w:style>
  <w:style w:type="paragraph" w:styleId="afc">
    <w:name w:val="List Paragraph"/>
    <w:aliases w:val="ПАРАГРАФ,Абзац списка11,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 для документа,Нумерация,lp1"/>
    <w:basedOn w:val="a0"/>
    <w:link w:val="afd"/>
    <w:qFormat/>
    <w:rsid w:val="00995E45"/>
    <w:pPr>
      <w:spacing w:before="60"/>
      <w:ind w:left="720" w:firstLine="567"/>
      <w:contextualSpacing/>
      <w:jc w:val="both"/>
    </w:pPr>
    <w:rPr>
      <w:szCs w:val="20"/>
    </w:rPr>
  </w:style>
  <w:style w:type="table" w:customStyle="1" w:styleId="11">
    <w:name w:val="Сетка таблицы1"/>
    <w:basedOn w:val="a2"/>
    <w:next w:val="a4"/>
    <w:uiPriority w:val="59"/>
    <w:rsid w:val="00995E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Заголовок_ТАБ Знак"/>
    <w:link w:val="af7"/>
    <w:qFormat/>
    <w:locked/>
    <w:rsid w:val="00995E45"/>
    <w:rPr>
      <w:b/>
      <w:sz w:val="24"/>
    </w:rPr>
  </w:style>
  <w:style w:type="character" w:customStyle="1" w:styleId="afd">
    <w:name w:val="Абзац списка Знак"/>
    <w:aliases w:val="ПАРАГРАФ Знак,Абзац списка11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lp1 Знак"/>
    <w:link w:val="afc"/>
    <w:qFormat/>
    <w:locked/>
    <w:rsid w:val="00995E45"/>
    <w:rPr>
      <w:sz w:val="24"/>
    </w:rPr>
  </w:style>
  <w:style w:type="character" w:customStyle="1" w:styleId="paragraph">
    <w:name w:val="paragraph"/>
    <w:basedOn w:val="a1"/>
    <w:qFormat/>
    <w:rsid w:val="00995E45"/>
  </w:style>
  <w:style w:type="character" w:customStyle="1" w:styleId="12">
    <w:name w:val="Текст сноски Знак1"/>
    <w:aliases w:val="Текст сноски Знак Знак,Table_Footnote_last Знак,Текст сноски-FN Знак,Oaeno niinee-FN Знак,Oaeno niinee Ciae Знак,Footnote Text Char Знак Знак Знак,Footnote Text Char Знак Знак1,single space Знак,footnote text Знак,f Знак"/>
    <w:qFormat/>
    <w:locked/>
    <w:rsid w:val="00995E45"/>
    <w:rPr>
      <w:lang w:val="ru-RU" w:eastAsia="ru-RU" w:bidi="ar-SA"/>
    </w:rPr>
  </w:style>
  <w:style w:type="character" w:customStyle="1" w:styleId="a6">
    <w:name w:val="Текст выноски Знак"/>
    <w:basedOn w:val="a1"/>
    <w:link w:val="a5"/>
    <w:qFormat/>
    <w:rsid w:val="00995E45"/>
    <w:rPr>
      <w:rFonts w:ascii="Tahoma" w:hAnsi="Tahoma" w:cs="Tahoma"/>
      <w:sz w:val="16"/>
      <w:szCs w:val="16"/>
    </w:rPr>
  </w:style>
  <w:style w:type="paragraph" w:customStyle="1" w:styleId="Default">
    <w:name w:val="Default"/>
    <w:qFormat/>
    <w:rsid w:val="00995E45"/>
    <w:pPr>
      <w:autoSpaceDE w:val="0"/>
      <w:autoSpaceDN w:val="0"/>
      <w:adjustRightInd w:val="0"/>
    </w:pPr>
    <w:rPr>
      <w:rFonts w:eastAsia="Calibri"/>
      <w:color w:val="000000"/>
      <w:sz w:val="24"/>
      <w:szCs w:val="24"/>
      <w:lang w:eastAsia="en-US"/>
    </w:rPr>
  </w:style>
  <w:style w:type="paragraph" w:customStyle="1" w:styleId="13">
    <w:name w:val="Стиль1"/>
    <w:basedOn w:val="a0"/>
    <w:link w:val="14"/>
    <w:qFormat/>
    <w:rsid w:val="00995E45"/>
    <w:pPr>
      <w:tabs>
        <w:tab w:val="left" w:pos="993"/>
      </w:tabs>
      <w:ind w:firstLine="567"/>
      <w:jc w:val="center"/>
    </w:pPr>
    <w:rPr>
      <w:b/>
    </w:rPr>
  </w:style>
  <w:style w:type="character" w:styleId="afe">
    <w:name w:val="Emphasis"/>
    <w:basedOn w:val="a1"/>
    <w:qFormat/>
    <w:rsid w:val="00995E45"/>
    <w:rPr>
      <w:i/>
      <w:iCs/>
    </w:rPr>
  </w:style>
  <w:style w:type="character" w:customStyle="1" w:styleId="14">
    <w:name w:val="Стиль1 Знак"/>
    <w:basedOn w:val="a1"/>
    <w:link w:val="13"/>
    <w:qFormat/>
    <w:rsid w:val="00995E45"/>
    <w:rPr>
      <w:b/>
      <w:sz w:val="24"/>
      <w:szCs w:val="24"/>
    </w:rPr>
  </w:style>
  <w:style w:type="paragraph" w:styleId="aff">
    <w:name w:val="No Spacing"/>
    <w:qFormat/>
    <w:rsid w:val="00995E45"/>
    <w:pPr>
      <w:ind w:firstLine="567"/>
      <w:jc w:val="both"/>
    </w:pPr>
    <w:rPr>
      <w:sz w:val="24"/>
    </w:rPr>
  </w:style>
  <w:style w:type="paragraph" w:styleId="aff0">
    <w:name w:val="TOC Heading"/>
    <w:basedOn w:val="1"/>
    <w:next w:val="a0"/>
    <w:unhideWhenUsed/>
    <w:qFormat/>
    <w:rsid w:val="00995E45"/>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5">
    <w:name w:val="toc 1"/>
    <w:basedOn w:val="a0"/>
    <w:next w:val="a0"/>
    <w:autoRedefine/>
    <w:uiPriority w:val="39"/>
    <w:unhideWhenUsed/>
    <w:rsid w:val="00A33B9C"/>
    <w:pPr>
      <w:tabs>
        <w:tab w:val="left" w:pos="567"/>
        <w:tab w:val="left" w:pos="1120"/>
        <w:tab w:val="right" w:leader="dot" w:pos="9061"/>
      </w:tabs>
      <w:spacing w:before="60" w:after="100"/>
      <w:jc w:val="both"/>
    </w:pPr>
    <w:rPr>
      <w:szCs w:val="20"/>
    </w:rPr>
  </w:style>
  <w:style w:type="paragraph" w:styleId="32">
    <w:name w:val="toc 3"/>
    <w:basedOn w:val="a0"/>
    <w:next w:val="a0"/>
    <w:autoRedefine/>
    <w:uiPriority w:val="39"/>
    <w:unhideWhenUsed/>
    <w:rsid w:val="007931B0"/>
    <w:pPr>
      <w:tabs>
        <w:tab w:val="right" w:leader="dot" w:pos="9061"/>
      </w:tabs>
      <w:spacing w:before="60" w:after="100"/>
      <w:ind w:left="851"/>
      <w:jc w:val="both"/>
    </w:pPr>
    <w:rPr>
      <w:szCs w:val="20"/>
    </w:rPr>
  </w:style>
  <w:style w:type="paragraph" w:styleId="22">
    <w:name w:val="toc 2"/>
    <w:basedOn w:val="a0"/>
    <w:next w:val="a0"/>
    <w:autoRedefine/>
    <w:uiPriority w:val="39"/>
    <w:unhideWhenUsed/>
    <w:rsid w:val="00E95314"/>
    <w:pPr>
      <w:tabs>
        <w:tab w:val="right" w:leader="dot" w:pos="9061"/>
      </w:tabs>
      <w:spacing w:after="120"/>
      <w:ind w:left="567"/>
      <w:jc w:val="both"/>
    </w:pPr>
    <w:rPr>
      <w:szCs w:val="20"/>
    </w:rPr>
  </w:style>
  <w:style w:type="character" w:styleId="aff1">
    <w:name w:val="annotation reference"/>
    <w:basedOn w:val="a1"/>
    <w:uiPriority w:val="99"/>
    <w:unhideWhenUsed/>
    <w:qFormat/>
    <w:rsid w:val="00995E45"/>
    <w:rPr>
      <w:sz w:val="16"/>
      <w:szCs w:val="16"/>
    </w:rPr>
  </w:style>
  <w:style w:type="paragraph" w:styleId="aff2">
    <w:name w:val="annotation text"/>
    <w:basedOn w:val="a0"/>
    <w:link w:val="aff3"/>
    <w:unhideWhenUsed/>
    <w:qFormat/>
    <w:rsid w:val="00995E45"/>
    <w:pPr>
      <w:spacing w:before="60"/>
      <w:ind w:firstLine="567"/>
      <w:jc w:val="both"/>
    </w:pPr>
    <w:rPr>
      <w:sz w:val="20"/>
      <w:szCs w:val="20"/>
    </w:rPr>
  </w:style>
  <w:style w:type="character" w:customStyle="1" w:styleId="aff3">
    <w:name w:val="Текст примечания Знак"/>
    <w:basedOn w:val="a1"/>
    <w:link w:val="aff2"/>
    <w:qFormat/>
    <w:rsid w:val="00995E45"/>
  </w:style>
  <w:style w:type="paragraph" w:styleId="aff4">
    <w:name w:val="Revision"/>
    <w:hidden/>
    <w:qFormat/>
    <w:rsid w:val="00995E45"/>
    <w:rPr>
      <w:sz w:val="24"/>
    </w:rPr>
  </w:style>
  <w:style w:type="paragraph" w:styleId="aff5">
    <w:name w:val="annotation subject"/>
    <w:basedOn w:val="aff2"/>
    <w:next w:val="aff2"/>
    <w:link w:val="aff6"/>
    <w:unhideWhenUsed/>
    <w:qFormat/>
    <w:rsid w:val="00995E45"/>
    <w:rPr>
      <w:b/>
      <w:bCs/>
    </w:rPr>
  </w:style>
  <w:style w:type="character" w:customStyle="1" w:styleId="aff6">
    <w:name w:val="Тема примечания Знак"/>
    <w:basedOn w:val="aff3"/>
    <w:link w:val="aff5"/>
    <w:qFormat/>
    <w:rsid w:val="00995E45"/>
    <w:rPr>
      <w:b/>
      <w:bCs/>
    </w:rPr>
  </w:style>
  <w:style w:type="paragraph" w:customStyle="1" w:styleId="aff7">
    <w:name w:val="Заголовок раздела отчета о НИР"/>
    <w:basedOn w:val="a0"/>
    <w:qFormat/>
    <w:rsid w:val="003B266B"/>
    <w:pPr>
      <w:spacing w:before="480" w:after="360" w:line="360" w:lineRule="auto"/>
      <w:jc w:val="center"/>
    </w:pPr>
    <w:rPr>
      <w:b/>
      <w:bCs/>
      <w:spacing w:val="40"/>
      <w:sz w:val="26"/>
    </w:rPr>
  </w:style>
  <w:style w:type="paragraph" w:styleId="aff8">
    <w:name w:val="caption"/>
    <w:basedOn w:val="a0"/>
    <w:next w:val="a0"/>
    <w:qFormat/>
    <w:rsid w:val="00916621"/>
    <w:pPr>
      <w:spacing w:before="120"/>
      <w:jc w:val="right"/>
    </w:pPr>
    <w:rPr>
      <w:bCs/>
      <w:i/>
      <w:szCs w:val="20"/>
    </w:rPr>
  </w:style>
  <w:style w:type="paragraph" w:customStyle="1" w:styleId="NormalANX">
    <w:name w:val="NormalANX"/>
    <w:basedOn w:val="a0"/>
    <w:qFormat/>
    <w:rsid w:val="008742A2"/>
    <w:pPr>
      <w:spacing w:before="240" w:after="240" w:line="360" w:lineRule="auto"/>
      <w:ind w:firstLine="720"/>
      <w:jc w:val="both"/>
    </w:pPr>
    <w:rPr>
      <w:sz w:val="28"/>
      <w:szCs w:val="20"/>
    </w:rPr>
  </w:style>
  <w:style w:type="paragraph" w:customStyle="1" w:styleId="ConsPlusNormal">
    <w:name w:val="ConsPlusNormal"/>
    <w:qFormat/>
    <w:rsid w:val="008742A2"/>
    <w:pPr>
      <w:ind w:firstLine="720"/>
    </w:pPr>
    <w:rPr>
      <w:rFonts w:ascii="Arial" w:hAnsi="Arial"/>
      <w:snapToGrid w:val="0"/>
    </w:rPr>
  </w:style>
  <w:style w:type="character" w:styleId="aff9">
    <w:name w:val="FollowedHyperlink"/>
    <w:basedOn w:val="a1"/>
    <w:uiPriority w:val="99"/>
    <w:semiHidden/>
    <w:unhideWhenUsed/>
    <w:rsid w:val="008742A2"/>
    <w:rPr>
      <w:color w:val="800080"/>
      <w:u w:val="single"/>
    </w:rPr>
  </w:style>
  <w:style w:type="paragraph" w:customStyle="1" w:styleId="xl63">
    <w:name w:val="xl63"/>
    <w:basedOn w:val="a0"/>
    <w:qFormat/>
    <w:rsid w:val="008742A2"/>
    <w:pPr>
      <w:spacing w:before="100" w:beforeAutospacing="1" w:after="100" w:afterAutospacing="1"/>
    </w:pPr>
    <w:rPr>
      <w:sz w:val="16"/>
      <w:szCs w:val="16"/>
    </w:rPr>
  </w:style>
  <w:style w:type="paragraph" w:customStyle="1" w:styleId="xl64">
    <w:name w:val="xl64"/>
    <w:basedOn w:val="a0"/>
    <w:qFormat/>
    <w:rsid w:val="008742A2"/>
    <w:pPr>
      <w:spacing w:before="100" w:beforeAutospacing="1" w:after="100" w:afterAutospacing="1"/>
    </w:pPr>
    <w:rPr>
      <w:sz w:val="16"/>
      <w:szCs w:val="16"/>
    </w:rPr>
  </w:style>
  <w:style w:type="paragraph" w:customStyle="1" w:styleId="xl65">
    <w:name w:val="xl65"/>
    <w:basedOn w:val="a0"/>
    <w:qFormat/>
    <w:rsid w:val="008742A2"/>
    <w:pPr>
      <w:spacing w:before="100" w:beforeAutospacing="1" w:after="100" w:afterAutospacing="1"/>
    </w:pPr>
    <w:rPr>
      <w:sz w:val="16"/>
      <w:szCs w:val="16"/>
    </w:rPr>
  </w:style>
  <w:style w:type="paragraph" w:customStyle="1" w:styleId="xl66">
    <w:name w:val="xl66"/>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styleId="affa">
    <w:name w:val="Normal (Web)"/>
    <w:basedOn w:val="a0"/>
    <w:unhideWhenUsed/>
    <w:qFormat/>
    <w:rsid w:val="00555D9E"/>
    <w:pPr>
      <w:spacing w:before="100" w:beforeAutospacing="1" w:after="100" w:afterAutospacing="1"/>
    </w:pPr>
  </w:style>
  <w:style w:type="paragraph" w:styleId="affb">
    <w:name w:val="Bibliography"/>
    <w:basedOn w:val="a0"/>
    <w:next w:val="a0"/>
    <w:unhideWhenUsed/>
    <w:qFormat/>
    <w:rsid w:val="00A43468"/>
  </w:style>
  <w:style w:type="character" w:customStyle="1" w:styleId="16">
    <w:name w:val="Неразрешенное упоминание1"/>
    <w:basedOn w:val="a1"/>
    <w:unhideWhenUsed/>
    <w:qFormat/>
    <w:rsid w:val="00F11765"/>
    <w:rPr>
      <w:color w:val="605E5C"/>
      <w:shd w:val="clear" w:color="auto" w:fill="E1DFDD"/>
    </w:rPr>
  </w:style>
  <w:style w:type="character" w:customStyle="1" w:styleId="st">
    <w:name w:val="st"/>
    <w:basedOn w:val="a1"/>
    <w:qFormat/>
    <w:rsid w:val="0037740D"/>
  </w:style>
  <w:style w:type="paragraph" w:customStyle="1" w:styleId="affc">
    <w:name w:val="Текст обычный"/>
    <w:basedOn w:val="a0"/>
    <w:link w:val="affd"/>
    <w:qFormat/>
    <w:rsid w:val="00310C50"/>
    <w:pPr>
      <w:spacing w:line="360" w:lineRule="auto"/>
      <w:ind w:firstLine="567"/>
      <w:jc w:val="both"/>
    </w:pPr>
    <w:rPr>
      <w:rFonts w:eastAsiaTheme="minorHAnsi"/>
      <w:lang w:eastAsia="en-US"/>
    </w:rPr>
  </w:style>
  <w:style w:type="character" w:customStyle="1" w:styleId="affd">
    <w:name w:val="Текст обычный Знак"/>
    <w:basedOn w:val="a1"/>
    <w:link w:val="affc"/>
    <w:qFormat/>
    <w:rsid w:val="00310C50"/>
    <w:rPr>
      <w:rFonts w:eastAsiaTheme="minorHAnsi"/>
      <w:sz w:val="24"/>
      <w:szCs w:val="24"/>
      <w:lang w:eastAsia="en-US"/>
    </w:rPr>
  </w:style>
  <w:style w:type="table" w:customStyle="1" w:styleId="23">
    <w:name w:val="Сетка таблицы2"/>
    <w:basedOn w:val="a2"/>
    <w:next w:val="a4"/>
    <w:uiPriority w:val="39"/>
    <w:rsid w:val="0031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qFormat/>
    <w:rsid w:val="00310C50"/>
    <w:pPr>
      <w:spacing w:after="200" w:line="276" w:lineRule="auto"/>
      <w:ind w:firstLine="720"/>
      <w:jc w:val="both"/>
    </w:pPr>
    <w:rPr>
      <w:b/>
      <w:sz w:val="26"/>
      <w:szCs w:val="20"/>
    </w:rPr>
  </w:style>
  <w:style w:type="character" w:customStyle="1" w:styleId="25">
    <w:name w:val="Основной текст с отступом 2 Знак"/>
    <w:basedOn w:val="a1"/>
    <w:link w:val="24"/>
    <w:qFormat/>
    <w:rsid w:val="00310C50"/>
    <w:rPr>
      <w:b/>
      <w:sz w:val="26"/>
    </w:rPr>
  </w:style>
  <w:style w:type="table" w:styleId="affe">
    <w:name w:val="Light Shading"/>
    <w:basedOn w:val="a2"/>
    <w:uiPriority w:val="60"/>
    <w:rsid w:val="00310C50"/>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afff">
    <w:name w:val="Document Map"/>
    <w:basedOn w:val="a0"/>
    <w:link w:val="afff0"/>
    <w:unhideWhenUsed/>
    <w:qFormat/>
    <w:rsid w:val="00B308CD"/>
    <w:pPr>
      <w:ind w:firstLine="709"/>
      <w:jc w:val="both"/>
    </w:pPr>
    <w:rPr>
      <w:rFonts w:ascii="Lucida Grande CY" w:eastAsia="Calibri" w:hAnsi="Lucida Grande CY" w:cs="Lucida Grande CY"/>
      <w:lang w:eastAsia="en-US"/>
    </w:rPr>
  </w:style>
  <w:style w:type="character" w:customStyle="1" w:styleId="afff0">
    <w:name w:val="Схема документа Знак"/>
    <w:basedOn w:val="a1"/>
    <w:link w:val="afff"/>
    <w:qFormat/>
    <w:rsid w:val="00B308CD"/>
    <w:rPr>
      <w:rFonts w:ascii="Lucida Grande CY" w:eastAsia="Calibri" w:hAnsi="Lucida Grande CY" w:cs="Lucida Grande CY"/>
      <w:sz w:val="24"/>
      <w:szCs w:val="24"/>
      <w:lang w:eastAsia="en-US"/>
    </w:rPr>
  </w:style>
  <w:style w:type="character" w:styleId="afff1">
    <w:name w:val="Intense Emphasis"/>
    <w:qFormat/>
    <w:rsid w:val="00B308CD"/>
    <w:rPr>
      <w:b/>
      <w:bCs/>
      <w:i/>
      <w:iCs/>
      <w:color w:val="4F81BD"/>
    </w:rPr>
  </w:style>
  <w:style w:type="paragraph" w:customStyle="1" w:styleId="afff2">
    <w:name w:val="Заголовок таблицы"/>
    <w:basedOn w:val="a0"/>
    <w:qFormat/>
    <w:rsid w:val="00B308CD"/>
    <w:pPr>
      <w:jc w:val="center"/>
    </w:pPr>
    <w:rPr>
      <w:rFonts w:eastAsia="Calibri"/>
      <w:lang w:eastAsia="en-US"/>
    </w:rPr>
  </w:style>
  <w:style w:type="paragraph" w:customStyle="1" w:styleId="afff3">
    <w:name w:val="Подпись к рисунку"/>
    <w:basedOn w:val="a0"/>
    <w:qFormat/>
    <w:rsid w:val="00B308CD"/>
    <w:pPr>
      <w:jc w:val="center"/>
    </w:pPr>
    <w:rPr>
      <w:rFonts w:eastAsia="Calibri"/>
      <w:lang w:eastAsia="en-US"/>
    </w:rPr>
  </w:style>
  <w:style w:type="paragraph" w:customStyle="1" w:styleId="afff4">
    <w:name w:val="Таблица"/>
    <w:basedOn w:val="a0"/>
    <w:autoRedefine/>
    <w:qFormat/>
    <w:rsid w:val="00B308CD"/>
    <w:rPr>
      <w:sz w:val="20"/>
      <w:szCs w:val="20"/>
      <w:lang w:eastAsia="en-US"/>
    </w:rPr>
  </w:style>
  <w:style w:type="paragraph" w:customStyle="1" w:styleId="afff5">
    <w:name w:val="Шапка таблицы"/>
    <w:basedOn w:val="afff4"/>
    <w:qFormat/>
    <w:rsid w:val="00B308CD"/>
    <w:pPr>
      <w:jc w:val="center"/>
    </w:pPr>
    <w:rPr>
      <w:b/>
      <w:bCs/>
    </w:rPr>
  </w:style>
  <w:style w:type="paragraph" w:customStyle="1" w:styleId="afff6">
    <w:name w:val="Элемент отчета"/>
    <w:basedOn w:val="1"/>
    <w:next w:val="a0"/>
    <w:link w:val="afff7"/>
    <w:qFormat/>
    <w:rsid w:val="00B308CD"/>
    <w:pPr>
      <w:keepNext w:val="0"/>
      <w:keepLines/>
      <w:pageBreakBefore/>
      <w:tabs>
        <w:tab w:val="left" w:pos="709"/>
      </w:tabs>
      <w:suppressAutoHyphens/>
      <w:spacing w:before="0" w:after="240"/>
      <w:jc w:val="center"/>
    </w:pPr>
    <w:rPr>
      <w:rFonts w:ascii="Times New Roman" w:eastAsia="Calibri" w:hAnsi="Times New Roman" w:cs="Arial"/>
      <w:b w:val="0"/>
      <w:caps/>
      <w:sz w:val="24"/>
      <w:szCs w:val="28"/>
      <w:lang w:eastAsia="ar-SA"/>
    </w:rPr>
  </w:style>
  <w:style w:type="character" w:customStyle="1" w:styleId="afff7">
    <w:name w:val="Элемент отчета Знак"/>
    <w:link w:val="afff6"/>
    <w:qFormat/>
    <w:rsid w:val="00B308CD"/>
    <w:rPr>
      <w:rFonts w:eastAsia="Calibri" w:cs="Arial"/>
      <w:caps/>
      <w:kern w:val="28"/>
      <w:sz w:val="24"/>
      <w:szCs w:val="28"/>
      <w:lang w:eastAsia="ar-SA"/>
    </w:rPr>
  </w:style>
  <w:style w:type="paragraph" w:styleId="41">
    <w:name w:val="toc 4"/>
    <w:basedOn w:val="a0"/>
    <w:next w:val="a0"/>
    <w:autoRedefine/>
    <w:unhideWhenUsed/>
    <w:rsid w:val="00B308CD"/>
    <w:pPr>
      <w:ind w:left="840" w:firstLine="709"/>
      <w:jc w:val="both"/>
    </w:pPr>
    <w:rPr>
      <w:rFonts w:eastAsia="Calibri"/>
      <w:lang w:eastAsia="en-US"/>
    </w:rPr>
  </w:style>
  <w:style w:type="paragraph" w:styleId="51">
    <w:name w:val="toc 5"/>
    <w:basedOn w:val="a0"/>
    <w:next w:val="a0"/>
    <w:autoRedefine/>
    <w:unhideWhenUsed/>
    <w:rsid w:val="00B308CD"/>
    <w:pPr>
      <w:ind w:left="1120" w:firstLine="709"/>
      <w:jc w:val="both"/>
    </w:pPr>
    <w:rPr>
      <w:rFonts w:eastAsia="Calibri"/>
      <w:lang w:eastAsia="en-US"/>
    </w:rPr>
  </w:style>
  <w:style w:type="paragraph" w:styleId="61">
    <w:name w:val="toc 6"/>
    <w:basedOn w:val="a0"/>
    <w:next w:val="a0"/>
    <w:autoRedefine/>
    <w:unhideWhenUsed/>
    <w:rsid w:val="00B308CD"/>
    <w:pPr>
      <w:ind w:left="1400" w:firstLine="709"/>
      <w:jc w:val="both"/>
    </w:pPr>
    <w:rPr>
      <w:rFonts w:eastAsia="Calibri"/>
      <w:lang w:eastAsia="en-US"/>
    </w:rPr>
  </w:style>
  <w:style w:type="paragraph" w:styleId="71">
    <w:name w:val="toc 7"/>
    <w:basedOn w:val="a0"/>
    <w:next w:val="a0"/>
    <w:autoRedefine/>
    <w:unhideWhenUsed/>
    <w:rsid w:val="00B308CD"/>
    <w:pPr>
      <w:ind w:left="1680" w:firstLine="709"/>
      <w:jc w:val="both"/>
    </w:pPr>
    <w:rPr>
      <w:rFonts w:eastAsia="Calibri"/>
      <w:lang w:eastAsia="en-US"/>
    </w:rPr>
  </w:style>
  <w:style w:type="paragraph" w:styleId="81">
    <w:name w:val="toc 8"/>
    <w:basedOn w:val="a0"/>
    <w:next w:val="a0"/>
    <w:autoRedefine/>
    <w:unhideWhenUsed/>
    <w:rsid w:val="00B308CD"/>
    <w:pPr>
      <w:ind w:left="1960" w:firstLine="709"/>
      <w:jc w:val="both"/>
    </w:pPr>
    <w:rPr>
      <w:rFonts w:eastAsia="Calibri"/>
      <w:lang w:eastAsia="en-US"/>
    </w:rPr>
  </w:style>
  <w:style w:type="paragraph" w:styleId="91">
    <w:name w:val="toc 9"/>
    <w:basedOn w:val="a0"/>
    <w:next w:val="a0"/>
    <w:autoRedefine/>
    <w:unhideWhenUsed/>
    <w:rsid w:val="00B308CD"/>
    <w:pPr>
      <w:ind w:left="2240" w:firstLine="709"/>
      <w:jc w:val="both"/>
    </w:pPr>
    <w:rPr>
      <w:rFonts w:eastAsia="Calibri"/>
      <w:lang w:eastAsia="en-US"/>
    </w:rPr>
  </w:style>
  <w:style w:type="paragraph" w:customStyle="1" w:styleId="ConsTitle">
    <w:name w:val="ConsTitle"/>
    <w:qFormat/>
    <w:rsid w:val="00B308CD"/>
    <w:pPr>
      <w:widowControl w:val="0"/>
    </w:pPr>
    <w:rPr>
      <w:rFonts w:ascii="Arial" w:hAnsi="Arial"/>
      <w:b/>
      <w:snapToGrid w:val="0"/>
      <w:sz w:val="16"/>
    </w:rPr>
  </w:style>
  <w:style w:type="paragraph" w:customStyle="1" w:styleId="ConsPlusTitle">
    <w:name w:val="ConsPlusTitle"/>
    <w:qFormat/>
    <w:rsid w:val="00B308CD"/>
    <w:pPr>
      <w:autoSpaceDE w:val="0"/>
      <w:autoSpaceDN w:val="0"/>
      <w:adjustRightInd w:val="0"/>
    </w:pPr>
    <w:rPr>
      <w:rFonts w:ascii="Arial" w:hAnsi="Arial" w:cs="Arial"/>
      <w:b/>
      <w:bCs/>
    </w:rPr>
  </w:style>
  <w:style w:type="paragraph" w:styleId="afff8">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0"/>
    <w:link w:val="afff9"/>
    <w:rsid w:val="00B308CD"/>
    <w:pPr>
      <w:spacing w:after="120"/>
      <w:ind w:left="283"/>
    </w:pPr>
  </w:style>
  <w:style w:type="character" w:customStyle="1" w:styleId="afff9">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fff8"/>
    <w:qFormat/>
    <w:rsid w:val="00B308CD"/>
    <w:rPr>
      <w:sz w:val="24"/>
      <w:szCs w:val="24"/>
    </w:rPr>
  </w:style>
  <w:style w:type="character" w:customStyle="1" w:styleId="np-text-lg">
    <w:name w:val="np-text-lg"/>
    <w:basedOn w:val="a1"/>
    <w:qFormat/>
    <w:rsid w:val="00B308CD"/>
  </w:style>
  <w:style w:type="table" w:customStyle="1" w:styleId="110">
    <w:name w:val="Сетка таблицы11"/>
    <w:basedOn w:val="a2"/>
    <w:next w:val="a4"/>
    <w:uiPriority w:val="59"/>
    <w:rsid w:val="006753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B94F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39"/>
    <w:rsid w:val="00B056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39"/>
    <w:rsid w:val="004455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1"/>
    <w:rsid w:val="001539F7"/>
    <w:rPr>
      <w:color w:val="0000FF"/>
      <w:u w:val="single"/>
    </w:rPr>
  </w:style>
  <w:style w:type="character" w:customStyle="1" w:styleId="afffa">
    <w:name w:val="Привязка сноски"/>
    <w:rsid w:val="001539F7"/>
    <w:rPr>
      <w:vertAlign w:val="superscript"/>
    </w:rPr>
  </w:style>
  <w:style w:type="character" w:customStyle="1" w:styleId="FootnoteCharacters">
    <w:name w:val="Footnote Characters"/>
    <w:basedOn w:val="a1"/>
    <w:qFormat/>
    <w:rsid w:val="001539F7"/>
    <w:rPr>
      <w:vertAlign w:val="superscript"/>
    </w:rPr>
  </w:style>
  <w:style w:type="character" w:customStyle="1" w:styleId="afffb">
    <w:name w:val="Посещённая гиперссылка"/>
    <w:basedOn w:val="a1"/>
    <w:rsid w:val="001539F7"/>
    <w:rPr>
      <w:color w:val="800080"/>
      <w:u w:val="single"/>
    </w:rPr>
  </w:style>
  <w:style w:type="character" w:customStyle="1" w:styleId="afffc">
    <w:name w:val="Ссылка указателя"/>
    <w:qFormat/>
    <w:rsid w:val="001539F7"/>
  </w:style>
  <w:style w:type="character" w:customStyle="1" w:styleId="afffd">
    <w:name w:val="Символ сноски"/>
    <w:qFormat/>
    <w:rsid w:val="001539F7"/>
  </w:style>
  <w:style w:type="character" w:customStyle="1" w:styleId="afffe">
    <w:name w:val="Привязка концевой сноски"/>
    <w:rsid w:val="001539F7"/>
    <w:rPr>
      <w:vertAlign w:val="superscript"/>
    </w:rPr>
  </w:style>
  <w:style w:type="character" w:customStyle="1" w:styleId="EndnoteCharacters">
    <w:name w:val="Endnote Characters"/>
    <w:qFormat/>
    <w:rsid w:val="001539F7"/>
    <w:rPr>
      <w:vertAlign w:val="superscript"/>
    </w:rPr>
  </w:style>
  <w:style w:type="character" w:customStyle="1" w:styleId="affff">
    <w:name w:val="Символ концевой сноски"/>
    <w:qFormat/>
    <w:rsid w:val="001539F7"/>
  </w:style>
  <w:style w:type="character" w:styleId="affff0">
    <w:name w:val="Strong"/>
    <w:qFormat/>
    <w:rsid w:val="001539F7"/>
    <w:rPr>
      <w:b/>
      <w:bCs/>
    </w:rPr>
  </w:style>
  <w:style w:type="character" w:customStyle="1" w:styleId="affff1">
    <w:name w:val="Маркеры"/>
    <w:qFormat/>
    <w:rsid w:val="001539F7"/>
    <w:rPr>
      <w:rFonts w:ascii="OpenSymbol" w:eastAsia="OpenSymbol" w:hAnsi="OpenSymbol" w:cs="OpenSymbol"/>
    </w:rPr>
  </w:style>
  <w:style w:type="paragraph" w:styleId="affff2">
    <w:name w:val="Title"/>
    <w:basedOn w:val="a0"/>
    <w:next w:val="affff3"/>
    <w:link w:val="affff4"/>
    <w:uiPriority w:val="10"/>
    <w:qFormat/>
    <w:rsid w:val="001539F7"/>
    <w:pPr>
      <w:keepNext/>
      <w:suppressAutoHyphens/>
      <w:spacing w:before="240" w:after="120"/>
      <w:ind w:firstLine="709"/>
      <w:jc w:val="both"/>
    </w:pPr>
    <w:rPr>
      <w:rFonts w:ascii="Liberation Sans" w:eastAsia="Microsoft YaHei" w:hAnsi="Liberation Sans" w:cs="Lucida Sans"/>
      <w:sz w:val="28"/>
      <w:szCs w:val="28"/>
    </w:rPr>
  </w:style>
  <w:style w:type="character" w:customStyle="1" w:styleId="affff4">
    <w:name w:val="Название Знак"/>
    <w:basedOn w:val="a1"/>
    <w:link w:val="affff2"/>
    <w:uiPriority w:val="10"/>
    <w:rsid w:val="001539F7"/>
    <w:rPr>
      <w:rFonts w:ascii="Liberation Sans" w:eastAsia="Microsoft YaHei" w:hAnsi="Liberation Sans" w:cs="Lucida Sans"/>
      <w:sz w:val="28"/>
      <w:szCs w:val="28"/>
    </w:rPr>
  </w:style>
  <w:style w:type="paragraph" w:styleId="affff3">
    <w:name w:val="Body Text"/>
    <w:basedOn w:val="a0"/>
    <w:link w:val="affff5"/>
    <w:rsid w:val="001539F7"/>
    <w:pPr>
      <w:suppressAutoHyphens/>
      <w:spacing w:after="140" w:line="276" w:lineRule="auto"/>
      <w:ind w:firstLine="709"/>
      <w:jc w:val="both"/>
    </w:pPr>
  </w:style>
  <w:style w:type="character" w:customStyle="1" w:styleId="affff5">
    <w:name w:val="Основной текст Знак"/>
    <w:basedOn w:val="a1"/>
    <w:link w:val="affff3"/>
    <w:rsid w:val="001539F7"/>
    <w:rPr>
      <w:sz w:val="24"/>
      <w:szCs w:val="24"/>
    </w:rPr>
  </w:style>
  <w:style w:type="paragraph" w:styleId="affff6">
    <w:name w:val="List"/>
    <w:basedOn w:val="affff3"/>
    <w:rsid w:val="001539F7"/>
    <w:rPr>
      <w:rFonts w:cs="Lucida Sans"/>
    </w:rPr>
  </w:style>
  <w:style w:type="paragraph" w:styleId="17">
    <w:name w:val="index 1"/>
    <w:basedOn w:val="a0"/>
    <w:next w:val="a0"/>
    <w:autoRedefine/>
    <w:semiHidden/>
    <w:unhideWhenUsed/>
    <w:rsid w:val="001539F7"/>
    <w:pPr>
      <w:ind w:left="240" w:hanging="240"/>
    </w:pPr>
  </w:style>
  <w:style w:type="paragraph" w:styleId="affff7">
    <w:name w:val="index heading"/>
    <w:basedOn w:val="affff2"/>
    <w:rsid w:val="001539F7"/>
  </w:style>
  <w:style w:type="paragraph" w:customStyle="1" w:styleId="affff8">
    <w:name w:val="Колонтитул"/>
    <w:basedOn w:val="a0"/>
    <w:qFormat/>
    <w:rsid w:val="001539F7"/>
    <w:pPr>
      <w:suppressAutoHyphens/>
      <w:spacing w:after="60"/>
      <w:ind w:firstLine="709"/>
      <w:jc w:val="both"/>
    </w:pPr>
  </w:style>
  <w:style w:type="paragraph" w:customStyle="1" w:styleId="affff9">
    <w:name w:val="Содержимое таблицы"/>
    <w:basedOn w:val="a0"/>
    <w:qFormat/>
    <w:rsid w:val="001539F7"/>
    <w:pPr>
      <w:suppressAutoHyphens/>
      <w:spacing w:after="60"/>
      <w:ind w:firstLine="709"/>
      <w:jc w:val="both"/>
    </w:pPr>
  </w:style>
  <w:style w:type="paragraph" w:customStyle="1" w:styleId="Style12">
    <w:name w:val="Style 12"/>
    <w:basedOn w:val="a0"/>
    <w:qFormat/>
    <w:rsid w:val="001539F7"/>
    <w:pPr>
      <w:widowControl w:val="0"/>
      <w:shd w:val="clear" w:color="auto" w:fill="FFFFFF"/>
      <w:suppressAutoHyphens/>
      <w:spacing w:before="1440" w:after="180" w:line="367" w:lineRule="exact"/>
      <w:ind w:hanging="360"/>
      <w:jc w:val="both"/>
    </w:pPr>
    <w:rPr>
      <w:sz w:val="26"/>
      <w:szCs w:val="26"/>
    </w:rPr>
  </w:style>
  <w:style w:type="paragraph" w:customStyle="1" w:styleId="18">
    <w:name w:val="Обычный (веб)1"/>
    <w:basedOn w:val="a0"/>
    <w:qFormat/>
    <w:rsid w:val="001539F7"/>
    <w:pPr>
      <w:suppressAutoHyphens/>
      <w:spacing w:before="280" w:after="280"/>
      <w:ind w:firstLine="709"/>
      <w:jc w:val="both"/>
    </w:pPr>
  </w:style>
  <w:style w:type="table" w:customStyle="1" w:styleId="52">
    <w:name w:val="Сетка таблицы5"/>
    <w:basedOn w:val="a2"/>
    <w:next w:val="a4"/>
    <w:uiPriority w:val="39"/>
    <w:rsid w:val="003A3EE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qFormat="1"/>
    <w:lsdException w:name="caption" w:qFormat="1"/>
    <w:lsdException w:name="footnote reference" w:uiPriority="99" w:qFormat="1"/>
    <w:lsdException w:name="annotation reference" w:uiPriority="99" w:qFormat="1"/>
    <w:lsdException w:name="page number"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qFormat="1"/>
    <w:lsdException w:name="Normal (Web)" w:qFormat="1"/>
    <w:lsdException w:name="annotation subject"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qFormat="1"/>
    <w:lsdException w:name="TOC Heading" w:qFormat="1"/>
  </w:latentStyles>
  <w:style w:type="paragraph" w:default="1" w:styleId="a0">
    <w:name w:val="Normal"/>
    <w:qFormat/>
    <w:rsid w:val="00EF7DB3"/>
    <w:rPr>
      <w:sz w:val="24"/>
      <w:szCs w:val="24"/>
    </w:rPr>
  </w:style>
  <w:style w:type="paragraph" w:styleId="1">
    <w:name w:val="heading 1"/>
    <w:basedOn w:val="a0"/>
    <w:next w:val="a0"/>
    <w:link w:val="10"/>
    <w:uiPriority w:val="9"/>
    <w:qFormat/>
    <w:rsid w:val="00995E45"/>
    <w:pPr>
      <w:keepNext/>
      <w:spacing w:before="240" w:after="360"/>
      <w:outlineLvl w:val="0"/>
    </w:pPr>
    <w:rPr>
      <w:rFonts w:ascii="Arial" w:hAnsi="Arial"/>
      <w:b/>
      <w:kern w:val="28"/>
      <w:sz w:val="28"/>
      <w:szCs w:val="20"/>
    </w:rPr>
  </w:style>
  <w:style w:type="paragraph" w:styleId="20">
    <w:name w:val="heading 2"/>
    <w:basedOn w:val="a0"/>
    <w:next w:val="a0"/>
    <w:link w:val="21"/>
    <w:uiPriority w:val="9"/>
    <w:qFormat/>
    <w:rsid w:val="00995E45"/>
    <w:pPr>
      <w:keepNext/>
      <w:spacing w:before="240" w:after="60"/>
      <w:outlineLvl w:val="1"/>
    </w:pPr>
    <w:rPr>
      <w:rFonts w:ascii="Arial" w:hAnsi="Arial"/>
      <w:b/>
      <w:szCs w:val="20"/>
    </w:rPr>
  </w:style>
  <w:style w:type="paragraph" w:styleId="30">
    <w:name w:val="heading 3"/>
    <w:basedOn w:val="a0"/>
    <w:next w:val="a0"/>
    <w:link w:val="31"/>
    <w:uiPriority w:val="9"/>
    <w:qFormat/>
    <w:rsid w:val="00995E45"/>
    <w:pPr>
      <w:keepNext/>
      <w:spacing w:before="60" w:after="60"/>
      <w:ind w:left="680"/>
      <w:outlineLvl w:val="2"/>
    </w:pPr>
    <w:rPr>
      <w:rFonts w:ascii="Arial" w:hAnsi="Arial"/>
      <w:i/>
      <w:szCs w:val="20"/>
    </w:rPr>
  </w:style>
  <w:style w:type="paragraph" w:styleId="4">
    <w:name w:val="heading 4"/>
    <w:basedOn w:val="a0"/>
    <w:next w:val="a0"/>
    <w:link w:val="40"/>
    <w:uiPriority w:val="9"/>
    <w:qFormat/>
    <w:rsid w:val="00995E45"/>
    <w:pPr>
      <w:keepNext/>
      <w:spacing w:before="60"/>
      <w:ind w:left="680"/>
      <w:outlineLvl w:val="3"/>
    </w:pPr>
    <w:rPr>
      <w:b/>
      <w:bCs/>
      <w:szCs w:val="28"/>
    </w:rPr>
  </w:style>
  <w:style w:type="paragraph" w:styleId="5">
    <w:name w:val="heading 5"/>
    <w:basedOn w:val="a0"/>
    <w:next w:val="a0"/>
    <w:link w:val="50"/>
    <w:uiPriority w:val="9"/>
    <w:qFormat/>
    <w:rsid w:val="00995E45"/>
    <w:pPr>
      <w:numPr>
        <w:ilvl w:val="4"/>
        <w:numId w:val="4"/>
      </w:numPr>
      <w:spacing w:before="240" w:after="60"/>
      <w:jc w:val="both"/>
      <w:outlineLvl w:val="4"/>
    </w:pPr>
    <w:rPr>
      <w:sz w:val="22"/>
      <w:szCs w:val="20"/>
    </w:rPr>
  </w:style>
  <w:style w:type="paragraph" w:styleId="6">
    <w:name w:val="heading 6"/>
    <w:basedOn w:val="a0"/>
    <w:next w:val="a0"/>
    <w:link w:val="60"/>
    <w:uiPriority w:val="9"/>
    <w:qFormat/>
    <w:rsid w:val="00995E45"/>
    <w:pPr>
      <w:numPr>
        <w:ilvl w:val="5"/>
        <w:numId w:val="4"/>
      </w:numPr>
      <w:spacing w:before="240" w:after="60"/>
      <w:jc w:val="both"/>
      <w:outlineLvl w:val="5"/>
    </w:pPr>
    <w:rPr>
      <w:i/>
      <w:sz w:val="22"/>
      <w:szCs w:val="20"/>
    </w:rPr>
  </w:style>
  <w:style w:type="paragraph" w:styleId="7">
    <w:name w:val="heading 7"/>
    <w:basedOn w:val="a0"/>
    <w:next w:val="a0"/>
    <w:link w:val="70"/>
    <w:qFormat/>
    <w:rsid w:val="00995E45"/>
    <w:pPr>
      <w:numPr>
        <w:ilvl w:val="6"/>
        <w:numId w:val="4"/>
      </w:numPr>
      <w:spacing w:before="240" w:after="60"/>
      <w:jc w:val="both"/>
      <w:outlineLvl w:val="6"/>
    </w:pPr>
    <w:rPr>
      <w:rFonts w:ascii="Arial" w:hAnsi="Arial"/>
      <w:sz w:val="20"/>
      <w:szCs w:val="20"/>
    </w:rPr>
  </w:style>
  <w:style w:type="paragraph" w:styleId="8">
    <w:name w:val="heading 8"/>
    <w:basedOn w:val="a0"/>
    <w:next w:val="a0"/>
    <w:link w:val="80"/>
    <w:qFormat/>
    <w:rsid w:val="00995E45"/>
    <w:pPr>
      <w:numPr>
        <w:ilvl w:val="7"/>
        <w:numId w:val="4"/>
      </w:numPr>
      <w:spacing w:before="240" w:after="60"/>
      <w:jc w:val="both"/>
      <w:outlineLvl w:val="7"/>
    </w:pPr>
    <w:rPr>
      <w:rFonts w:ascii="Arial" w:hAnsi="Arial"/>
      <w:i/>
      <w:sz w:val="20"/>
      <w:szCs w:val="20"/>
    </w:rPr>
  </w:style>
  <w:style w:type="paragraph" w:styleId="9">
    <w:name w:val="heading 9"/>
    <w:basedOn w:val="a0"/>
    <w:next w:val="a0"/>
    <w:link w:val="90"/>
    <w:qFormat/>
    <w:rsid w:val="00995E45"/>
    <w:pPr>
      <w:numPr>
        <w:ilvl w:val="8"/>
        <w:numId w:val="4"/>
      </w:numPr>
      <w:spacing w:before="240" w:after="60"/>
      <w:jc w:val="both"/>
      <w:outlineLvl w:val="8"/>
    </w:pPr>
    <w:rPr>
      <w:rFonts w:ascii="Arial" w:hAnsi="Arial"/>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0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qFormat/>
    <w:rsid w:val="001F3FAC"/>
    <w:rPr>
      <w:rFonts w:ascii="Tahoma" w:hAnsi="Tahoma" w:cs="Tahoma"/>
      <w:sz w:val="16"/>
      <w:szCs w:val="16"/>
    </w:rPr>
  </w:style>
  <w:style w:type="character" w:styleId="a7">
    <w:name w:val="Hyperlink"/>
    <w:basedOn w:val="a1"/>
    <w:uiPriority w:val="99"/>
    <w:unhideWhenUsed/>
    <w:rsid w:val="000919A8"/>
    <w:rPr>
      <w:color w:val="0000FF" w:themeColor="hyperlink"/>
      <w:u w:val="single"/>
    </w:rPr>
  </w:style>
  <w:style w:type="character" w:customStyle="1" w:styleId="10">
    <w:name w:val="Заголовок 1 Знак"/>
    <w:basedOn w:val="a1"/>
    <w:link w:val="1"/>
    <w:qFormat/>
    <w:rsid w:val="00995E45"/>
    <w:rPr>
      <w:rFonts w:ascii="Arial" w:hAnsi="Arial"/>
      <w:b/>
      <w:kern w:val="28"/>
      <w:sz w:val="28"/>
    </w:rPr>
  </w:style>
  <w:style w:type="character" w:customStyle="1" w:styleId="21">
    <w:name w:val="Заголовок 2 Знак"/>
    <w:basedOn w:val="a1"/>
    <w:link w:val="20"/>
    <w:qFormat/>
    <w:rsid w:val="00995E45"/>
    <w:rPr>
      <w:rFonts w:ascii="Arial" w:hAnsi="Arial"/>
      <w:b/>
      <w:sz w:val="24"/>
    </w:rPr>
  </w:style>
  <w:style w:type="character" w:customStyle="1" w:styleId="31">
    <w:name w:val="Заголовок 3 Знак"/>
    <w:basedOn w:val="a1"/>
    <w:link w:val="30"/>
    <w:qFormat/>
    <w:rsid w:val="00995E45"/>
    <w:rPr>
      <w:rFonts w:ascii="Arial" w:hAnsi="Arial"/>
      <w:i/>
      <w:sz w:val="24"/>
    </w:rPr>
  </w:style>
  <w:style w:type="character" w:customStyle="1" w:styleId="40">
    <w:name w:val="Заголовок 4 Знак"/>
    <w:basedOn w:val="a1"/>
    <w:link w:val="4"/>
    <w:qFormat/>
    <w:rsid w:val="00995E45"/>
    <w:rPr>
      <w:b/>
      <w:bCs/>
      <w:sz w:val="24"/>
      <w:szCs w:val="28"/>
    </w:rPr>
  </w:style>
  <w:style w:type="character" w:customStyle="1" w:styleId="50">
    <w:name w:val="Заголовок 5 Знак"/>
    <w:basedOn w:val="a1"/>
    <w:link w:val="5"/>
    <w:qFormat/>
    <w:rsid w:val="00995E45"/>
    <w:rPr>
      <w:sz w:val="22"/>
    </w:rPr>
  </w:style>
  <w:style w:type="character" w:customStyle="1" w:styleId="60">
    <w:name w:val="Заголовок 6 Знак"/>
    <w:basedOn w:val="a1"/>
    <w:link w:val="6"/>
    <w:qFormat/>
    <w:rsid w:val="00995E45"/>
    <w:rPr>
      <w:i/>
      <w:sz w:val="22"/>
    </w:rPr>
  </w:style>
  <w:style w:type="character" w:customStyle="1" w:styleId="70">
    <w:name w:val="Заголовок 7 Знак"/>
    <w:basedOn w:val="a1"/>
    <w:link w:val="7"/>
    <w:qFormat/>
    <w:rsid w:val="00995E45"/>
    <w:rPr>
      <w:rFonts w:ascii="Arial" w:hAnsi="Arial"/>
    </w:rPr>
  </w:style>
  <w:style w:type="character" w:customStyle="1" w:styleId="80">
    <w:name w:val="Заголовок 8 Знак"/>
    <w:basedOn w:val="a1"/>
    <w:link w:val="8"/>
    <w:qFormat/>
    <w:rsid w:val="00995E45"/>
    <w:rPr>
      <w:rFonts w:ascii="Arial" w:hAnsi="Arial"/>
      <w:i/>
    </w:rPr>
  </w:style>
  <w:style w:type="character" w:customStyle="1" w:styleId="90">
    <w:name w:val="Заголовок 9 Знак"/>
    <w:basedOn w:val="a1"/>
    <w:link w:val="9"/>
    <w:qFormat/>
    <w:rsid w:val="00995E45"/>
    <w:rPr>
      <w:rFonts w:ascii="Arial" w:hAnsi="Arial"/>
      <w:i/>
      <w:sz w:val="18"/>
    </w:rPr>
  </w:style>
  <w:style w:type="paragraph" w:styleId="a8">
    <w:name w:val="footnote text"/>
    <w:aliases w:val="Table_Footnote_last,Текст сноски-FN,Oaeno niinee-FN,Oaeno niinee Ciae,Footnote Text Char Знак Знак,Footnote Text Char Знак,single space,footnote text,Schriftart: 9 pt,Schriftart: 10 pt,Schriftart: 8 pt,Footnote Text Char,f,FOOTNOTE,FOOTNOT"/>
    <w:basedOn w:val="a0"/>
    <w:link w:val="a9"/>
    <w:uiPriority w:val="99"/>
    <w:qFormat/>
    <w:rsid w:val="00995E45"/>
    <w:pPr>
      <w:jc w:val="both"/>
    </w:pPr>
    <w:rPr>
      <w:sz w:val="20"/>
      <w:szCs w:val="20"/>
    </w:rPr>
  </w:style>
  <w:style w:type="character" w:customStyle="1" w:styleId="a9">
    <w:name w:val="Текст сноски Знак"/>
    <w:aliases w:val="Table_Footnote_last Знак1,Текст сноски-FN Знак1,Oaeno niinee-FN Знак1,Oaeno niinee Ciae Знак1,Footnote Text Char Знак Знак Знак1,Footnote Text Char Знак Знак2,single space Знак1,footnote text Знак1,Schriftart: 9 pt Знак,f Знак1"/>
    <w:basedOn w:val="a1"/>
    <w:link w:val="a8"/>
    <w:uiPriority w:val="99"/>
    <w:qFormat/>
    <w:rsid w:val="00995E45"/>
  </w:style>
  <w:style w:type="character" w:styleId="aa">
    <w:name w:val="footnote reference"/>
    <w:aliases w:val="Знак сноски-FN,Ciae niinee-FN,Знак сноски 1,SUPERS,Footnote Reference Number,fr,Used by Word for Help footnote symbols,Referencia nota al pie,16 Point,Superscript 6 Point,Footnote Reference_LVL6,Footnote Reference_LVL61,Ciae niinee 1,Ref,ОР"/>
    <w:basedOn w:val="a1"/>
    <w:uiPriority w:val="99"/>
    <w:qFormat/>
    <w:rsid w:val="00995E45"/>
    <w:rPr>
      <w:vertAlign w:val="superscript"/>
    </w:rPr>
  </w:style>
  <w:style w:type="paragraph" w:styleId="ab">
    <w:name w:val="header"/>
    <w:basedOn w:val="a0"/>
    <w:link w:val="ac"/>
    <w:rsid w:val="00995E45"/>
    <w:pPr>
      <w:tabs>
        <w:tab w:val="center" w:pos="4153"/>
        <w:tab w:val="right" w:pos="8306"/>
      </w:tabs>
      <w:jc w:val="both"/>
    </w:pPr>
    <w:rPr>
      <w:sz w:val="18"/>
      <w:szCs w:val="20"/>
    </w:rPr>
  </w:style>
  <w:style w:type="character" w:customStyle="1" w:styleId="ac">
    <w:name w:val="Верхний колонтитул Знак"/>
    <w:basedOn w:val="a1"/>
    <w:link w:val="ab"/>
    <w:qFormat/>
    <w:rsid w:val="00995E45"/>
    <w:rPr>
      <w:sz w:val="18"/>
    </w:rPr>
  </w:style>
  <w:style w:type="paragraph" w:styleId="a">
    <w:name w:val="List Bullet"/>
    <w:basedOn w:val="a0"/>
    <w:autoRedefine/>
    <w:qFormat/>
    <w:rsid w:val="00995E45"/>
    <w:pPr>
      <w:numPr>
        <w:numId w:val="1"/>
      </w:numPr>
      <w:spacing w:before="60"/>
      <w:jc w:val="both"/>
    </w:pPr>
    <w:rPr>
      <w:szCs w:val="20"/>
    </w:rPr>
  </w:style>
  <w:style w:type="paragraph" w:styleId="2">
    <w:name w:val="List Bullet 2"/>
    <w:basedOn w:val="a0"/>
    <w:autoRedefine/>
    <w:qFormat/>
    <w:rsid w:val="00995E45"/>
    <w:pPr>
      <w:numPr>
        <w:numId w:val="2"/>
      </w:numPr>
      <w:spacing w:before="60"/>
      <w:jc w:val="both"/>
    </w:pPr>
    <w:rPr>
      <w:szCs w:val="20"/>
    </w:rPr>
  </w:style>
  <w:style w:type="paragraph" w:styleId="3">
    <w:name w:val="List Bullet 3"/>
    <w:basedOn w:val="a0"/>
    <w:autoRedefine/>
    <w:qFormat/>
    <w:rsid w:val="00995E45"/>
    <w:pPr>
      <w:numPr>
        <w:numId w:val="3"/>
      </w:numPr>
      <w:spacing w:before="60"/>
      <w:jc w:val="both"/>
    </w:pPr>
    <w:rPr>
      <w:szCs w:val="20"/>
    </w:rPr>
  </w:style>
  <w:style w:type="character" w:styleId="ad">
    <w:name w:val="page number"/>
    <w:basedOn w:val="a1"/>
    <w:qFormat/>
    <w:rsid w:val="00995E45"/>
  </w:style>
  <w:style w:type="paragraph" w:customStyle="1" w:styleId="ae">
    <w:name w:val="Источник основной"/>
    <w:basedOn w:val="a0"/>
    <w:qFormat/>
    <w:rsid w:val="00995E45"/>
    <w:pPr>
      <w:keepLines/>
      <w:spacing w:before="60"/>
      <w:jc w:val="both"/>
    </w:pPr>
    <w:rPr>
      <w:sz w:val="18"/>
      <w:szCs w:val="20"/>
    </w:rPr>
  </w:style>
  <w:style w:type="paragraph" w:customStyle="1" w:styleId="af">
    <w:name w:val="Номер_ТАБ"/>
    <w:basedOn w:val="a0"/>
    <w:qFormat/>
    <w:rsid w:val="00995E45"/>
    <w:pPr>
      <w:keepNext/>
      <w:spacing w:before="120"/>
      <w:jc w:val="right"/>
    </w:pPr>
    <w:rPr>
      <w:i/>
      <w:szCs w:val="20"/>
    </w:rPr>
  </w:style>
  <w:style w:type="paragraph" w:customStyle="1" w:styleId="af0">
    <w:name w:val="Источник последний абзац"/>
    <w:basedOn w:val="ae"/>
    <w:qFormat/>
    <w:rsid w:val="00995E45"/>
    <w:pPr>
      <w:spacing w:after="120"/>
    </w:pPr>
  </w:style>
  <w:style w:type="paragraph" w:customStyle="1" w:styleId="af1">
    <w:name w:val="Объект (рисунок"/>
    <w:aliases w:val="график)"/>
    <w:basedOn w:val="a0"/>
    <w:qFormat/>
    <w:rsid w:val="00995E45"/>
    <w:pPr>
      <w:spacing w:before="60" w:after="120"/>
      <w:jc w:val="center"/>
    </w:pPr>
    <w:rPr>
      <w:szCs w:val="20"/>
    </w:rPr>
  </w:style>
  <w:style w:type="paragraph" w:customStyle="1" w:styleId="af2">
    <w:name w:val="#Таблица текст"/>
    <w:basedOn w:val="a0"/>
    <w:qFormat/>
    <w:rsid w:val="00995E45"/>
    <w:rPr>
      <w:sz w:val="20"/>
      <w:szCs w:val="20"/>
    </w:rPr>
  </w:style>
  <w:style w:type="paragraph" w:customStyle="1" w:styleId="af3">
    <w:name w:val="#Таблица цифры"/>
    <w:basedOn w:val="a0"/>
    <w:qFormat/>
    <w:rsid w:val="00995E45"/>
    <w:pPr>
      <w:jc w:val="center"/>
    </w:pPr>
    <w:rPr>
      <w:sz w:val="20"/>
      <w:szCs w:val="20"/>
    </w:rPr>
  </w:style>
  <w:style w:type="paragraph" w:customStyle="1" w:styleId="af4">
    <w:name w:val="#Таблица названия столбцов"/>
    <w:basedOn w:val="a0"/>
    <w:qFormat/>
    <w:rsid w:val="00995E45"/>
    <w:pPr>
      <w:jc w:val="center"/>
    </w:pPr>
    <w:rPr>
      <w:b/>
      <w:sz w:val="20"/>
      <w:szCs w:val="20"/>
    </w:rPr>
  </w:style>
  <w:style w:type="paragraph" w:styleId="af5">
    <w:name w:val="footer"/>
    <w:basedOn w:val="a0"/>
    <w:link w:val="af6"/>
    <w:rsid w:val="00995E45"/>
    <w:pPr>
      <w:tabs>
        <w:tab w:val="center" w:pos="4153"/>
        <w:tab w:val="right" w:pos="8306"/>
      </w:tabs>
      <w:spacing w:before="60"/>
      <w:ind w:firstLine="567"/>
      <w:jc w:val="both"/>
    </w:pPr>
    <w:rPr>
      <w:szCs w:val="20"/>
    </w:rPr>
  </w:style>
  <w:style w:type="character" w:customStyle="1" w:styleId="af6">
    <w:name w:val="Нижний колонтитул Знак"/>
    <w:basedOn w:val="a1"/>
    <w:link w:val="af5"/>
    <w:qFormat/>
    <w:rsid w:val="00995E45"/>
    <w:rPr>
      <w:sz w:val="24"/>
    </w:rPr>
  </w:style>
  <w:style w:type="paragraph" w:customStyle="1" w:styleId="af7">
    <w:name w:val="Заголовок_ТАБ"/>
    <w:basedOn w:val="a0"/>
    <w:link w:val="af8"/>
    <w:qFormat/>
    <w:rsid w:val="00995E45"/>
    <w:pPr>
      <w:spacing w:before="60" w:after="120"/>
      <w:jc w:val="center"/>
    </w:pPr>
    <w:rPr>
      <w:b/>
      <w:szCs w:val="20"/>
    </w:rPr>
  </w:style>
  <w:style w:type="paragraph" w:customStyle="1" w:styleId="af9">
    <w:name w:val="Заголовок_РИС"/>
    <w:basedOn w:val="a0"/>
    <w:qFormat/>
    <w:rsid w:val="00995E45"/>
    <w:pPr>
      <w:keepNext/>
      <w:spacing w:before="240" w:after="60"/>
      <w:jc w:val="center"/>
    </w:pPr>
    <w:rPr>
      <w:szCs w:val="20"/>
    </w:rPr>
  </w:style>
  <w:style w:type="character" w:customStyle="1" w:styleId="afa">
    <w:name w:val="Номер_РИС"/>
    <w:basedOn w:val="a1"/>
    <w:qFormat/>
    <w:rsid w:val="00995E45"/>
    <w:rPr>
      <w:i/>
      <w:sz w:val="24"/>
    </w:rPr>
  </w:style>
  <w:style w:type="paragraph" w:customStyle="1" w:styleId="afb">
    <w:name w:val="раздилитель сноски"/>
    <w:basedOn w:val="a0"/>
    <w:next w:val="a8"/>
    <w:qFormat/>
    <w:rsid w:val="00995E45"/>
    <w:pPr>
      <w:spacing w:before="60"/>
      <w:jc w:val="both"/>
    </w:pPr>
    <w:rPr>
      <w:szCs w:val="20"/>
      <w:lang w:val="en-US"/>
    </w:rPr>
  </w:style>
  <w:style w:type="paragraph" w:styleId="afc">
    <w:name w:val="List Paragraph"/>
    <w:aliases w:val="ПАРАГРАФ,Абзац списка11,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 для документа,Нумерация,lp1"/>
    <w:basedOn w:val="a0"/>
    <w:link w:val="afd"/>
    <w:qFormat/>
    <w:rsid w:val="00995E45"/>
    <w:pPr>
      <w:spacing w:before="60"/>
      <w:ind w:left="720" w:firstLine="567"/>
      <w:contextualSpacing/>
      <w:jc w:val="both"/>
    </w:pPr>
    <w:rPr>
      <w:szCs w:val="20"/>
    </w:rPr>
  </w:style>
  <w:style w:type="table" w:customStyle="1" w:styleId="11">
    <w:name w:val="Сетка таблицы1"/>
    <w:basedOn w:val="a2"/>
    <w:next w:val="a4"/>
    <w:uiPriority w:val="59"/>
    <w:rsid w:val="00995E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Заголовок_ТАБ Знак"/>
    <w:link w:val="af7"/>
    <w:qFormat/>
    <w:locked/>
    <w:rsid w:val="00995E45"/>
    <w:rPr>
      <w:b/>
      <w:sz w:val="24"/>
    </w:rPr>
  </w:style>
  <w:style w:type="character" w:customStyle="1" w:styleId="afd">
    <w:name w:val="Абзац списка Знак"/>
    <w:aliases w:val="ПАРАГРАФ Знак,Абзац списка11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lp1 Знак"/>
    <w:link w:val="afc"/>
    <w:qFormat/>
    <w:locked/>
    <w:rsid w:val="00995E45"/>
    <w:rPr>
      <w:sz w:val="24"/>
    </w:rPr>
  </w:style>
  <w:style w:type="character" w:customStyle="1" w:styleId="paragraph">
    <w:name w:val="paragraph"/>
    <w:basedOn w:val="a1"/>
    <w:qFormat/>
    <w:rsid w:val="00995E45"/>
  </w:style>
  <w:style w:type="character" w:customStyle="1" w:styleId="12">
    <w:name w:val="Текст сноски Знак1"/>
    <w:aliases w:val="Текст сноски Знак Знак,Table_Footnote_last Знак,Текст сноски-FN Знак,Oaeno niinee-FN Знак,Oaeno niinee Ciae Знак,Footnote Text Char Знак Знак Знак,Footnote Text Char Знак Знак1,single space Знак,footnote text Знак,f Знак"/>
    <w:qFormat/>
    <w:locked/>
    <w:rsid w:val="00995E45"/>
    <w:rPr>
      <w:lang w:val="ru-RU" w:eastAsia="ru-RU" w:bidi="ar-SA"/>
    </w:rPr>
  </w:style>
  <w:style w:type="character" w:customStyle="1" w:styleId="a6">
    <w:name w:val="Текст выноски Знак"/>
    <w:basedOn w:val="a1"/>
    <w:link w:val="a5"/>
    <w:qFormat/>
    <w:rsid w:val="00995E45"/>
    <w:rPr>
      <w:rFonts w:ascii="Tahoma" w:hAnsi="Tahoma" w:cs="Tahoma"/>
      <w:sz w:val="16"/>
      <w:szCs w:val="16"/>
    </w:rPr>
  </w:style>
  <w:style w:type="paragraph" w:customStyle="1" w:styleId="Default">
    <w:name w:val="Default"/>
    <w:qFormat/>
    <w:rsid w:val="00995E45"/>
    <w:pPr>
      <w:autoSpaceDE w:val="0"/>
      <w:autoSpaceDN w:val="0"/>
      <w:adjustRightInd w:val="0"/>
    </w:pPr>
    <w:rPr>
      <w:rFonts w:eastAsia="Calibri"/>
      <w:color w:val="000000"/>
      <w:sz w:val="24"/>
      <w:szCs w:val="24"/>
      <w:lang w:eastAsia="en-US"/>
    </w:rPr>
  </w:style>
  <w:style w:type="paragraph" w:customStyle="1" w:styleId="13">
    <w:name w:val="Стиль1"/>
    <w:basedOn w:val="a0"/>
    <w:link w:val="14"/>
    <w:qFormat/>
    <w:rsid w:val="00995E45"/>
    <w:pPr>
      <w:tabs>
        <w:tab w:val="left" w:pos="993"/>
      </w:tabs>
      <w:ind w:firstLine="567"/>
      <w:jc w:val="center"/>
    </w:pPr>
    <w:rPr>
      <w:b/>
    </w:rPr>
  </w:style>
  <w:style w:type="character" w:styleId="afe">
    <w:name w:val="Emphasis"/>
    <w:basedOn w:val="a1"/>
    <w:qFormat/>
    <w:rsid w:val="00995E45"/>
    <w:rPr>
      <w:i/>
      <w:iCs/>
    </w:rPr>
  </w:style>
  <w:style w:type="character" w:customStyle="1" w:styleId="14">
    <w:name w:val="Стиль1 Знак"/>
    <w:basedOn w:val="a1"/>
    <w:link w:val="13"/>
    <w:qFormat/>
    <w:rsid w:val="00995E45"/>
    <w:rPr>
      <w:b/>
      <w:sz w:val="24"/>
      <w:szCs w:val="24"/>
    </w:rPr>
  </w:style>
  <w:style w:type="paragraph" w:styleId="aff">
    <w:name w:val="No Spacing"/>
    <w:qFormat/>
    <w:rsid w:val="00995E45"/>
    <w:pPr>
      <w:ind w:firstLine="567"/>
      <w:jc w:val="both"/>
    </w:pPr>
    <w:rPr>
      <w:sz w:val="24"/>
    </w:rPr>
  </w:style>
  <w:style w:type="paragraph" w:styleId="aff0">
    <w:name w:val="TOC Heading"/>
    <w:basedOn w:val="1"/>
    <w:next w:val="a0"/>
    <w:unhideWhenUsed/>
    <w:qFormat/>
    <w:rsid w:val="00995E45"/>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5">
    <w:name w:val="toc 1"/>
    <w:basedOn w:val="a0"/>
    <w:next w:val="a0"/>
    <w:autoRedefine/>
    <w:uiPriority w:val="39"/>
    <w:unhideWhenUsed/>
    <w:rsid w:val="00A33B9C"/>
    <w:pPr>
      <w:tabs>
        <w:tab w:val="left" w:pos="567"/>
        <w:tab w:val="left" w:pos="1120"/>
        <w:tab w:val="right" w:leader="dot" w:pos="9061"/>
      </w:tabs>
      <w:spacing w:before="60" w:after="100"/>
      <w:jc w:val="both"/>
    </w:pPr>
    <w:rPr>
      <w:szCs w:val="20"/>
    </w:rPr>
  </w:style>
  <w:style w:type="paragraph" w:styleId="32">
    <w:name w:val="toc 3"/>
    <w:basedOn w:val="a0"/>
    <w:next w:val="a0"/>
    <w:autoRedefine/>
    <w:uiPriority w:val="39"/>
    <w:unhideWhenUsed/>
    <w:rsid w:val="007931B0"/>
    <w:pPr>
      <w:tabs>
        <w:tab w:val="right" w:leader="dot" w:pos="9061"/>
      </w:tabs>
      <w:spacing w:before="60" w:after="100"/>
      <w:ind w:left="851"/>
      <w:jc w:val="both"/>
    </w:pPr>
    <w:rPr>
      <w:szCs w:val="20"/>
    </w:rPr>
  </w:style>
  <w:style w:type="paragraph" w:styleId="22">
    <w:name w:val="toc 2"/>
    <w:basedOn w:val="a0"/>
    <w:next w:val="a0"/>
    <w:autoRedefine/>
    <w:uiPriority w:val="39"/>
    <w:unhideWhenUsed/>
    <w:rsid w:val="00E95314"/>
    <w:pPr>
      <w:tabs>
        <w:tab w:val="right" w:leader="dot" w:pos="9061"/>
      </w:tabs>
      <w:spacing w:after="120"/>
      <w:ind w:left="567"/>
      <w:jc w:val="both"/>
    </w:pPr>
    <w:rPr>
      <w:szCs w:val="20"/>
    </w:rPr>
  </w:style>
  <w:style w:type="character" w:styleId="aff1">
    <w:name w:val="annotation reference"/>
    <w:basedOn w:val="a1"/>
    <w:uiPriority w:val="99"/>
    <w:unhideWhenUsed/>
    <w:qFormat/>
    <w:rsid w:val="00995E45"/>
    <w:rPr>
      <w:sz w:val="16"/>
      <w:szCs w:val="16"/>
    </w:rPr>
  </w:style>
  <w:style w:type="paragraph" w:styleId="aff2">
    <w:name w:val="annotation text"/>
    <w:basedOn w:val="a0"/>
    <w:link w:val="aff3"/>
    <w:unhideWhenUsed/>
    <w:qFormat/>
    <w:rsid w:val="00995E45"/>
    <w:pPr>
      <w:spacing w:before="60"/>
      <w:ind w:firstLine="567"/>
      <w:jc w:val="both"/>
    </w:pPr>
    <w:rPr>
      <w:sz w:val="20"/>
      <w:szCs w:val="20"/>
    </w:rPr>
  </w:style>
  <w:style w:type="character" w:customStyle="1" w:styleId="aff3">
    <w:name w:val="Текст примечания Знак"/>
    <w:basedOn w:val="a1"/>
    <w:link w:val="aff2"/>
    <w:qFormat/>
    <w:rsid w:val="00995E45"/>
  </w:style>
  <w:style w:type="paragraph" w:styleId="aff4">
    <w:name w:val="Revision"/>
    <w:hidden/>
    <w:qFormat/>
    <w:rsid w:val="00995E45"/>
    <w:rPr>
      <w:sz w:val="24"/>
    </w:rPr>
  </w:style>
  <w:style w:type="paragraph" w:styleId="aff5">
    <w:name w:val="annotation subject"/>
    <w:basedOn w:val="aff2"/>
    <w:next w:val="aff2"/>
    <w:link w:val="aff6"/>
    <w:unhideWhenUsed/>
    <w:qFormat/>
    <w:rsid w:val="00995E45"/>
    <w:rPr>
      <w:b/>
      <w:bCs/>
    </w:rPr>
  </w:style>
  <w:style w:type="character" w:customStyle="1" w:styleId="aff6">
    <w:name w:val="Тема примечания Знак"/>
    <w:basedOn w:val="aff3"/>
    <w:link w:val="aff5"/>
    <w:qFormat/>
    <w:rsid w:val="00995E45"/>
    <w:rPr>
      <w:b/>
      <w:bCs/>
    </w:rPr>
  </w:style>
  <w:style w:type="paragraph" w:customStyle="1" w:styleId="aff7">
    <w:name w:val="Заголовок раздела отчета о НИР"/>
    <w:basedOn w:val="a0"/>
    <w:qFormat/>
    <w:rsid w:val="003B266B"/>
    <w:pPr>
      <w:spacing w:before="480" w:after="360" w:line="360" w:lineRule="auto"/>
      <w:jc w:val="center"/>
    </w:pPr>
    <w:rPr>
      <w:b/>
      <w:bCs/>
      <w:spacing w:val="40"/>
      <w:sz w:val="26"/>
    </w:rPr>
  </w:style>
  <w:style w:type="paragraph" w:styleId="aff8">
    <w:name w:val="caption"/>
    <w:basedOn w:val="a0"/>
    <w:next w:val="a0"/>
    <w:qFormat/>
    <w:rsid w:val="00916621"/>
    <w:pPr>
      <w:spacing w:before="120"/>
      <w:jc w:val="right"/>
    </w:pPr>
    <w:rPr>
      <w:bCs/>
      <w:i/>
      <w:szCs w:val="20"/>
    </w:rPr>
  </w:style>
  <w:style w:type="paragraph" w:customStyle="1" w:styleId="NormalANX">
    <w:name w:val="NormalANX"/>
    <w:basedOn w:val="a0"/>
    <w:qFormat/>
    <w:rsid w:val="008742A2"/>
    <w:pPr>
      <w:spacing w:before="240" w:after="240" w:line="360" w:lineRule="auto"/>
      <w:ind w:firstLine="720"/>
      <w:jc w:val="both"/>
    </w:pPr>
    <w:rPr>
      <w:sz w:val="28"/>
      <w:szCs w:val="20"/>
    </w:rPr>
  </w:style>
  <w:style w:type="paragraph" w:customStyle="1" w:styleId="ConsPlusNormal">
    <w:name w:val="ConsPlusNormal"/>
    <w:qFormat/>
    <w:rsid w:val="008742A2"/>
    <w:pPr>
      <w:ind w:firstLine="720"/>
    </w:pPr>
    <w:rPr>
      <w:rFonts w:ascii="Arial" w:hAnsi="Arial"/>
      <w:snapToGrid w:val="0"/>
    </w:rPr>
  </w:style>
  <w:style w:type="character" w:styleId="aff9">
    <w:name w:val="FollowedHyperlink"/>
    <w:basedOn w:val="a1"/>
    <w:uiPriority w:val="99"/>
    <w:semiHidden/>
    <w:unhideWhenUsed/>
    <w:rsid w:val="008742A2"/>
    <w:rPr>
      <w:color w:val="800080"/>
      <w:u w:val="single"/>
    </w:rPr>
  </w:style>
  <w:style w:type="paragraph" w:customStyle="1" w:styleId="xl63">
    <w:name w:val="xl63"/>
    <w:basedOn w:val="a0"/>
    <w:qFormat/>
    <w:rsid w:val="008742A2"/>
    <w:pPr>
      <w:spacing w:before="100" w:beforeAutospacing="1" w:after="100" w:afterAutospacing="1"/>
    </w:pPr>
    <w:rPr>
      <w:sz w:val="16"/>
      <w:szCs w:val="16"/>
    </w:rPr>
  </w:style>
  <w:style w:type="paragraph" w:customStyle="1" w:styleId="xl64">
    <w:name w:val="xl64"/>
    <w:basedOn w:val="a0"/>
    <w:qFormat/>
    <w:rsid w:val="008742A2"/>
    <w:pPr>
      <w:spacing w:before="100" w:beforeAutospacing="1" w:after="100" w:afterAutospacing="1"/>
    </w:pPr>
    <w:rPr>
      <w:sz w:val="16"/>
      <w:szCs w:val="16"/>
    </w:rPr>
  </w:style>
  <w:style w:type="paragraph" w:customStyle="1" w:styleId="xl65">
    <w:name w:val="xl65"/>
    <w:basedOn w:val="a0"/>
    <w:qFormat/>
    <w:rsid w:val="008742A2"/>
    <w:pPr>
      <w:spacing w:before="100" w:beforeAutospacing="1" w:after="100" w:afterAutospacing="1"/>
    </w:pPr>
    <w:rPr>
      <w:sz w:val="16"/>
      <w:szCs w:val="16"/>
    </w:rPr>
  </w:style>
  <w:style w:type="paragraph" w:customStyle="1" w:styleId="xl66">
    <w:name w:val="xl66"/>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qFormat/>
    <w:rsid w:val="008742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styleId="affa">
    <w:name w:val="Normal (Web)"/>
    <w:basedOn w:val="a0"/>
    <w:unhideWhenUsed/>
    <w:qFormat/>
    <w:rsid w:val="00555D9E"/>
    <w:pPr>
      <w:spacing w:before="100" w:beforeAutospacing="1" w:after="100" w:afterAutospacing="1"/>
    </w:pPr>
  </w:style>
  <w:style w:type="paragraph" w:styleId="affb">
    <w:name w:val="Bibliography"/>
    <w:basedOn w:val="a0"/>
    <w:next w:val="a0"/>
    <w:unhideWhenUsed/>
    <w:qFormat/>
    <w:rsid w:val="00A43468"/>
  </w:style>
  <w:style w:type="character" w:customStyle="1" w:styleId="16">
    <w:name w:val="Неразрешенное упоминание1"/>
    <w:basedOn w:val="a1"/>
    <w:unhideWhenUsed/>
    <w:qFormat/>
    <w:rsid w:val="00F11765"/>
    <w:rPr>
      <w:color w:val="605E5C"/>
      <w:shd w:val="clear" w:color="auto" w:fill="E1DFDD"/>
    </w:rPr>
  </w:style>
  <w:style w:type="character" w:customStyle="1" w:styleId="st">
    <w:name w:val="st"/>
    <w:basedOn w:val="a1"/>
    <w:qFormat/>
    <w:rsid w:val="0037740D"/>
  </w:style>
  <w:style w:type="paragraph" w:customStyle="1" w:styleId="affc">
    <w:name w:val="Текст обычный"/>
    <w:basedOn w:val="a0"/>
    <w:link w:val="affd"/>
    <w:qFormat/>
    <w:rsid w:val="00310C50"/>
    <w:pPr>
      <w:spacing w:line="360" w:lineRule="auto"/>
      <w:ind w:firstLine="567"/>
      <w:jc w:val="both"/>
    </w:pPr>
    <w:rPr>
      <w:rFonts w:eastAsiaTheme="minorHAnsi"/>
      <w:lang w:eastAsia="en-US"/>
    </w:rPr>
  </w:style>
  <w:style w:type="character" w:customStyle="1" w:styleId="affd">
    <w:name w:val="Текст обычный Знак"/>
    <w:basedOn w:val="a1"/>
    <w:link w:val="affc"/>
    <w:qFormat/>
    <w:rsid w:val="00310C50"/>
    <w:rPr>
      <w:rFonts w:eastAsiaTheme="minorHAnsi"/>
      <w:sz w:val="24"/>
      <w:szCs w:val="24"/>
      <w:lang w:eastAsia="en-US"/>
    </w:rPr>
  </w:style>
  <w:style w:type="table" w:customStyle="1" w:styleId="23">
    <w:name w:val="Сетка таблицы2"/>
    <w:basedOn w:val="a2"/>
    <w:next w:val="a4"/>
    <w:uiPriority w:val="39"/>
    <w:rsid w:val="0031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qFormat/>
    <w:rsid w:val="00310C50"/>
    <w:pPr>
      <w:spacing w:after="200" w:line="276" w:lineRule="auto"/>
      <w:ind w:firstLine="720"/>
      <w:jc w:val="both"/>
    </w:pPr>
    <w:rPr>
      <w:b/>
      <w:sz w:val="26"/>
      <w:szCs w:val="20"/>
    </w:rPr>
  </w:style>
  <w:style w:type="character" w:customStyle="1" w:styleId="25">
    <w:name w:val="Основной текст с отступом 2 Знак"/>
    <w:basedOn w:val="a1"/>
    <w:link w:val="24"/>
    <w:qFormat/>
    <w:rsid w:val="00310C50"/>
    <w:rPr>
      <w:b/>
      <w:sz w:val="26"/>
    </w:rPr>
  </w:style>
  <w:style w:type="table" w:styleId="affe">
    <w:name w:val="Light Shading"/>
    <w:basedOn w:val="a2"/>
    <w:uiPriority w:val="60"/>
    <w:rsid w:val="00310C50"/>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afff">
    <w:name w:val="Document Map"/>
    <w:basedOn w:val="a0"/>
    <w:link w:val="afff0"/>
    <w:unhideWhenUsed/>
    <w:qFormat/>
    <w:rsid w:val="00B308CD"/>
    <w:pPr>
      <w:ind w:firstLine="709"/>
      <w:jc w:val="both"/>
    </w:pPr>
    <w:rPr>
      <w:rFonts w:ascii="Lucida Grande CY" w:eastAsia="Calibri" w:hAnsi="Lucida Grande CY" w:cs="Lucida Grande CY"/>
      <w:lang w:eastAsia="en-US"/>
    </w:rPr>
  </w:style>
  <w:style w:type="character" w:customStyle="1" w:styleId="afff0">
    <w:name w:val="Схема документа Знак"/>
    <w:basedOn w:val="a1"/>
    <w:link w:val="afff"/>
    <w:qFormat/>
    <w:rsid w:val="00B308CD"/>
    <w:rPr>
      <w:rFonts w:ascii="Lucida Grande CY" w:eastAsia="Calibri" w:hAnsi="Lucida Grande CY" w:cs="Lucida Grande CY"/>
      <w:sz w:val="24"/>
      <w:szCs w:val="24"/>
      <w:lang w:eastAsia="en-US"/>
    </w:rPr>
  </w:style>
  <w:style w:type="character" w:styleId="afff1">
    <w:name w:val="Intense Emphasis"/>
    <w:qFormat/>
    <w:rsid w:val="00B308CD"/>
    <w:rPr>
      <w:b/>
      <w:bCs/>
      <w:i/>
      <w:iCs/>
      <w:color w:val="4F81BD"/>
    </w:rPr>
  </w:style>
  <w:style w:type="paragraph" w:customStyle="1" w:styleId="afff2">
    <w:name w:val="Заголовок таблицы"/>
    <w:basedOn w:val="a0"/>
    <w:qFormat/>
    <w:rsid w:val="00B308CD"/>
    <w:pPr>
      <w:jc w:val="center"/>
    </w:pPr>
    <w:rPr>
      <w:rFonts w:eastAsia="Calibri"/>
      <w:lang w:eastAsia="en-US"/>
    </w:rPr>
  </w:style>
  <w:style w:type="paragraph" w:customStyle="1" w:styleId="afff3">
    <w:name w:val="Подпись к рисунку"/>
    <w:basedOn w:val="a0"/>
    <w:qFormat/>
    <w:rsid w:val="00B308CD"/>
    <w:pPr>
      <w:jc w:val="center"/>
    </w:pPr>
    <w:rPr>
      <w:rFonts w:eastAsia="Calibri"/>
      <w:lang w:eastAsia="en-US"/>
    </w:rPr>
  </w:style>
  <w:style w:type="paragraph" w:customStyle="1" w:styleId="afff4">
    <w:name w:val="Таблица"/>
    <w:basedOn w:val="a0"/>
    <w:autoRedefine/>
    <w:qFormat/>
    <w:rsid w:val="00B308CD"/>
    <w:rPr>
      <w:sz w:val="20"/>
      <w:szCs w:val="20"/>
      <w:lang w:eastAsia="en-US"/>
    </w:rPr>
  </w:style>
  <w:style w:type="paragraph" w:customStyle="1" w:styleId="afff5">
    <w:name w:val="Шапка таблицы"/>
    <w:basedOn w:val="afff4"/>
    <w:qFormat/>
    <w:rsid w:val="00B308CD"/>
    <w:pPr>
      <w:jc w:val="center"/>
    </w:pPr>
    <w:rPr>
      <w:b/>
      <w:bCs/>
    </w:rPr>
  </w:style>
  <w:style w:type="paragraph" w:customStyle="1" w:styleId="afff6">
    <w:name w:val="Элемент отчета"/>
    <w:basedOn w:val="1"/>
    <w:next w:val="a0"/>
    <w:link w:val="afff7"/>
    <w:qFormat/>
    <w:rsid w:val="00B308CD"/>
    <w:pPr>
      <w:keepNext w:val="0"/>
      <w:keepLines/>
      <w:pageBreakBefore/>
      <w:tabs>
        <w:tab w:val="left" w:pos="709"/>
      </w:tabs>
      <w:suppressAutoHyphens/>
      <w:spacing w:before="0" w:after="240"/>
      <w:jc w:val="center"/>
    </w:pPr>
    <w:rPr>
      <w:rFonts w:ascii="Times New Roman" w:eastAsia="Calibri" w:hAnsi="Times New Roman" w:cs="Arial"/>
      <w:b w:val="0"/>
      <w:caps/>
      <w:sz w:val="24"/>
      <w:szCs w:val="28"/>
      <w:lang w:eastAsia="ar-SA"/>
    </w:rPr>
  </w:style>
  <w:style w:type="character" w:customStyle="1" w:styleId="afff7">
    <w:name w:val="Элемент отчета Знак"/>
    <w:link w:val="afff6"/>
    <w:qFormat/>
    <w:rsid w:val="00B308CD"/>
    <w:rPr>
      <w:rFonts w:eastAsia="Calibri" w:cs="Arial"/>
      <w:caps/>
      <w:kern w:val="28"/>
      <w:sz w:val="24"/>
      <w:szCs w:val="28"/>
      <w:lang w:eastAsia="ar-SA"/>
    </w:rPr>
  </w:style>
  <w:style w:type="paragraph" w:styleId="41">
    <w:name w:val="toc 4"/>
    <w:basedOn w:val="a0"/>
    <w:next w:val="a0"/>
    <w:autoRedefine/>
    <w:unhideWhenUsed/>
    <w:rsid w:val="00B308CD"/>
    <w:pPr>
      <w:ind w:left="840" w:firstLine="709"/>
      <w:jc w:val="both"/>
    </w:pPr>
    <w:rPr>
      <w:rFonts w:eastAsia="Calibri"/>
      <w:lang w:eastAsia="en-US"/>
    </w:rPr>
  </w:style>
  <w:style w:type="paragraph" w:styleId="51">
    <w:name w:val="toc 5"/>
    <w:basedOn w:val="a0"/>
    <w:next w:val="a0"/>
    <w:autoRedefine/>
    <w:unhideWhenUsed/>
    <w:rsid w:val="00B308CD"/>
    <w:pPr>
      <w:ind w:left="1120" w:firstLine="709"/>
      <w:jc w:val="both"/>
    </w:pPr>
    <w:rPr>
      <w:rFonts w:eastAsia="Calibri"/>
      <w:lang w:eastAsia="en-US"/>
    </w:rPr>
  </w:style>
  <w:style w:type="paragraph" w:styleId="61">
    <w:name w:val="toc 6"/>
    <w:basedOn w:val="a0"/>
    <w:next w:val="a0"/>
    <w:autoRedefine/>
    <w:unhideWhenUsed/>
    <w:rsid w:val="00B308CD"/>
    <w:pPr>
      <w:ind w:left="1400" w:firstLine="709"/>
      <w:jc w:val="both"/>
    </w:pPr>
    <w:rPr>
      <w:rFonts w:eastAsia="Calibri"/>
      <w:lang w:eastAsia="en-US"/>
    </w:rPr>
  </w:style>
  <w:style w:type="paragraph" w:styleId="71">
    <w:name w:val="toc 7"/>
    <w:basedOn w:val="a0"/>
    <w:next w:val="a0"/>
    <w:autoRedefine/>
    <w:unhideWhenUsed/>
    <w:rsid w:val="00B308CD"/>
    <w:pPr>
      <w:ind w:left="1680" w:firstLine="709"/>
      <w:jc w:val="both"/>
    </w:pPr>
    <w:rPr>
      <w:rFonts w:eastAsia="Calibri"/>
      <w:lang w:eastAsia="en-US"/>
    </w:rPr>
  </w:style>
  <w:style w:type="paragraph" w:styleId="81">
    <w:name w:val="toc 8"/>
    <w:basedOn w:val="a0"/>
    <w:next w:val="a0"/>
    <w:autoRedefine/>
    <w:unhideWhenUsed/>
    <w:rsid w:val="00B308CD"/>
    <w:pPr>
      <w:ind w:left="1960" w:firstLine="709"/>
      <w:jc w:val="both"/>
    </w:pPr>
    <w:rPr>
      <w:rFonts w:eastAsia="Calibri"/>
      <w:lang w:eastAsia="en-US"/>
    </w:rPr>
  </w:style>
  <w:style w:type="paragraph" w:styleId="91">
    <w:name w:val="toc 9"/>
    <w:basedOn w:val="a0"/>
    <w:next w:val="a0"/>
    <w:autoRedefine/>
    <w:unhideWhenUsed/>
    <w:rsid w:val="00B308CD"/>
    <w:pPr>
      <w:ind w:left="2240" w:firstLine="709"/>
      <w:jc w:val="both"/>
    </w:pPr>
    <w:rPr>
      <w:rFonts w:eastAsia="Calibri"/>
      <w:lang w:eastAsia="en-US"/>
    </w:rPr>
  </w:style>
  <w:style w:type="paragraph" w:customStyle="1" w:styleId="ConsTitle">
    <w:name w:val="ConsTitle"/>
    <w:qFormat/>
    <w:rsid w:val="00B308CD"/>
    <w:pPr>
      <w:widowControl w:val="0"/>
    </w:pPr>
    <w:rPr>
      <w:rFonts w:ascii="Arial" w:hAnsi="Arial"/>
      <w:b/>
      <w:snapToGrid w:val="0"/>
      <w:sz w:val="16"/>
    </w:rPr>
  </w:style>
  <w:style w:type="paragraph" w:customStyle="1" w:styleId="ConsPlusTitle">
    <w:name w:val="ConsPlusTitle"/>
    <w:qFormat/>
    <w:rsid w:val="00B308CD"/>
    <w:pPr>
      <w:autoSpaceDE w:val="0"/>
      <w:autoSpaceDN w:val="0"/>
      <w:adjustRightInd w:val="0"/>
    </w:pPr>
    <w:rPr>
      <w:rFonts w:ascii="Arial" w:hAnsi="Arial" w:cs="Arial"/>
      <w:b/>
      <w:bCs/>
    </w:rPr>
  </w:style>
  <w:style w:type="paragraph" w:styleId="afff8">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0"/>
    <w:link w:val="afff9"/>
    <w:rsid w:val="00B308CD"/>
    <w:pPr>
      <w:spacing w:after="120"/>
      <w:ind w:left="283"/>
    </w:pPr>
  </w:style>
  <w:style w:type="character" w:customStyle="1" w:styleId="afff9">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fff8"/>
    <w:qFormat/>
    <w:rsid w:val="00B308CD"/>
    <w:rPr>
      <w:sz w:val="24"/>
      <w:szCs w:val="24"/>
    </w:rPr>
  </w:style>
  <w:style w:type="character" w:customStyle="1" w:styleId="np-text-lg">
    <w:name w:val="np-text-lg"/>
    <w:basedOn w:val="a1"/>
    <w:qFormat/>
    <w:rsid w:val="00B308CD"/>
  </w:style>
  <w:style w:type="table" w:customStyle="1" w:styleId="110">
    <w:name w:val="Сетка таблицы11"/>
    <w:basedOn w:val="a2"/>
    <w:next w:val="a4"/>
    <w:uiPriority w:val="59"/>
    <w:rsid w:val="006753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B94F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39"/>
    <w:rsid w:val="00B056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39"/>
    <w:rsid w:val="004455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1"/>
    <w:rsid w:val="001539F7"/>
    <w:rPr>
      <w:color w:val="0000FF"/>
      <w:u w:val="single"/>
    </w:rPr>
  </w:style>
  <w:style w:type="character" w:customStyle="1" w:styleId="afffa">
    <w:name w:val="Привязка сноски"/>
    <w:rsid w:val="001539F7"/>
    <w:rPr>
      <w:vertAlign w:val="superscript"/>
    </w:rPr>
  </w:style>
  <w:style w:type="character" w:customStyle="1" w:styleId="FootnoteCharacters">
    <w:name w:val="Footnote Characters"/>
    <w:basedOn w:val="a1"/>
    <w:qFormat/>
    <w:rsid w:val="001539F7"/>
    <w:rPr>
      <w:vertAlign w:val="superscript"/>
    </w:rPr>
  </w:style>
  <w:style w:type="character" w:customStyle="1" w:styleId="afffb">
    <w:name w:val="Посещённая гиперссылка"/>
    <w:basedOn w:val="a1"/>
    <w:rsid w:val="001539F7"/>
    <w:rPr>
      <w:color w:val="800080"/>
      <w:u w:val="single"/>
    </w:rPr>
  </w:style>
  <w:style w:type="character" w:customStyle="1" w:styleId="afffc">
    <w:name w:val="Ссылка указателя"/>
    <w:qFormat/>
    <w:rsid w:val="001539F7"/>
  </w:style>
  <w:style w:type="character" w:customStyle="1" w:styleId="afffd">
    <w:name w:val="Символ сноски"/>
    <w:qFormat/>
    <w:rsid w:val="001539F7"/>
  </w:style>
  <w:style w:type="character" w:customStyle="1" w:styleId="afffe">
    <w:name w:val="Привязка концевой сноски"/>
    <w:rsid w:val="001539F7"/>
    <w:rPr>
      <w:vertAlign w:val="superscript"/>
    </w:rPr>
  </w:style>
  <w:style w:type="character" w:customStyle="1" w:styleId="EndnoteCharacters">
    <w:name w:val="Endnote Characters"/>
    <w:qFormat/>
    <w:rsid w:val="001539F7"/>
    <w:rPr>
      <w:vertAlign w:val="superscript"/>
    </w:rPr>
  </w:style>
  <w:style w:type="character" w:customStyle="1" w:styleId="affff">
    <w:name w:val="Символ концевой сноски"/>
    <w:qFormat/>
    <w:rsid w:val="001539F7"/>
  </w:style>
  <w:style w:type="character" w:styleId="affff0">
    <w:name w:val="Strong"/>
    <w:qFormat/>
    <w:rsid w:val="001539F7"/>
    <w:rPr>
      <w:b/>
      <w:bCs/>
    </w:rPr>
  </w:style>
  <w:style w:type="character" w:customStyle="1" w:styleId="affff1">
    <w:name w:val="Маркеры"/>
    <w:qFormat/>
    <w:rsid w:val="001539F7"/>
    <w:rPr>
      <w:rFonts w:ascii="OpenSymbol" w:eastAsia="OpenSymbol" w:hAnsi="OpenSymbol" w:cs="OpenSymbol"/>
    </w:rPr>
  </w:style>
  <w:style w:type="paragraph" w:styleId="affff2">
    <w:name w:val="Title"/>
    <w:basedOn w:val="a0"/>
    <w:next w:val="affff3"/>
    <w:link w:val="affff4"/>
    <w:uiPriority w:val="10"/>
    <w:qFormat/>
    <w:rsid w:val="001539F7"/>
    <w:pPr>
      <w:keepNext/>
      <w:suppressAutoHyphens/>
      <w:spacing w:before="240" w:after="120"/>
      <w:ind w:firstLine="709"/>
      <w:jc w:val="both"/>
    </w:pPr>
    <w:rPr>
      <w:rFonts w:ascii="Liberation Sans" w:eastAsia="Microsoft YaHei" w:hAnsi="Liberation Sans" w:cs="Lucida Sans"/>
      <w:sz w:val="28"/>
      <w:szCs w:val="28"/>
    </w:rPr>
  </w:style>
  <w:style w:type="character" w:customStyle="1" w:styleId="affff4">
    <w:name w:val="Название Знак"/>
    <w:basedOn w:val="a1"/>
    <w:link w:val="affff2"/>
    <w:uiPriority w:val="10"/>
    <w:rsid w:val="001539F7"/>
    <w:rPr>
      <w:rFonts w:ascii="Liberation Sans" w:eastAsia="Microsoft YaHei" w:hAnsi="Liberation Sans" w:cs="Lucida Sans"/>
      <w:sz w:val="28"/>
      <w:szCs w:val="28"/>
    </w:rPr>
  </w:style>
  <w:style w:type="paragraph" w:styleId="affff3">
    <w:name w:val="Body Text"/>
    <w:basedOn w:val="a0"/>
    <w:link w:val="affff5"/>
    <w:rsid w:val="001539F7"/>
    <w:pPr>
      <w:suppressAutoHyphens/>
      <w:spacing w:after="140" w:line="276" w:lineRule="auto"/>
      <w:ind w:firstLine="709"/>
      <w:jc w:val="both"/>
    </w:pPr>
  </w:style>
  <w:style w:type="character" w:customStyle="1" w:styleId="affff5">
    <w:name w:val="Основной текст Знак"/>
    <w:basedOn w:val="a1"/>
    <w:link w:val="affff3"/>
    <w:rsid w:val="001539F7"/>
    <w:rPr>
      <w:sz w:val="24"/>
      <w:szCs w:val="24"/>
    </w:rPr>
  </w:style>
  <w:style w:type="paragraph" w:styleId="affff6">
    <w:name w:val="List"/>
    <w:basedOn w:val="affff3"/>
    <w:rsid w:val="001539F7"/>
    <w:rPr>
      <w:rFonts w:cs="Lucida Sans"/>
    </w:rPr>
  </w:style>
  <w:style w:type="paragraph" w:styleId="17">
    <w:name w:val="index 1"/>
    <w:basedOn w:val="a0"/>
    <w:next w:val="a0"/>
    <w:autoRedefine/>
    <w:semiHidden/>
    <w:unhideWhenUsed/>
    <w:rsid w:val="001539F7"/>
    <w:pPr>
      <w:ind w:left="240" w:hanging="240"/>
    </w:pPr>
  </w:style>
  <w:style w:type="paragraph" w:styleId="affff7">
    <w:name w:val="index heading"/>
    <w:basedOn w:val="affff2"/>
    <w:rsid w:val="001539F7"/>
  </w:style>
  <w:style w:type="paragraph" w:customStyle="1" w:styleId="affff8">
    <w:name w:val="Колонтитул"/>
    <w:basedOn w:val="a0"/>
    <w:qFormat/>
    <w:rsid w:val="001539F7"/>
    <w:pPr>
      <w:suppressAutoHyphens/>
      <w:spacing w:after="60"/>
      <w:ind w:firstLine="709"/>
      <w:jc w:val="both"/>
    </w:pPr>
  </w:style>
  <w:style w:type="paragraph" w:customStyle="1" w:styleId="affff9">
    <w:name w:val="Содержимое таблицы"/>
    <w:basedOn w:val="a0"/>
    <w:qFormat/>
    <w:rsid w:val="001539F7"/>
    <w:pPr>
      <w:suppressAutoHyphens/>
      <w:spacing w:after="60"/>
      <w:ind w:firstLine="709"/>
      <w:jc w:val="both"/>
    </w:pPr>
  </w:style>
  <w:style w:type="paragraph" w:customStyle="1" w:styleId="Style12">
    <w:name w:val="Style 12"/>
    <w:basedOn w:val="a0"/>
    <w:qFormat/>
    <w:rsid w:val="001539F7"/>
    <w:pPr>
      <w:widowControl w:val="0"/>
      <w:shd w:val="clear" w:color="auto" w:fill="FFFFFF"/>
      <w:suppressAutoHyphens/>
      <w:spacing w:before="1440" w:after="180" w:line="367" w:lineRule="exact"/>
      <w:ind w:hanging="360"/>
      <w:jc w:val="both"/>
    </w:pPr>
    <w:rPr>
      <w:sz w:val="26"/>
      <w:szCs w:val="26"/>
    </w:rPr>
  </w:style>
  <w:style w:type="paragraph" w:customStyle="1" w:styleId="18">
    <w:name w:val="Обычный (веб)1"/>
    <w:basedOn w:val="a0"/>
    <w:qFormat/>
    <w:rsid w:val="001539F7"/>
    <w:pPr>
      <w:suppressAutoHyphens/>
      <w:spacing w:before="280" w:after="280"/>
      <w:ind w:firstLine="709"/>
      <w:jc w:val="both"/>
    </w:pPr>
  </w:style>
  <w:style w:type="table" w:customStyle="1" w:styleId="52">
    <w:name w:val="Сетка таблицы5"/>
    <w:basedOn w:val="a2"/>
    <w:next w:val="a4"/>
    <w:uiPriority w:val="39"/>
    <w:rsid w:val="003A3EE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771">
      <w:bodyDiv w:val="1"/>
      <w:marLeft w:val="0"/>
      <w:marRight w:val="0"/>
      <w:marTop w:val="0"/>
      <w:marBottom w:val="0"/>
      <w:divBdr>
        <w:top w:val="none" w:sz="0" w:space="0" w:color="auto"/>
        <w:left w:val="none" w:sz="0" w:space="0" w:color="auto"/>
        <w:bottom w:val="none" w:sz="0" w:space="0" w:color="auto"/>
        <w:right w:val="none" w:sz="0" w:space="0" w:color="auto"/>
      </w:divBdr>
      <w:divsChild>
        <w:div w:id="1172915432">
          <w:marLeft w:val="0"/>
          <w:marRight w:val="0"/>
          <w:marTop w:val="0"/>
          <w:marBottom w:val="0"/>
          <w:divBdr>
            <w:top w:val="none" w:sz="0" w:space="0" w:color="auto"/>
            <w:left w:val="none" w:sz="0" w:space="0" w:color="auto"/>
            <w:bottom w:val="none" w:sz="0" w:space="0" w:color="auto"/>
            <w:right w:val="none" w:sz="0" w:space="0" w:color="auto"/>
          </w:divBdr>
          <w:divsChild>
            <w:div w:id="706488501">
              <w:marLeft w:val="0"/>
              <w:marRight w:val="0"/>
              <w:marTop w:val="0"/>
              <w:marBottom w:val="0"/>
              <w:divBdr>
                <w:top w:val="none" w:sz="0" w:space="0" w:color="auto"/>
                <w:left w:val="none" w:sz="0" w:space="0" w:color="auto"/>
                <w:bottom w:val="none" w:sz="0" w:space="0" w:color="auto"/>
                <w:right w:val="none" w:sz="0" w:space="0" w:color="auto"/>
              </w:divBdr>
              <w:divsChild>
                <w:div w:id="659426719">
                  <w:marLeft w:val="0"/>
                  <w:marRight w:val="0"/>
                  <w:marTop w:val="0"/>
                  <w:marBottom w:val="0"/>
                  <w:divBdr>
                    <w:top w:val="none" w:sz="0" w:space="0" w:color="auto"/>
                    <w:left w:val="none" w:sz="0" w:space="0" w:color="auto"/>
                    <w:bottom w:val="none" w:sz="0" w:space="0" w:color="auto"/>
                    <w:right w:val="none" w:sz="0" w:space="0" w:color="auto"/>
                  </w:divBdr>
                  <w:divsChild>
                    <w:div w:id="808937046">
                      <w:marLeft w:val="0"/>
                      <w:marRight w:val="0"/>
                      <w:marTop w:val="0"/>
                      <w:marBottom w:val="0"/>
                      <w:divBdr>
                        <w:top w:val="none" w:sz="0" w:space="0" w:color="auto"/>
                        <w:left w:val="none" w:sz="0" w:space="0" w:color="auto"/>
                        <w:bottom w:val="none" w:sz="0" w:space="0" w:color="auto"/>
                        <w:right w:val="none" w:sz="0" w:space="0" w:color="auto"/>
                      </w:divBdr>
                      <w:divsChild>
                        <w:div w:id="19964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08413">
      <w:bodyDiv w:val="1"/>
      <w:marLeft w:val="0"/>
      <w:marRight w:val="0"/>
      <w:marTop w:val="0"/>
      <w:marBottom w:val="0"/>
      <w:divBdr>
        <w:top w:val="none" w:sz="0" w:space="0" w:color="auto"/>
        <w:left w:val="none" w:sz="0" w:space="0" w:color="auto"/>
        <w:bottom w:val="none" w:sz="0" w:space="0" w:color="auto"/>
        <w:right w:val="none" w:sz="0" w:space="0" w:color="auto"/>
      </w:divBdr>
    </w:div>
    <w:div w:id="465439701">
      <w:bodyDiv w:val="1"/>
      <w:marLeft w:val="0"/>
      <w:marRight w:val="0"/>
      <w:marTop w:val="0"/>
      <w:marBottom w:val="0"/>
      <w:divBdr>
        <w:top w:val="none" w:sz="0" w:space="0" w:color="auto"/>
        <w:left w:val="none" w:sz="0" w:space="0" w:color="auto"/>
        <w:bottom w:val="none" w:sz="0" w:space="0" w:color="auto"/>
        <w:right w:val="none" w:sz="0" w:space="0" w:color="auto"/>
      </w:divBdr>
    </w:div>
    <w:div w:id="578562328">
      <w:bodyDiv w:val="1"/>
      <w:marLeft w:val="0"/>
      <w:marRight w:val="0"/>
      <w:marTop w:val="0"/>
      <w:marBottom w:val="0"/>
      <w:divBdr>
        <w:top w:val="none" w:sz="0" w:space="0" w:color="auto"/>
        <w:left w:val="none" w:sz="0" w:space="0" w:color="auto"/>
        <w:bottom w:val="none" w:sz="0" w:space="0" w:color="auto"/>
        <w:right w:val="none" w:sz="0" w:space="0" w:color="auto"/>
      </w:divBdr>
    </w:div>
    <w:div w:id="622225150">
      <w:bodyDiv w:val="1"/>
      <w:marLeft w:val="0"/>
      <w:marRight w:val="0"/>
      <w:marTop w:val="0"/>
      <w:marBottom w:val="0"/>
      <w:divBdr>
        <w:top w:val="none" w:sz="0" w:space="0" w:color="auto"/>
        <w:left w:val="none" w:sz="0" w:space="0" w:color="auto"/>
        <w:bottom w:val="none" w:sz="0" w:space="0" w:color="auto"/>
        <w:right w:val="none" w:sz="0" w:space="0" w:color="auto"/>
      </w:divBdr>
    </w:div>
    <w:div w:id="679039608">
      <w:bodyDiv w:val="1"/>
      <w:marLeft w:val="0"/>
      <w:marRight w:val="0"/>
      <w:marTop w:val="0"/>
      <w:marBottom w:val="0"/>
      <w:divBdr>
        <w:top w:val="none" w:sz="0" w:space="0" w:color="auto"/>
        <w:left w:val="none" w:sz="0" w:space="0" w:color="auto"/>
        <w:bottom w:val="none" w:sz="0" w:space="0" w:color="auto"/>
        <w:right w:val="none" w:sz="0" w:space="0" w:color="auto"/>
      </w:divBdr>
    </w:div>
    <w:div w:id="752898395">
      <w:bodyDiv w:val="1"/>
      <w:marLeft w:val="0"/>
      <w:marRight w:val="0"/>
      <w:marTop w:val="0"/>
      <w:marBottom w:val="0"/>
      <w:divBdr>
        <w:top w:val="none" w:sz="0" w:space="0" w:color="auto"/>
        <w:left w:val="none" w:sz="0" w:space="0" w:color="auto"/>
        <w:bottom w:val="none" w:sz="0" w:space="0" w:color="auto"/>
        <w:right w:val="none" w:sz="0" w:space="0" w:color="auto"/>
      </w:divBdr>
    </w:div>
    <w:div w:id="944576001">
      <w:bodyDiv w:val="1"/>
      <w:marLeft w:val="0"/>
      <w:marRight w:val="0"/>
      <w:marTop w:val="0"/>
      <w:marBottom w:val="0"/>
      <w:divBdr>
        <w:top w:val="none" w:sz="0" w:space="0" w:color="auto"/>
        <w:left w:val="none" w:sz="0" w:space="0" w:color="auto"/>
        <w:bottom w:val="none" w:sz="0" w:space="0" w:color="auto"/>
        <w:right w:val="none" w:sz="0" w:space="0" w:color="auto"/>
      </w:divBdr>
    </w:div>
    <w:div w:id="1001276230">
      <w:bodyDiv w:val="1"/>
      <w:marLeft w:val="0"/>
      <w:marRight w:val="0"/>
      <w:marTop w:val="0"/>
      <w:marBottom w:val="0"/>
      <w:divBdr>
        <w:top w:val="none" w:sz="0" w:space="0" w:color="auto"/>
        <w:left w:val="none" w:sz="0" w:space="0" w:color="auto"/>
        <w:bottom w:val="none" w:sz="0" w:space="0" w:color="auto"/>
        <w:right w:val="none" w:sz="0" w:space="0" w:color="auto"/>
      </w:divBdr>
    </w:div>
    <w:div w:id="1098983582">
      <w:bodyDiv w:val="1"/>
      <w:marLeft w:val="0"/>
      <w:marRight w:val="0"/>
      <w:marTop w:val="0"/>
      <w:marBottom w:val="0"/>
      <w:divBdr>
        <w:top w:val="none" w:sz="0" w:space="0" w:color="auto"/>
        <w:left w:val="none" w:sz="0" w:space="0" w:color="auto"/>
        <w:bottom w:val="none" w:sz="0" w:space="0" w:color="auto"/>
        <w:right w:val="none" w:sz="0" w:space="0" w:color="auto"/>
      </w:divBdr>
    </w:div>
    <w:div w:id="1159921860">
      <w:bodyDiv w:val="1"/>
      <w:marLeft w:val="0"/>
      <w:marRight w:val="0"/>
      <w:marTop w:val="0"/>
      <w:marBottom w:val="0"/>
      <w:divBdr>
        <w:top w:val="none" w:sz="0" w:space="0" w:color="auto"/>
        <w:left w:val="none" w:sz="0" w:space="0" w:color="auto"/>
        <w:bottom w:val="none" w:sz="0" w:space="0" w:color="auto"/>
        <w:right w:val="none" w:sz="0" w:space="0" w:color="auto"/>
      </w:divBdr>
    </w:div>
    <w:div w:id="1169833252">
      <w:bodyDiv w:val="1"/>
      <w:marLeft w:val="0"/>
      <w:marRight w:val="0"/>
      <w:marTop w:val="0"/>
      <w:marBottom w:val="0"/>
      <w:divBdr>
        <w:top w:val="none" w:sz="0" w:space="0" w:color="auto"/>
        <w:left w:val="none" w:sz="0" w:space="0" w:color="auto"/>
        <w:bottom w:val="none" w:sz="0" w:space="0" w:color="auto"/>
        <w:right w:val="none" w:sz="0" w:space="0" w:color="auto"/>
      </w:divBdr>
    </w:div>
    <w:div w:id="1207907096">
      <w:bodyDiv w:val="1"/>
      <w:marLeft w:val="0"/>
      <w:marRight w:val="0"/>
      <w:marTop w:val="0"/>
      <w:marBottom w:val="0"/>
      <w:divBdr>
        <w:top w:val="none" w:sz="0" w:space="0" w:color="auto"/>
        <w:left w:val="none" w:sz="0" w:space="0" w:color="auto"/>
        <w:bottom w:val="none" w:sz="0" w:space="0" w:color="auto"/>
        <w:right w:val="none" w:sz="0" w:space="0" w:color="auto"/>
      </w:divBdr>
    </w:div>
    <w:div w:id="1493522612">
      <w:bodyDiv w:val="1"/>
      <w:marLeft w:val="0"/>
      <w:marRight w:val="0"/>
      <w:marTop w:val="0"/>
      <w:marBottom w:val="0"/>
      <w:divBdr>
        <w:top w:val="none" w:sz="0" w:space="0" w:color="auto"/>
        <w:left w:val="none" w:sz="0" w:space="0" w:color="auto"/>
        <w:bottom w:val="none" w:sz="0" w:space="0" w:color="auto"/>
        <w:right w:val="none" w:sz="0" w:space="0" w:color="auto"/>
      </w:divBdr>
    </w:div>
    <w:div w:id="1627351108">
      <w:bodyDiv w:val="1"/>
      <w:marLeft w:val="0"/>
      <w:marRight w:val="0"/>
      <w:marTop w:val="0"/>
      <w:marBottom w:val="0"/>
      <w:divBdr>
        <w:top w:val="none" w:sz="0" w:space="0" w:color="auto"/>
        <w:left w:val="none" w:sz="0" w:space="0" w:color="auto"/>
        <w:bottom w:val="none" w:sz="0" w:space="0" w:color="auto"/>
        <w:right w:val="none" w:sz="0" w:space="0" w:color="auto"/>
      </w:divBdr>
    </w:div>
    <w:div w:id="1633366961">
      <w:bodyDiv w:val="1"/>
      <w:marLeft w:val="0"/>
      <w:marRight w:val="0"/>
      <w:marTop w:val="0"/>
      <w:marBottom w:val="0"/>
      <w:divBdr>
        <w:top w:val="none" w:sz="0" w:space="0" w:color="auto"/>
        <w:left w:val="none" w:sz="0" w:space="0" w:color="auto"/>
        <w:bottom w:val="none" w:sz="0" w:space="0" w:color="auto"/>
        <w:right w:val="none" w:sz="0" w:space="0" w:color="auto"/>
      </w:divBdr>
    </w:div>
    <w:div w:id="1638879698">
      <w:bodyDiv w:val="1"/>
      <w:marLeft w:val="0"/>
      <w:marRight w:val="0"/>
      <w:marTop w:val="0"/>
      <w:marBottom w:val="0"/>
      <w:divBdr>
        <w:top w:val="none" w:sz="0" w:space="0" w:color="auto"/>
        <w:left w:val="none" w:sz="0" w:space="0" w:color="auto"/>
        <w:bottom w:val="none" w:sz="0" w:space="0" w:color="auto"/>
        <w:right w:val="none" w:sz="0" w:space="0" w:color="auto"/>
      </w:divBdr>
      <w:divsChild>
        <w:div w:id="866144097">
          <w:marLeft w:val="0"/>
          <w:marRight w:val="0"/>
          <w:marTop w:val="0"/>
          <w:marBottom w:val="0"/>
          <w:divBdr>
            <w:top w:val="none" w:sz="0" w:space="0" w:color="auto"/>
            <w:left w:val="none" w:sz="0" w:space="0" w:color="auto"/>
            <w:bottom w:val="none" w:sz="0" w:space="0" w:color="auto"/>
            <w:right w:val="none" w:sz="0" w:space="0" w:color="auto"/>
          </w:divBdr>
          <w:divsChild>
            <w:div w:id="764807890">
              <w:marLeft w:val="0"/>
              <w:marRight w:val="0"/>
              <w:marTop w:val="0"/>
              <w:marBottom w:val="0"/>
              <w:divBdr>
                <w:top w:val="none" w:sz="0" w:space="0" w:color="auto"/>
                <w:left w:val="none" w:sz="0" w:space="0" w:color="auto"/>
                <w:bottom w:val="none" w:sz="0" w:space="0" w:color="auto"/>
                <w:right w:val="none" w:sz="0" w:space="0" w:color="auto"/>
              </w:divBdr>
              <w:divsChild>
                <w:div w:id="1863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4064">
      <w:bodyDiv w:val="1"/>
      <w:marLeft w:val="0"/>
      <w:marRight w:val="0"/>
      <w:marTop w:val="0"/>
      <w:marBottom w:val="0"/>
      <w:divBdr>
        <w:top w:val="none" w:sz="0" w:space="0" w:color="auto"/>
        <w:left w:val="none" w:sz="0" w:space="0" w:color="auto"/>
        <w:bottom w:val="none" w:sz="0" w:space="0" w:color="auto"/>
        <w:right w:val="none" w:sz="0" w:space="0" w:color="auto"/>
      </w:divBdr>
    </w:div>
    <w:div w:id="1914855669">
      <w:bodyDiv w:val="1"/>
      <w:marLeft w:val="0"/>
      <w:marRight w:val="0"/>
      <w:marTop w:val="0"/>
      <w:marBottom w:val="0"/>
      <w:divBdr>
        <w:top w:val="none" w:sz="0" w:space="0" w:color="auto"/>
        <w:left w:val="none" w:sz="0" w:space="0" w:color="auto"/>
        <w:bottom w:val="none" w:sz="0" w:space="0" w:color="auto"/>
        <w:right w:val="none" w:sz="0" w:space="0" w:color="auto"/>
      </w:divBdr>
    </w:div>
    <w:div w:id="1973556911">
      <w:bodyDiv w:val="1"/>
      <w:marLeft w:val="0"/>
      <w:marRight w:val="0"/>
      <w:marTop w:val="0"/>
      <w:marBottom w:val="0"/>
      <w:divBdr>
        <w:top w:val="none" w:sz="0" w:space="0" w:color="auto"/>
        <w:left w:val="none" w:sz="0" w:space="0" w:color="auto"/>
        <w:bottom w:val="none" w:sz="0" w:space="0" w:color="auto"/>
        <w:right w:val="none" w:sz="0" w:space="0" w:color="auto"/>
      </w:divBdr>
    </w:div>
    <w:div w:id="1983387180">
      <w:bodyDiv w:val="1"/>
      <w:marLeft w:val="0"/>
      <w:marRight w:val="0"/>
      <w:marTop w:val="0"/>
      <w:marBottom w:val="0"/>
      <w:divBdr>
        <w:top w:val="none" w:sz="0" w:space="0" w:color="auto"/>
        <w:left w:val="none" w:sz="0" w:space="0" w:color="auto"/>
        <w:bottom w:val="none" w:sz="0" w:space="0" w:color="auto"/>
        <w:right w:val="none" w:sz="0" w:space="0" w:color="auto"/>
      </w:divBdr>
    </w:div>
    <w:div w:id="20669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tats.oecd.org" TargetMode="External"/><Relationship Id="rId2" Type="http://schemas.openxmlformats.org/officeDocument/2006/relationships/hyperlink" Target="https://data.worldbank.org/indicator/GC.XPN.INTP.ZS" TargetMode="External"/><Relationship Id="rId1" Type="http://schemas.openxmlformats.org/officeDocument/2006/relationships/hyperlink" Target="https://data.worldbank.org/indicator/GC.DOD.TOTL.GD.ZS" TargetMode="External"/><Relationship Id="rId4" Type="http://schemas.openxmlformats.org/officeDocument/2006/relationships/hyperlink" Target="https://stats.oecd.org"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admin\Desktop\&#1057;%20&#1088;&#1072;&#1073;&#1086;&#1090;&#1099;\&#1056;&#1040;&#1053;&#1061;%20-%20&#1062;&#1077;&#1085;&#1090;&#1088;\&#1060;&#1041;23-25\&#1055;&#1086;&#1083;&#1091;&#1095;&#1077;&#1085;&#1086;\&#1056;&#1072;&#1089;&#1093;&#1086;&#1076;&#1099;-&#1074;%20&#1087;&#1086;&#1089;&#1090;&#1086;&#1103;&#1085;&#1085;&#1099;&#1093;%20&#1094;&#1077;&#1085;&#1072;&#1093;%20+2021%20&#1075;_.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C:\Users\&#1041;&#1077;&#1076;&#1072;&#1088;&#1077;&#1074;&#1072;\AppData\Roaming\Microsoft\Excel\&#1041;&#1102;&#1076;&#1078;&#1077;&#1090;&#1099;%20&#1057;&#1055;&#1054;%20&#1080;%20&#1043;&#1052;&#1055;%20(version%201).xlsb"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C:\Users\&#1041;&#1077;&#1076;&#1072;&#1088;&#1077;&#1074;&#1072;\AppData\Roaming\Microsoft\Excel\&#1041;&#1102;&#1076;&#1078;&#1077;&#1090;&#1099;%20&#1057;&#1055;&#1054;%20&#1080;%20&#1043;&#1052;&#1055;%20(version%201).xlsb"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Microsoft_Excel_Worksheet1.xlsx"/><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C:\Users\Admin\Desktop\&#1056;&#1040;&#1053;&#1061;&#1080;&#1043;&#1057;%20&#1088;&#1072;&#1079;&#1085;&#1086;&#1077;\&#1060;&#1041;\Debt_and_payments.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C:\Users\Admin\Desktop\&#1056;&#1040;&#1053;&#1061;&#1080;&#1043;&#1057;%20&#1088;&#1072;&#1079;&#1085;&#1086;&#1077;\&#1060;&#1041;\Debt_and_payments.xlsx"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openxmlformats.org/officeDocument/2006/relationships/oleObject" Target="file:///D:\Work\_&#1062;&#1048;&#1056;&#1056;\&#1060;&#1077;&#1076;&#1077;&#1088;&#1072;&#1083;&#1100;&#1085;&#1099;&#1081;%20&#1073;&#1102;&#1076;&#1078;&#1077;&#1090;\2022%20&#1060;&#1077;&#1076;&#1077;&#1088;&#1072;&#1083;&#1100;&#1085;&#1099;&#1081;%20&#1073;&#1102;&#1076;&#1078;&#1077;&#1090;%202023-2025\&#1050;&#1085;&#1080;&#1075;&#1072;1%20&#1040;&#104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Work\_&#1062;&#1048;&#1056;&#1056;\&#1060;&#1077;&#1076;&#1077;&#1088;&#1072;&#1083;&#1100;&#1085;&#1099;&#1081;%20&#1073;&#1102;&#1076;&#1078;&#1077;&#1090;\2022%20&#1060;&#1077;&#1076;&#1077;&#1088;&#1072;&#1083;&#1100;&#1085;&#1099;&#1081;%20&#1073;&#1102;&#1076;&#1078;&#1077;&#1090;%202023-2025\&#1050;&#1085;&#1080;&#1075;&#1072;1%20&#1040;&#104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'Расходы в ценах 2021'!$A$24</c:f>
              <c:strCache>
                <c:ptCount val="1"/>
                <c:pt idx="0">
                  <c:v>Расходы ФБ (в ценах 2021 г.), трлн руб.</c:v>
                </c:pt>
              </c:strCache>
            </c:strRef>
          </c:tx>
          <c:spPr>
            <a:ln w="28575" cap="rnd">
              <a:noFill/>
              <a:round/>
            </a:ln>
            <a:effectLst/>
          </c:spPr>
          <c:marker>
            <c:symbol val="circle"/>
            <c:size val="5"/>
            <c:spPr>
              <a:solidFill>
                <a:schemeClr val="accent1"/>
              </a:solidFill>
              <a:ln w="69850">
                <a:solidFill>
                  <a:schemeClr val="accent1"/>
                </a:solidFill>
              </a:ln>
              <a:effectLst/>
            </c:spPr>
          </c:marker>
          <c:dPt>
            <c:idx val="6"/>
            <c:marker>
              <c:spPr>
                <a:solidFill>
                  <a:srgbClr val="FF0000"/>
                </a:solidFill>
                <a:ln w="69850">
                  <a:solidFill>
                    <a:srgbClr val="FF0000"/>
                  </a:solidFill>
                </a:ln>
                <a:effectLst/>
              </c:spPr>
            </c:marker>
            <c:bubble3D val="0"/>
            <c:extLst xmlns:c16r2="http://schemas.microsoft.com/office/drawing/2015/06/chart">
              <c:ext xmlns:c16="http://schemas.microsoft.com/office/drawing/2014/chart" uri="{C3380CC4-5D6E-409C-BE32-E72D297353CC}">
                <c16:uniqueId val="{00000000-DC21-C649-9F96-70E3D1545085}"/>
              </c:ext>
            </c:extLst>
          </c:dPt>
          <c:dPt>
            <c:idx val="9"/>
            <c:marker>
              <c:spPr>
                <a:solidFill>
                  <a:srgbClr val="FF0000"/>
                </a:solidFill>
                <a:ln w="69850">
                  <a:solidFill>
                    <a:srgbClr val="FF0000"/>
                  </a:solidFill>
                </a:ln>
                <a:effectLst/>
              </c:spPr>
            </c:marker>
            <c:bubble3D val="0"/>
            <c:extLst xmlns:c16r2="http://schemas.microsoft.com/office/drawing/2015/06/chart">
              <c:ext xmlns:c16="http://schemas.microsoft.com/office/drawing/2014/chart" uri="{C3380CC4-5D6E-409C-BE32-E72D297353CC}">
                <c16:uniqueId val="{00000001-DC21-C649-9F96-70E3D1545085}"/>
              </c:ext>
            </c:extLst>
          </c:dPt>
          <c:dPt>
            <c:idx val="12"/>
            <c:bubble3D val="0"/>
            <c:extLst xmlns:c16r2="http://schemas.microsoft.com/office/drawing/2015/06/chart">
              <c:ext xmlns:c16="http://schemas.microsoft.com/office/drawing/2014/chart" uri="{C3380CC4-5D6E-409C-BE32-E72D297353CC}">
                <c16:uniqueId val="{00000002-DC21-C649-9F96-70E3D1545085}"/>
              </c:ext>
            </c:extLst>
          </c:dPt>
          <c:dPt>
            <c:idx val="13"/>
            <c:bubble3D val="0"/>
            <c:extLst xmlns:c16r2="http://schemas.microsoft.com/office/drawing/2015/06/chart">
              <c:ext xmlns:c16="http://schemas.microsoft.com/office/drawing/2014/chart" uri="{C3380CC4-5D6E-409C-BE32-E72D297353CC}">
                <c16:uniqueId val="{00000003-DC21-C649-9F96-70E3D1545085}"/>
              </c:ext>
            </c:extLst>
          </c:dPt>
          <c:dPt>
            <c:idx val="15"/>
            <c:bubble3D val="0"/>
            <c:extLst xmlns:c16r2="http://schemas.microsoft.com/office/drawing/2015/06/chart">
              <c:ext xmlns:c16="http://schemas.microsoft.com/office/drawing/2014/chart" uri="{C3380CC4-5D6E-409C-BE32-E72D297353CC}">
                <c16:uniqueId val="{00000004-DC21-C649-9F96-70E3D1545085}"/>
              </c:ext>
            </c:extLst>
          </c:dPt>
          <c:dPt>
            <c:idx val="18"/>
            <c:bubble3D val="0"/>
            <c:extLst xmlns:c16r2="http://schemas.microsoft.com/office/drawing/2015/06/chart">
              <c:ext xmlns:c16="http://schemas.microsoft.com/office/drawing/2014/chart" uri="{C3380CC4-5D6E-409C-BE32-E72D297353CC}">
                <c16:uniqueId val="{00000005-DC21-C649-9F96-70E3D1545085}"/>
              </c:ext>
            </c:extLst>
          </c:dPt>
          <c:dPt>
            <c:idx val="19"/>
            <c:marker>
              <c:spPr>
                <a:solidFill>
                  <a:srgbClr val="FF0000"/>
                </a:solidFill>
                <a:ln w="69850">
                  <a:solidFill>
                    <a:srgbClr val="FF0000"/>
                  </a:solidFill>
                </a:ln>
                <a:effectLst/>
              </c:spPr>
            </c:marker>
            <c:bubble3D val="0"/>
            <c:extLst xmlns:c16r2="http://schemas.microsoft.com/office/drawing/2015/06/chart">
              <c:ext xmlns:c16="http://schemas.microsoft.com/office/drawing/2014/chart" uri="{C3380CC4-5D6E-409C-BE32-E72D297353CC}">
                <c16:uniqueId val="{00000006-DC21-C649-9F96-70E3D1545085}"/>
              </c:ext>
            </c:extLst>
          </c:dPt>
          <c:dPt>
            <c:idx val="20"/>
            <c:bubble3D val="0"/>
            <c:extLst xmlns:c16r2="http://schemas.microsoft.com/office/drawing/2015/06/chart">
              <c:ext xmlns:c16="http://schemas.microsoft.com/office/drawing/2014/chart" uri="{C3380CC4-5D6E-409C-BE32-E72D297353CC}">
                <c16:uniqueId val="{00000007-DC21-C649-9F96-70E3D1545085}"/>
              </c:ext>
            </c:extLst>
          </c:dPt>
          <c:trendline>
            <c:spPr>
              <a:ln w="38100" cap="rnd">
                <a:solidFill>
                  <a:schemeClr val="accent1"/>
                </a:solidFill>
                <a:prstDash val="sysDot"/>
              </a:ln>
              <a:effectLst/>
            </c:spPr>
            <c:trendlineType val="linear"/>
            <c:dispRSqr val="0"/>
            <c:dispEq val="0"/>
          </c:trendline>
          <c:cat>
            <c:numRef>
              <c:f>'Расходы в ценах 2021'!$E$23:$AA$23</c:f>
              <c:numCache>
                <c:formatCode>General</c:formatCode>
                <c:ptCount val="2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pt idx="22">
                  <c:v>2025</c:v>
                </c:pt>
              </c:numCache>
            </c:numRef>
          </c:cat>
          <c:val>
            <c:numRef>
              <c:f>'Расходы в ценах 2021'!$E$24:$AA$24</c:f>
              <c:numCache>
                <c:formatCode>0.0</c:formatCode>
                <c:ptCount val="23"/>
                <c:pt idx="0">
                  <c:v>9.5471659422809356</c:v>
                </c:pt>
                <c:pt idx="1">
                  <c:v>9.7764147173725284</c:v>
                </c:pt>
                <c:pt idx="2">
                  <c:v>11.475421008745027</c:v>
                </c:pt>
                <c:pt idx="3">
                  <c:v>12.834821552966039</c:v>
                </c:pt>
                <c:pt idx="4">
                  <c:v>16.031104575925987</c:v>
                </c:pt>
                <c:pt idx="5">
                  <c:v>17.898916437131504</c:v>
                </c:pt>
                <c:pt idx="6">
                  <c:v>20.99058142483592</c:v>
                </c:pt>
                <c:pt idx="7">
                  <c:v>20.210022778642358</c:v>
                </c:pt>
                <c:pt idx="8">
                  <c:v>20.569614348271699</c:v>
                </c:pt>
                <c:pt idx="9">
                  <c:v>22.780649122284192</c:v>
                </c:pt>
                <c:pt idx="10">
                  <c:v>22.139554431272778</c:v>
                </c:pt>
                <c:pt idx="11">
                  <c:v>22.101157436816052</c:v>
                </c:pt>
                <c:pt idx="12">
                  <c:v>20.615001171952478</c:v>
                </c:pt>
                <c:pt idx="13">
                  <c:v>20.557725940783715</c:v>
                </c:pt>
                <c:pt idx="14">
                  <c:v>20.059072261192128</c:v>
                </c:pt>
                <c:pt idx="15">
                  <c:v>19.582423424418593</c:v>
                </c:pt>
                <c:pt idx="16">
                  <c:v>20.712082830751335</c:v>
                </c:pt>
                <c:pt idx="17">
                  <c:v>24.725926800000003</c:v>
                </c:pt>
                <c:pt idx="18">
                  <c:v>24.7621</c:v>
                </c:pt>
                <c:pt idx="19">
                  <c:v>25.806227758007115</c:v>
                </c:pt>
                <c:pt idx="20">
                  <c:v>24.502538327908109</c:v>
                </c:pt>
                <c:pt idx="21">
                  <c:v>23.865747558002706</c:v>
                </c:pt>
                <c:pt idx="22">
                  <c:v>22.800631231238484</c:v>
                </c:pt>
              </c:numCache>
            </c:numRef>
          </c:val>
          <c:smooth val="0"/>
          <c:extLst xmlns:c16r2="http://schemas.microsoft.com/office/drawing/2015/06/chart">
            <c:ext xmlns:c16="http://schemas.microsoft.com/office/drawing/2014/chart" uri="{C3380CC4-5D6E-409C-BE32-E72D297353CC}">
              <c16:uniqueId val="{00000009-DC21-C649-9F96-70E3D1545085}"/>
            </c:ext>
          </c:extLst>
        </c:ser>
        <c:dLbls>
          <c:showLegendKey val="0"/>
          <c:showVal val="0"/>
          <c:showCatName val="0"/>
          <c:showSerName val="0"/>
          <c:showPercent val="0"/>
          <c:showBubbleSize val="0"/>
        </c:dLbls>
        <c:marker val="1"/>
        <c:smooth val="0"/>
        <c:axId val="313635584"/>
        <c:axId val="313637504"/>
      </c:lineChart>
      <c:catAx>
        <c:axId val="313635584"/>
        <c:scaling>
          <c:orientation val="minMax"/>
        </c:scaling>
        <c:delete val="0"/>
        <c:axPos val="b"/>
        <c:numFmt formatCode="General" sourceLinked="1"/>
        <c:majorTickMark val="out"/>
        <c:minorTickMark val="none"/>
        <c:tickLblPos val="nextTo"/>
        <c:spPr>
          <a:noFill/>
          <a:ln w="254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313637504"/>
        <c:crosses val="autoZero"/>
        <c:auto val="1"/>
        <c:lblAlgn val="ctr"/>
        <c:lblOffset val="100"/>
        <c:tickLblSkip val="2"/>
        <c:tickMarkSkip val="1"/>
        <c:noMultiLvlLbl val="0"/>
      </c:catAx>
      <c:valAx>
        <c:axId val="313637504"/>
        <c:scaling>
          <c:orientation val="minMax"/>
          <c:max val="27"/>
          <c:min val="9"/>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out"/>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313635584"/>
        <c:crosses val="autoZero"/>
        <c:crossBetween val="between"/>
        <c:majorUnit val="3"/>
        <c:minorUnit val="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КБ!$A$13</c:f>
              <c:strCache>
                <c:ptCount val="1"/>
                <c:pt idx="0">
                  <c:v>Среднее профессиональное образование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КБ!$B$12:$F$12</c:f>
              <c:numCache>
                <c:formatCode>General</c:formatCode>
                <c:ptCount val="5"/>
                <c:pt idx="0">
                  <c:v>2017</c:v>
                </c:pt>
                <c:pt idx="1">
                  <c:v>2018</c:v>
                </c:pt>
                <c:pt idx="2">
                  <c:v>2019</c:v>
                </c:pt>
                <c:pt idx="3">
                  <c:v>2020</c:v>
                </c:pt>
                <c:pt idx="4">
                  <c:v>2021</c:v>
                </c:pt>
              </c:numCache>
            </c:numRef>
          </c:cat>
          <c:val>
            <c:numRef>
              <c:f>КБ!$B$13:$F$13</c:f>
              <c:numCache>
                <c:formatCode>#,##0.00</c:formatCode>
                <c:ptCount val="5"/>
                <c:pt idx="0">
                  <c:v>202.6</c:v>
                </c:pt>
                <c:pt idx="1">
                  <c:v>221.6</c:v>
                </c:pt>
                <c:pt idx="2">
                  <c:v>238.6</c:v>
                </c:pt>
                <c:pt idx="3">
                  <c:v>248.1</c:v>
                </c:pt>
                <c:pt idx="4">
                  <c:v>268.7</c:v>
                </c:pt>
              </c:numCache>
            </c:numRef>
          </c:val>
          <c:extLst xmlns:c16r2="http://schemas.microsoft.com/office/drawing/2015/06/chart">
            <c:ext xmlns:c16="http://schemas.microsoft.com/office/drawing/2014/chart" uri="{C3380CC4-5D6E-409C-BE32-E72D297353CC}">
              <c16:uniqueId val="{00000000-5A32-7B4E-A0BB-1A53155588CA}"/>
            </c:ext>
          </c:extLst>
        </c:ser>
        <c:dLbls>
          <c:dLblPos val="outEnd"/>
          <c:showLegendKey val="0"/>
          <c:showVal val="1"/>
          <c:showCatName val="0"/>
          <c:showSerName val="0"/>
          <c:showPercent val="0"/>
          <c:showBubbleSize val="0"/>
        </c:dLbls>
        <c:gapWidth val="219"/>
        <c:overlap val="-27"/>
        <c:axId val="315486208"/>
        <c:axId val="342507904"/>
      </c:barChart>
      <c:catAx>
        <c:axId val="31548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42507904"/>
        <c:crosses val="autoZero"/>
        <c:auto val="1"/>
        <c:lblAlgn val="ctr"/>
        <c:lblOffset val="100"/>
        <c:noMultiLvlLbl val="0"/>
      </c:catAx>
      <c:valAx>
        <c:axId val="342507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a:t>млрд руб.</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1548620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КБ!$A$14</c:f>
              <c:strCache>
                <c:ptCount val="1"/>
                <c:pt idx="0">
                  <c:v>Доля СПО в образовании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КБ!$B$12:$F$12</c:f>
              <c:numCache>
                <c:formatCode>General</c:formatCode>
                <c:ptCount val="5"/>
                <c:pt idx="0">
                  <c:v>2017</c:v>
                </c:pt>
                <c:pt idx="1">
                  <c:v>2018</c:v>
                </c:pt>
                <c:pt idx="2">
                  <c:v>2019</c:v>
                </c:pt>
                <c:pt idx="3">
                  <c:v>2020</c:v>
                </c:pt>
                <c:pt idx="4">
                  <c:v>2021</c:v>
                </c:pt>
              </c:numCache>
            </c:numRef>
          </c:cat>
          <c:val>
            <c:numRef>
              <c:f>КБ!$B$14:$F$14</c:f>
              <c:numCache>
                <c:formatCode>0.0</c:formatCode>
                <c:ptCount val="5"/>
                <c:pt idx="0">
                  <c:v>7.5312381494482725</c:v>
                </c:pt>
                <c:pt idx="1">
                  <c:v>7.3467334638310691</c:v>
                </c:pt>
                <c:pt idx="2">
                  <c:v>7.1080324404684445</c:v>
                </c:pt>
                <c:pt idx="3">
                  <c:v>6.9834962512243504</c:v>
                </c:pt>
                <c:pt idx="4">
                  <c:v>6.8945683029726785</c:v>
                </c:pt>
              </c:numCache>
            </c:numRef>
          </c:val>
          <c:extLst xmlns:c16r2="http://schemas.microsoft.com/office/drawing/2015/06/chart">
            <c:ext xmlns:c16="http://schemas.microsoft.com/office/drawing/2014/chart" uri="{C3380CC4-5D6E-409C-BE32-E72D297353CC}">
              <c16:uniqueId val="{00000000-6822-2942-8E36-03189C687E31}"/>
            </c:ext>
          </c:extLst>
        </c:ser>
        <c:dLbls>
          <c:dLblPos val="outEnd"/>
          <c:showLegendKey val="0"/>
          <c:showVal val="1"/>
          <c:showCatName val="0"/>
          <c:showSerName val="0"/>
          <c:showPercent val="0"/>
          <c:showBubbleSize val="0"/>
        </c:dLbls>
        <c:gapWidth val="219"/>
        <c:overlap val="-27"/>
        <c:axId val="235704704"/>
        <c:axId val="235706240"/>
      </c:barChart>
      <c:catAx>
        <c:axId val="23570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35706240"/>
        <c:crosses val="autoZero"/>
        <c:auto val="1"/>
        <c:lblAlgn val="ctr"/>
        <c:lblOffset val="100"/>
        <c:noMultiLvlLbl val="0"/>
      </c:catAx>
      <c:valAx>
        <c:axId val="235706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35704704"/>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Лист2!$B$3</c:f>
              <c:strCache>
                <c:ptCount val="1"/>
                <c:pt idx="0">
                  <c:v>Расходы ФБ на высшее образование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Лист2!$C$2:$H$2</c:f>
              <c:numCache>
                <c:formatCode>General</c:formatCode>
                <c:ptCount val="6"/>
                <c:pt idx="0">
                  <c:v>2017</c:v>
                </c:pt>
                <c:pt idx="1">
                  <c:v>2018</c:v>
                </c:pt>
                <c:pt idx="2">
                  <c:v>2019</c:v>
                </c:pt>
                <c:pt idx="3">
                  <c:v>2020</c:v>
                </c:pt>
                <c:pt idx="4">
                  <c:v>2021</c:v>
                </c:pt>
                <c:pt idx="5">
                  <c:v>2022</c:v>
                </c:pt>
              </c:numCache>
            </c:numRef>
          </c:cat>
          <c:val>
            <c:numRef>
              <c:f>Лист2!$C$3:$H$3</c:f>
              <c:numCache>
                <c:formatCode>General</c:formatCode>
                <c:ptCount val="6"/>
                <c:pt idx="0" formatCode="0.0">
                  <c:v>492</c:v>
                </c:pt>
                <c:pt idx="1">
                  <c:v>532.4</c:v>
                </c:pt>
                <c:pt idx="2">
                  <c:v>563.29999999999995</c:v>
                </c:pt>
                <c:pt idx="3">
                  <c:v>621.9</c:v>
                </c:pt>
                <c:pt idx="4" formatCode="0.0">
                  <c:v>627</c:v>
                </c:pt>
                <c:pt idx="5">
                  <c:v>652.29999999999995</c:v>
                </c:pt>
              </c:numCache>
            </c:numRef>
          </c:val>
          <c:extLst xmlns:c16r2="http://schemas.microsoft.com/office/drawing/2015/06/chart">
            <c:ext xmlns:c16="http://schemas.microsoft.com/office/drawing/2014/chart" uri="{C3380CC4-5D6E-409C-BE32-E72D297353CC}">
              <c16:uniqueId val="{00000000-3FEC-5243-BA15-7A11586CF061}"/>
            </c:ext>
          </c:extLst>
        </c:ser>
        <c:dLbls>
          <c:dLblPos val="outEnd"/>
          <c:showLegendKey val="0"/>
          <c:showVal val="1"/>
          <c:showCatName val="0"/>
          <c:showSerName val="0"/>
          <c:showPercent val="0"/>
          <c:showBubbleSize val="0"/>
        </c:dLbls>
        <c:gapWidth val="219"/>
        <c:overlap val="-27"/>
        <c:axId val="266708096"/>
        <c:axId val="269422592"/>
      </c:barChart>
      <c:lineChart>
        <c:grouping val="standard"/>
        <c:varyColors val="0"/>
        <c:ser>
          <c:idx val="1"/>
          <c:order val="1"/>
          <c:tx>
            <c:strRef>
              <c:f>Лист2!$B$4</c:f>
              <c:strCache>
                <c:ptCount val="1"/>
                <c:pt idx="0">
                  <c:v>Темп роста расходов на высшее образование</c:v>
                </c:pt>
              </c:strCache>
            </c:strRef>
          </c:tx>
          <c:spPr>
            <a:ln w="28575" cap="rnd">
              <a:solidFill>
                <a:schemeClr val="accent2"/>
              </a:solidFill>
              <a:round/>
            </a:ln>
            <a:effectLst/>
          </c:spPr>
          <c:marker>
            <c:symbol val="none"/>
          </c:marker>
          <c:dLbls>
            <c:dLbl>
              <c:idx val="1"/>
              <c:layout>
                <c:manualLayout>
                  <c:x val="3.4364261168384841E-2"/>
                  <c:y val="8.33333333333332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EC-5243-BA15-7A11586CF061}"/>
                </c:ext>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Лист2!$C$2:$H$2</c:f>
              <c:numCache>
                <c:formatCode>General</c:formatCode>
                <c:ptCount val="6"/>
                <c:pt idx="0">
                  <c:v>2017</c:v>
                </c:pt>
                <c:pt idx="1">
                  <c:v>2018</c:v>
                </c:pt>
                <c:pt idx="2">
                  <c:v>2019</c:v>
                </c:pt>
                <c:pt idx="3">
                  <c:v>2020</c:v>
                </c:pt>
                <c:pt idx="4">
                  <c:v>2021</c:v>
                </c:pt>
                <c:pt idx="5">
                  <c:v>2022</c:v>
                </c:pt>
              </c:numCache>
            </c:numRef>
          </c:cat>
          <c:val>
            <c:numRef>
              <c:f>Лист2!$C$4:$H$4</c:f>
              <c:numCache>
                <c:formatCode>0.0%</c:formatCode>
                <c:ptCount val="6"/>
                <c:pt idx="0">
                  <c:v>1</c:v>
                </c:pt>
                <c:pt idx="1">
                  <c:v>1.0821138211382113</c:v>
                </c:pt>
                <c:pt idx="2">
                  <c:v>1.0580390683696468</c:v>
                </c:pt>
                <c:pt idx="3">
                  <c:v>1.1040298242499558</c:v>
                </c:pt>
                <c:pt idx="4">
                  <c:v>1.0082006753497348</c:v>
                </c:pt>
                <c:pt idx="5">
                  <c:v>1.0403508771929824</c:v>
                </c:pt>
              </c:numCache>
            </c:numRef>
          </c:val>
          <c:smooth val="0"/>
          <c:extLst xmlns:c16r2="http://schemas.microsoft.com/office/drawing/2015/06/chart">
            <c:ext xmlns:c16="http://schemas.microsoft.com/office/drawing/2014/chart" uri="{C3380CC4-5D6E-409C-BE32-E72D297353CC}">
              <c16:uniqueId val="{00000002-3FEC-5243-BA15-7A11586CF061}"/>
            </c:ext>
          </c:extLst>
        </c:ser>
        <c:dLbls>
          <c:showLegendKey val="0"/>
          <c:showVal val="1"/>
          <c:showCatName val="0"/>
          <c:showSerName val="0"/>
          <c:showPercent val="0"/>
          <c:showBubbleSize val="0"/>
        </c:dLbls>
        <c:marker val="1"/>
        <c:smooth val="0"/>
        <c:axId val="269425664"/>
        <c:axId val="269424128"/>
      </c:lineChart>
      <c:catAx>
        <c:axId val="26670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422592"/>
        <c:crosses val="autoZero"/>
        <c:auto val="1"/>
        <c:lblAlgn val="ctr"/>
        <c:lblOffset val="100"/>
        <c:noMultiLvlLbl val="0"/>
      </c:catAx>
      <c:valAx>
        <c:axId val="269422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708096"/>
        <c:crosses val="autoZero"/>
        <c:crossBetween val="between"/>
      </c:valAx>
      <c:valAx>
        <c:axId val="26942412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425664"/>
        <c:crosses val="max"/>
        <c:crossBetween val="between"/>
      </c:valAx>
      <c:catAx>
        <c:axId val="269425664"/>
        <c:scaling>
          <c:orientation val="minMax"/>
        </c:scaling>
        <c:delete val="1"/>
        <c:axPos val="b"/>
        <c:numFmt formatCode="General" sourceLinked="1"/>
        <c:majorTickMark val="none"/>
        <c:minorTickMark val="none"/>
        <c:tickLblPos val="nextTo"/>
        <c:crossAx val="26942412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0" i="0" baseline="0">
                <a:solidFill>
                  <a:sysClr val="windowText" lastClr="000000"/>
                </a:solidFill>
                <a:effectLst/>
                <a:latin typeface="Times New Roman" panose="02020603050405020304" pitchFamily="18" charset="0"/>
                <a:cs typeface="Times New Roman" panose="02020603050405020304" pitchFamily="18" charset="0"/>
              </a:rPr>
              <a:t>Процентные платежи и объём долга,</a:t>
            </a:r>
            <a:r>
              <a:rPr lang="en-US" sz="1200" b="0" i="0" baseline="0">
                <a:solidFill>
                  <a:sysClr val="windowText" lastClr="000000"/>
                </a:solidFill>
                <a:effectLst/>
                <a:latin typeface="Times New Roman" panose="02020603050405020304" pitchFamily="18" charset="0"/>
                <a:cs typeface="Times New Roman" panose="02020603050405020304" pitchFamily="18" charset="0"/>
              </a:rPr>
              <a:t> </a:t>
            </a:r>
            <a:r>
              <a:rPr lang="ru-RU" sz="1200" b="0" i="0" baseline="0">
                <a:solidFill>
                  <a:sysClr val="windowText" lastClr="000000"/>
                </a:solidFill>
                <a:effectLst/>
                <a:latin typeface="Times New Roman" panose="02020603050405020304" pitchFamily="18" charset="0"/>
                <a:cs typeface="Times New Roman" panose="02020603050405020304" pitchFamily="18" charset="0"/>
              </a:rPr>
              <a:t/>
            </a:r>
            <a:br>
              <a:rPr lang="ru-RU" sz="1200" b="0" i="0" baseline="0">
                <a:solidFill>
                  <a:sysClr val="windowText" lastClr="000000"/>
                </a:solidFill>
                <a:effectLst/>
                <a:latin typeface="Times New Roman" panose="02020603050405020304" pitchFamily="18" charset="0"/>
                <a:cs typeface="Times New Roman" panose="02020603050405020304" pitchFamily="18" charset="0"/>
              </a:rPr>
            </a:br>
            <a:r>
              <a:rPr lang="en-US" sz="1200" b="0" i="0" baseline="0">
                <a:solidFill>
                  <a:sysClr val="windowText" lastClr="000000"/>
                </a:solidFill>
                <a:effectLst/>
                <a:latin typeface="Times New Roman" panose="02020603050405020304" pitchFamily="18" charset="0"/>
                <a:cs typeface="Times New Roman" panose="02020603050405020304" pitchFamily="18" charset="0"/>
              </a:rPr>
              <a:t>8</a:t>
            </a:r>
            <a:r>
              <a:rPr lang="ru-RU" sz="1200" b="0" i="0" baseline="0">
                <a:solidFill>
                  <a:sysClr val="windowText" lastClr="000000"/>
                </a:solidFill>
                <a:effectLst/>
                <a:latin typeface="Times New Roman" panose="02020603050405020304" pitchFamily="18" charset="0"/>
                <a:cs typeface="Times New Roman" panose="02020603050405020304" pitchFamily="18" charset="0"/>
              </a:rPr>
              <a:t>2 страны, 1995-2020 гг.</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2734711286089238"/>
          <c:y val="0"/>
        </c:manualLayout>
      </c:layout>
      <c:overlay val="0"/>
      <c:spPr>
        <a:noFill/>
        <a:ln>
          <a:noFill/>
        </a:ln>
        <a:effectLst/>
      </c:spPr>
    </c:title>
    <c:autoTitleDeleted val="0"/>
    <c:plotArea>
      <c:layout>
        <c:manualLayout>
          <c:layoutTarget val="inner"/>
          <c:xMode val="edge"/>
          <c:yMode val="edge"/>
          <c:x val="7.213648293963254E-2"/>
          <c:y val="0.15555555555555556"/>
          <c:w val="0.88386351706036748"/>
          <c:h val="0.7092672790901137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data!$E$918:$E$2545</c:f>
              <c:numCache>
                <c:formatCode>General</c:formatCode>
                <c:ptCount val="1628"/>
                <c:pt idx="0">
                  <c:v>35.756939928320001</c:v>
                </c:pt>
                <c:pt idx="2">
                  <c:v>21.695657449919999</c:v>
                </c:pt>
                <c:pt idx="5">
                  <c:v>16.986451622554</c:v>
                </c:pt>
                <c:pt idx="6">
                  <c:v>16.886624531500001</c:v>
                </c:pt>
                <c:pt idx="7">
                  <c:v>125.57659944464</c:v>
                </c:pt>
                <c:pt idx="8">
                  <c:v>57.411379392289199</c:v>
                </c:pt>
                <c:pt idx="9">
                  <c:v>77.368744217242295</c:v>
                </c:pt>
                <c:pt idx="10">
                  <c:v>17.372315773754998</c:v>
                </c:pt>
                <c:pt idx="16">
                  <c:v>82.629676356514807</c:v>
                </c:pt>
                <c:pt idx="19">
                  <c:v>61.516348652570002</c:v>
                </c:pt>
                <c:pt idx="21">
                  <c:v>11.449991751700001</c:v>
                </c:pt>
                <c:pt idx="22">
                  <c:v>86.113863434537507</c:v>
                </c:pt>
                <c:pt idx="23">
                  <c:v>46.344657666793097</c:v>
                </c:pt>
                <c:pt idx="24">
                  <c:v>47.491641324249997</c:v>
                </c:pt>
                <c:pt idx="27">
                  <c:v>14.113512273971001</c:v>
                </c:pt>
                <c:pt idx="33">
                  <c:v>32.458381375252998</c:v>
                </c:pt>
                <c:pt idx="34">
                  <c:v>37.712826765270997</c:v>
                </c:pt>
                <c:pt idx="35">
                  <c:v>68.394915278753501</c:v>
                </c:pt>
                <c:pt idx="40">
                  <c:v>72.784931328799999</c:v>
                </c:pt>
                <c:pt idx="43">
                  <c:v>94.649825974493993</c:v>
                </c:pt>
                <c:pt idx="45">
                  <c:v>22.476378745190001</c:v>
                </c:pt>
                <c:pt idx="46">
                  <c:v>4.6194712318390003</c:v>
                </c:pt>
                <c:pt idx="47">
                  <c:v>57.518267866149003</c:v>
                </c:pt>
                <c:pt idx="48">
                  <c:v>35.841476489450002</c:v>
                </c:pt>
                <c:pt idx="49">
                  <c:v>87.721573188362001</c:v>
                </c:pt>
                <c:pt idx="50">
                  <c:v>47.295352878860001</c:v>
                </c:pt>
                <c:pt idx="52">
                  <c:v>37.481649631849997</c:v>
                </c:pt>
                <c:pt idx="54">
                  <c:v>21.8248473429732</c:v>
                </c:pt>
                <c:pt idx="57">
                  <c:v>15.813127247135</c:v>
                </c:pt>
                <c:pt idx="58">
                  <c:v>11.521288585280001</c:v>
                </c:pt>
                <c:pt idx="59">
                  <c:v>127.33165113939999</c:v>
                </c:pt>
                <c:pt idx="60">
                  <c:v>47.882866229933001</c:v>
                </c:pt>
                <c:pt idx="61">
                  <c:v>78.115523153987695</c:v>
                </c:pt>
                <c:pt idx="62">
                  <c:v>14.584476137943</c:v>
                </c:pt>
                <c:pt idx="63">
                  <c:v>3.9821117956559999</c:v>
                </c:pt>
                <c:pt idx="68">
                  <c:v>72.159362693999995</c:v>
                </c:pt>
                <c:pt idx="71">
                  <c:v>46.429985782629998</c:v>
                </c:pt>
                <c:pt idx="73">
                  <c:v>11.241832874462901</c:v>
                </c:pt>
                <c:pt idx="74">
                  <c:v>75.998623338930003</c:v>
                </c:pt>
                <c:pt idx="75">
                  <c:v>45.698834984729103</c:v>
                </c:pt>
                <c:pt idx="76">
                  <c:v>45.7233772879</c:v>
                </c:pt>
                <c:pt idx="79">
                  <c:v>12.571595738477001</c:v>
                </c:pt>
                <c:pt idx="86">
                  <c:v>25.166178175260001</c:v>
                </c:pt>
                <c:pt idx="87">
                  <c:v>49.479632357370001</c:v>
                </c:pt>
                <c:pt idx="92">
                  <c:v>72.735334619780005</c:v>
                </c:pt>
                <c:pt idx="95">
                  <c:v>92.343984335944</c:v>
                </c:pt>
                <c:pt idx="96">
                  <c:v>85.682881789378001</c:v>
                </c:pt>
                <c:pt idx="97">
                  <c:v>22.879727777271299</c:v>
                </c:pt>
                <c:pt idx="98">
                  <c:v>3.6734974574246899</c:v>
                </c:pt>
                <c:pt idx="99">
                  <c:v>55.296517943300003</c:v>
                </c:pt>
                <c:pt idx="100">
                  <c:v>37.927514441740001</c:v>
                </c:pt>
                <c:pt idx="101">
                  <c:v>86.649898895600003</c:v>
                </c:pt>
                <c:pt idx="102">
                  <c:v>46.7417685518</c:v>
                </c:pt>
                <c:pt idx="104">
                  <c:v>53.178249689125998</c:v>
                </c:pt>
                <c:pt idx="106">
                  <c:v>2.8752429182913999</c:v>
                </c:pt>
                <c:pt idx="109">
                  <c:v>16.96582375437</c:v>
                </c:pt>
                <c:pt idx="110">
                  <c:v>12.171469728675</c:v>
                </c:pt>
                <c:pt idx="111">
                  <c:v>124.11334714749999</c:v>
                </c:pt>
                <c:pt idx="112">
                  <c:v>46.53655486561</c:v>
                </c:pt>
                <c:pt idx="113">
                  <c:v>74.762568985384206</c:v>
                </c:pt>
                <c:pt idx="114">
                  <c:v>12.779823184742201</c:v>
                </c:pt>
                <c:pt idx="115">
                  <c:v>3.17938643986</c:v>
                </c:pt>
                <c:pt idx="120">
                  <c:v>69.421687598481995</c:v>
                </c:pt>
                <c:pt idx="123">
                  <c:v>45.922151968210002</c:v>
                </c:pt>
                <c:pt idx="125">
                  <c:v>19.64885726832</c:v>
                </c:pt>
                <c:pt idx="126">
                  <c:v>11.345217673895</c:v>
                </c:pt>
                <c:pt idx="127">
                  <c:v>67.316878259924707</c:v>
                </c:pt>
                <c:pt idx="128">
                  <c:v>68.465771376768004</c:v>
                </c:pt>
                <c:pt idx="129">
                  <c:v>5.3654361263116002</c:v>
                </c:pt>
                <c:pt idx="132">
                  <c:v>97.244658995470004</c:v>
                </c:pt>
                <c:pt idx="140">
                  <c:v>2.6491358972825001</c:v>
                </c:pt>
                <c:pt idx="141">
                  <c:v>48.869353115827003</c:v>
                </c:pt>
                <c:pt idx="142">
                  <c:v>54.627578692247504</c:v>
                </c:pt>
                <c:pt idx="143">
                  <c:v>64.462415144694006</c:v>
                </c:pt>
                <c:pt idx="148">
                  <c:v>71.367292667241998</c:v>
                </c:pt>
                <c:pt idx="151">
                  <c:v>86.159316732099995</c:v>
                </c:pt>
                <c:pt idx="152">
                  <c:v>87.965724939270004</c:v>
                </c:pt>
                <c:pt idx="153">
                  <c:v>24.895628858711699</c:v>
                </c:pt>
                <c:pt idx="154">
                  <c:v>4.6415249484730001</c:v>
                </c:pt>
                <c:pt idx="155">
                  <c:v>56.935327866895001</c:v>
                </c:pt>
                <c:pt idx="156">
                  <c:v>44.293288717448</c:v>
                </c:pt>
                <c:pt idx="158">
                  <c:v>87.723721929486999</c:v>
                </c:pt>
                <c:pt idx="159">
                  <c:v>44.117469833278399</c:v>
                </c:pt>
                <c:pt idx="161">
                  <c:v>55.565738623409999</c:v>
                </c:pt>
                <c:pt idx="163">
                  <c:v>16.888917774242</c:v>
                </c:pt>
                <c:pt idx="166">
                  <c:v>21.164681889853998</c:v>
                </c:pt>
                <c:pt idx="167">
                  <c:v>2.1854263981300002</c:v>
                </c:pt>
                <c:pt idx="168">
                  <c:v>126.56647548559999</c:v>
                </c:pt>
                <c:pt idx="169">
                  <c:v>47.751925934341003</c:v>
                </c:pt>
                <c:pt idx="170">
                  <c:v>72.339661359499999</c:v>
                </c:pt>
                <c:pt idx="171">
                  <c:v>12.115296439873999</c:v>
                </c:pt>
                <c:pt idx="172">
                  <c:v>5.4391549112142998</c:v>
                </c:pt>
                <c:pt idx="173">
                  <c:v>4.25124397</c:v>
                </c:pt>
                <c:pt idx="177">
                  <c:v>6.9922247399000002</c:v>
                </c:pt>
                <c:pt idx="178">
                  <c:v>77.961679199719001</c:v>
                </c:pt>
                <c:pt idx="180">
                  <c:v>62.363968826440001</c:v>
                </c:pt>
                <c:pt idx="181">
                  <c:v>56.964733876266997</c:v>
                </c:pt>
                <c:pt idx="183">
                  <c:v>18.66836957516</c:v>
                </c:pt>
                <c:pt idx="184">
                  <c:v>11.281678443371</c:v>
                </c:pt>
                <c:pt idx="185">
                  <c:v>64.163927596180002</c:v>
                </c:pt>
                <c:pt idx="186">
                  <c:v>63.176729797764999</c:v>
                </c:pt>
                <c:pt idx="187">
                  <c:v>5.3192181732349999</c:v>
                </c:pt>
                <c:pt idx="189">
                  <c:v>6.9339267374000002</c:v>
                </c:pt>
                <c:pt idx="190">
                  <c:v>98.151323956799899</c:v>
                </c:pt>
                <c:pt idx="195">
                  <c:v>16.957538728999999</c:v>
                </c:pt>
                <c:pt idx="199">
                  <c:v>22.2436286767288</c:v>
                </c:pt>
                <c:pt idx="200">
                  <c:v>82.8327822731422</c:v>
                </c:pt>
                <c:pt idx="201">
                  <c:v>71.575334452530001</c:v>
                </c:pt>
                <c:pt idx="202">
                  <c:v>61.18593466766</c:v>
                </c:pt>
                <c:pt idx="207">
                  <c:v>82.599116639914001</c:v>
                </c:pt>
                <c:pt idx="210">
                  <c:v>89.195823911134298</c:v>
                </c:pt>
                <c:pt idx="211">
                  <c:v>87.866348274326995</c:v>
                </c:pt>
                <c:pt idx="212">
                  <c:v>27.963868544777998</c:v>
                </c:pt>
                <c:pt idx="213">
                  <c:v>1.6698573854214001</c:v>
                </c:pt>
                <c:pt idx="214">
                  <c:v>54.281744338334001</c:v>
                </c:pt>
                <c:pt idx="215">
                  <c:v>3.296627995942</c:v>
                </c:pt>
                <c:pt idx="217">
                  <c:v>89.273527332973998</c:v>
                </c:pt>
                <c:pt idx="218">
                  <c:v>41.129148979385</c:v>
                </c:pt>
                <c:pt idx="221">
                  <c:v>31.112485972518002</c:v>
                </c:pt>
                <c:pt idx="222">
                  <c:v>64.212895543392605</c:v>
                </c:pt>
                <c:pt idx="224">
                  <c:v>23.691552697932998</c:v>
                </c:pt>
                <c:pt idx="225">
                  <c:v>15.13117448937</c:v>
                </c:pt>
                <c:pt idx="226">
                  <c:v>115.12117184744</c:v>
                </c:pt>
                <c:pt idx="227">
                  <c:v>56.257582983937503</c:v>
                </c:pt>
                <c:pt idx="228">
                  <c:v>66.928429622677001</c:v>
                </c:pt>
                <c:pt idx="229">
                  <c:v>13.277713556</c:v>
                </c:pt>
                <c:pt idx="230">
                  <c:v>19.653587471000002</c:v>
                </c:pt>
                <c:pt idx="231">
                  <c:v>4.1482942644999996</c:v>
                </c:pt>
                <c:pt idx="235">
                  <c:v>7.8418433362456703</c:v>
                </c:pt>
                <c:pt idx="236">
                  <c:v>85.554697916654007</c:v>
                </c:pt>
                <c:pt idx="238">
                  <c:v>59.1726427169</c:v>
                </c:pt>
                <c:pt idx="239">
                  <c:v>6.77763335696</c:v>
                </c:pt>
                <c:pt idx="241">
                  <c:v>19.266289123</c:v>
                </c:pt>
                <c:pt idx="242">
                  <c:v>13.471885924417</c:v>
                </c:pt>
                <c:pt idx="243">
                  <c:v>66.78556634988</c:v>
                </c:pt>
                <c:pt idx="244">
                  <c:v>59.157679358910002</c:v>
                </c:pt>
                <c:pt idx="245">
                  <c:v>51.352951438414799</c:v>
                </c:pt>
                <c:pt idx="247">
                  <c:v>49.141869837639803</c:v>
                </c:pt>
                <c:pt idx="248">
                  <c:v>91.444157719309999</c:v>
                </c:pt>
                <c:pt idx="252">
                  <c:v>128.64126911489899</c:v>
                </c:pt>
                <c:pt idx="256">
                  <c:v>2.4855514291</c:v>
                </c:pt>
                <c:pt idx="257">
                  <c:v>77.898453393135298</c:v>
                </c:pt>
                <c:pt idx="258">
                  <c:v>83.914497696666402</c:v>
                </c:pt>
                <c:pt idx="259">
                  <c:v>61.617133824120003</c:v>
                </c:pt>
                <c:pt idx="264">
                  <c:v>1.74413772425</c:v>
                </c:pt>
                <c:pt idx="265">
                  <c:v>87.863784556910005</c:v>
                </c:pt>
                <c:pt idx="268">
                  <c:v>95.181546127673002</c:v>
                </c:pt>
                <c:pt idx="269">
                  <c:v>77.839669173776002</c:v>
                </c:pt>
                <c:pt idx="270">
                  <c:v>24.951472361621999</c:v>
                </c:pt>
                <c:pt idx="271">
                  <c:v>2.57789155598</c:v>
                </c:pt>
                <c:pt idx="272">
                  <c:v>55.638636383379001</c:v>
                </c:pt>
                <c:pt idx="273">
                  <c:v>6.9764493313860001</c:v>
                </c:pt>
                <c:pt idx="275">
                  <c:v>86.444139466587302</c:v>
                </c:pt>
                <c:pt idx="276">
                  <c:v>37.727278268657997</c:v>
                </c:pt>
                <c:pt idx="279">
                  <c:v>29.565285724216501</c:v>
                </c:pt>
                <c:pt idx="280">
                  <c:v>64.739782238816005</c:v>
                </c:pt>
                <c:pt idx="281">
                  <c:v>25.745148929614</c:v>
                </c:pt>
                <c:pt idx="282">
                  <c:v>15.144518163360001</c:v>
                </c:pt>
                <c:pt idx="283">
                  <c:v>19.647472823459999</c:v>
                </c:pt>
                <c:pt idx="284">
                  <c:v>6.1919774458000001</c:v>
                </c:pt>
                <c:pt idx="285">
                  <c:v>58.627864597219997</c:v>
                </c:pt>
                <c:pt idx="286">
                  <c:v>13.145644621800001</c:v>
                </c:pt>
                <c:pt idx="287">
                  <c:v>17.792168229800001</c:v>
                </c:pt>
                <c:pt idx="288">
                  <c:v>38.518488682379001</c:v>
                </c:pt>
                <c:pt idx="292">
                  <c:v>4.6698726548799998</c:v>
                </c:pt>
                <c:pt idx="294">
                  <c:v>58.299252325733001</c:v>
                </c:pt>
                <c:pt idx="295">
                  <c:v>58.519633962713002</c:v>
                </c:pt>
                <c:pt idx="297">
                  <c:v>119.431457212669</c:v>
                </c:pt>
                <c:pt idx="298">
                  <c:v>16.983823125752998</c:v>
                </c:pt>
                <c:pt idx="299">
                  <c:v>61.211424272435998</c:v>
                </c:pt>
                <c:pt idx="300">
                  <c:v>58.258259121560002</c:v>
                </c:pt>
                <c:pt idx="301">
                  <c:v>55.424649568420001</c:v>
                </c:pt>
                <c:pt idx="302">
                  <c:v>38.141748256299998</c:v>
                </c:pt>
                <c:pt idx="311">
                  <c:v>19.694868189809998</c:v>
                </c:pt>
                <c:pt idx="312">
                  <c:v>73.188685654330001</c:v>
                </c:pt>
                <c:pt idx="313">
                  <c:v>78.418327787300001</c:v>
                </c:pt>
                <c:pt idx="318">
                  <c:v>62.148888866957599</c:v>
                </c:pt>
                <c:pt idx="319">
                  <c:v>83.842291725531993</c:v>
                </c:pt>
                <c:pt idx="322">
                  <c:v>96.943264537589997</c:v>
                </c:pt>
                <c:pt idx="323">
                  <c:v>7.2783172649888002</c:v>
                </c:pt>
                <c:pt idx="324">
                  <c:v>25.723226757566</c:v>
                </c:pt>
                <c:pt idx="325">
                  <c:v>21.964586513919599</c:v>
                </c:pt>
                <c:pt idx="326">
                  <c:v>56.721275829499803</c:v>
                </c:pt>
                <c:pt idx="327">
                  <c:v>43.729787427325597</c:v>
                </c:pt>
                <c:pt idx="328">
                  <c:v>86.528837556900001</c:v>
                </c:pt>
                <c:pt idx="329">
                  <c:v>33.2676548646821</c:v>
                </c:pt>
                <c:pt idx="332">
                  <c:v>27.733176667115</c:v>
                </c:pt>
                <c:pt idx="333">
                  <c:v>65.185855545769996</c:v>
                </c:pt>
                <c:pt idx="334">
                  <c:v>27.147836328351001</c:v>
                </c:pt>
                <c:pt idx="335">
                  <c:v>31.461843157583999</c:v>
                </c:pt>
                <c:pt idx="336">
                  <c:v>11.44616774975</c:v>
                </c:pt>
                <c:pt idx="337">
                  <c:v>18.917591351373002</c:v>
                </c:pt>
                <c:pt idx="338">
                  <c:v>68.339852764533006</c:v>
                </c:pt>
                <c:pt idx="339">
                  <c:v>57.322143927446497</c:v>
                </c:pt>
                <c:pt idx="341">
                  <c:v>39.335111911798897</c:v>
                </c:pt>
                <c:pt idx="342">
                  <c:v>57.537651539948598</c:v>
                </c:pt>
                <c:pt idx="346">
                  <c:v>3.81132632295459</c:v>
                </c:pt>
                <c:pt idx="349">
                  <c:v>57.818879294656</c:v>
                </c:pt>
                <c:pt idx="350">
                  <c:v>56.323643991689998</c:v>
                </c:pt>
                <c:pt idx="352">
                  <c:v>123.59918595400001</c:v>
                </c:pt>
                <c:pt idx="353">
                  <c:v>2.2692331792839999</c:v>
                </c:pt>
                <c:pt idx="354">
                  <c:v>59.365693278682002</c:v>
                </c:pt>
                <c:pt idx="355">
                  <c:v>6.2843851819000003</c:v>
                </c:pt>
                <c:pt idx="356">
                  <c:v>59.179979688449997</c:v>
                </c:pt>
                <c:pt idx="357">
                  <c:v>35.719891839600002</c:v>
                </c:pt>
                <c:pt idx="367">
                  <c:v>6.7746432557479999</c:v>
                </c:pt>
                <c:pt idx="368">
                  <c:v>69.997989385790007</c:v>
                </c:pt>
                <c:pt idx="374">
                  <c:v>48.983615335174001</c:v>
                </c:pt>
                <c:pt idx="375">
                  <c:v>93.936312512556995</c:v>
                </c:pt>
                <c:pt idx="378">
                  <c:v>13.219274149885001</c:v>
                </c:pt>
                <c:pt idx="379">
                  <c:v>6.8697579732799996</c:v>
                </c:pt>
                <c:pt idx="380">
                  <c:v>24.647398831952</c:v>
                </c:pt>
                <c:pt idx="381">
                  <c:v>24.578334358589</c:v>
                </c:pt>
                <c:pt idx="382">
                  <c:v>56.4678199732883</c:v>
                </c:pt>
                <c:pt idx="384">
                  <c:v>83.336624855400004</c:v>
                </c:pt>
                <c:pt idx="385">
                  <c:v>52.443676328634801</c:v>
                </c:pt>
                <c:pt idx="386">
                  <c:v>4.643334859656</c:v>
                </c:pt>
                <c:pt idx="389">
                  <c:v>25.9132445515</c:v>
                </c:pt>
                <c:pt idx="390">
                  <c:v>67.811873252167004</c:v>
                </c:pt>
                <c:pt idx="391">
                  <c:v>28.379667165326001</c:v>
                </c:pt>
                <c:pt idx="392">
                  <c:v>31.863991518420001</c:v>
                </c:pt>
                <c:pt idx="393">
                  <c:v>12.336686124798</c:v>
                </c:pt>
                <c:pt idx="394">
                  <c:v>18.3462152725</c:v>
                </c:pt>
                <c:pt idx="396">
                  <c:v>54.913347444000003</c:v>
                </c:pt>
                <c:pt idx="399">
                  <c:v>54.871118156111699</c:v>
                </c:pt>
                <c:pt idx="403">
                  <c:v>4.4294849148199997</c:v>
                </c:pt>
                <c:pt idx="406">
                  <c:v>61.1765498677754</c:v>
                </c:pt>
                <c:pt idx="407">
                  <c:v>55.449325751730001</c:v>
                </c:pt>
                <c:pt idx="409">
                  <c:v>125.626342967539</c:v>
                </c:pt>
                <c:pt idx="410">
                  <c:v>18.692477319178</c:v>
                </c:pt>
                <c:pt idx="411">
                  <c:v>59.146736875640002</c:v>
                </c:pt>
                <c:pt idx="412">
                  <c:v>56.299462359327997</c:v>
                </c:pt>
                <c:pt idx="413">
                  <c:v>62.552771295592002</c:v>
                </c:pt>
                <c:pt idx="415">
                  <c:v>33.679933383790001</c:v>
                </c:pt>
                <c:pt idx="423">
                  <c:v>43.473392822100003</c:v>
                </c:pt>
                <c:pt idx="426">
                  <c:v>54.333854541329998</c:v>
                </c:pt>
                <c:pt idx="428">
                  <c:v>32.7763842551838</c:v>
                </c:pt>
                <c:pt idx="432">
                  <c:v>41.352716864416998</c:v>
                </c:pt>
                <c:pt idx="433">
                  <c:v>16.332549283510001</c:v>
                </c:pt>
                <c:pt idx="437">
                  <c:v>15.5249975471</c:v>
                </c:pt>
                <c:pt idx="438">
                  <c:v>59.472716384640002</c:v>
                </c:pt>
                <c:pt idx="439">
                  <c:v>29.659142414786999</c:v>
                </c:pt>
                <c:pt idx="440">
                  <c:v>3.7356272157200001</c:v>
                </c:pt>
                <c:pt idx="441">
                  <c:v>55.934434247200002</c:v>
                </c:pt>
                <c:pt idx="443">
                  <c:v>85.151553846981002</c:v>
                </c:pt>
                <c:pt idx="444">
                  <c:v>53.862514415158003</c:v>
                </c:pt>
                <c:pt idx="445">
                  <c:v>95.267867241900007</c:v>
                </c:pt>
                <c:pt idx="448">
                  <c:v>25.92397625221</c:v>
                </c:pt>
                <c:pt idx="449">
                  <c:v>66.791191241000007</c:v>
                </c:pt>
                <c:pt idx="450">
                  <c:v>32.453357641940002</c:v>
                </c:pt>
                <c:pt idx="451">
                  <c:v>31.24452114432</c:v>
                </c:pt>
                <c:pt idx="453">
                  <c:v>12.19968448661</c:v>
                </c:pt>
                <c:pt idx="455">
                  <c:v>51.151631171985997</c:v>
                </c:pt>
                <c:pt idx="457">
                  <c:v>52.535419533378999</c:v>
                </c:pt>
                <c:pt idx="459">
                  <c:v>54.4598242549133</c:v>
                </c:pt>
                <c:pt idx="463">
                  <c:v>4.8625261395876</c:v>
                </c:pt>
                <c:pt idx="466">
                  <c:v>63.673554241279</c:v>
                </c:pt>
                <c:pt idx="467">
                  <c:v>45.574883455349998</c:v>
                </c:pt>
                <c:pt idx="469">
                  <c:v>12.65482912417</c:v>
                </c:pt>
                <c:pt idx="470">
                  <c:v>21.384496615690001</c:v>
                </c:pt>
                <c:pt idx="471">
                  <c:v>59.751452546489602</c:v>
                </c:pt>
                <c:pt idx="472">
                  <c:v>54.444633831888503</c:v>
                </c:pt>
                <c:pt idx="473">
                  <c:v>62.19538962691</c:v>
                </c:pt>
                <c:pt idx="475">
                  <c:v>32.367959395783998</c:v>
                </c:pt>
                <c:pt idx="483">
                  <c:v>45.766412986634997</c:v>
                </c:pt>
                <c:pt idx="485">
                  <c:v>52.533762989246497</c:v>
                </c:pt>
                <c:pt idx="489">
                  <c:v>48.245338472823903</c:v>
                </c:pt>
                <c:pt idx="494">
                  <c:v>18.589983777899999</c:v>
                </c:pt>
                <c:pt idx="498">
                  <c:v>12.277122347600001</c:v>
                </c:pt>
                <c:pt idx="499">
                  <c:v>58.1875198535</c:v>
                </c:pt>
                <c:pt idx="500">
                  <c:v>28.724491648115901</c:v>
                </c:pt>
                <c:pt idx="501">
                  <c:v>27.461837286000002</c:v>
                </c:pt>
                <c:pt idx="502">
                  <c:v>55.213155722411003</c:v>
                </c:pt>
                <c:pt idx="504">
                  <c:v>85.318658387550002</c:v>
                </c:pt>
                <c:pt idx="505">
                  <c:v>56.254459278139997</c:v>
                </c:pt>
                <c:pt idx="506">
                  <c:v>15.6278852245</c:v>
                </c:pt>
                <c:pt idx="510">
                  <c:v>22.8794468348786</c:v>
                </c:pt>
                <c:pt idx="511">
                  <c:v>66.461797586100005</c:v>
                </c:pt>
                <c:pt idx="512">
                  <c:v>29.398559195544099</c:v>
                </c:pt>
                <c:pt idx="515">
                  <c:v>98.987976776599993</c:v>
                </c:pt>
                <c:pt idx="517">
                  <c:v>46.742889998233203</c:v>
                </c:pt>
                <c:pt idx="520">
                  <c:v>54.293797718</c:v>
                </c:pt>
                <c:pt idx="524">
                  <c:v>5.2733537414986902</c:v>
                </c:pt>
                <c:pt idx="527">
                  <c:v>64.642413247373995</c:v>
                </c:pt>
                <c:pt idx="528">
                  <c:v>36.915672188348999</c:v>
                </c:pt>
                <c:pt idx="530">
                  <c:v>126.65965791297</c:v>
                </c:pt>
                <c:pt idx="531">
                  <c:v>22.144457392696602</c:v>
                </c:pt>
                <c:pt idx="532">
                  <c:v>62.995717777240003</c:v>
                </c:pt>
                <c:pt idx="533">
                  <c:v>48.279724295858003</c:v>
                </c:pt>
                <c:pt idx="534">
                  <c:v>62.592976743388498</c:v>
                </c:pt>
                <c:pt idx="536">
                  <c:v>3.8217711655429998</c:v>
                </c:pt>
                <c:pt idx="543">
                  <c:v>26.131797454717798</c:v>
                </c:pt>
                <c:pt idx="545">
                  <c:v>45.696638315172997</c:v>
                </c:pt>
                <c:pt idx="547">
                  <c:v>51.954295742957001</c:v>
                </c:pt>
                <c:pt idx="550">
                  <c:v>43.867516611779301</c:v>
                </c:pt>
                <c:pt idx="555">
                  <c:v>11.779189936890001</c:v>
                </c:pt>
                <c:pt idx="559">
                  <c:v>12.328536698869</c:v>
                </c:pt>
                <c:pt idx="560">
                  <c:v>57.597253549759998</c:v>
                </c:pt>
                <c:pt idx="561">
                  <c:v>29.248175647659998</c:v>
                </c:pt>
                <c:pt idx="562">
                  <c:v>24.396399887899999</c:v>
                </c:pt>
                <c:pt idx="563">
                  <c:v>53.837558931292001</c:v>
                </c:pt>
                <c:pt idx="565">
                  <c:v>88.828737533289996</c:v>
                </c:pt>
                <c:pt idx="566">
                  <c:v>56.662286488340001</c:v>
                </c:pt>
                <c:pt idx="567">
                  <c:v>85.425594123742002</c:v>
                </c:pt>
                <c:pt idx="569">
                  <c:v>22.4267214946317</c:v>
                </c:pt>
                <c:pt idx="570">
                  <c:v>74.358379251200006</c:v>
                </c:pt>
                <c:pt idx="572">
                  <c:v>6.5722587672700001</c:v>
                </c:pt>
                <c:pt idx="573">
                  <c:v>96.754577193354294</c:v>
                </c:pt>
                <c:pt idx="576">
                  <c:v>31.137947298339999</c:v>
                </c:pt>
                <c:pt idx="577">
                  <c:v>46.252129155520002</c:v>
                </c:pt>
                <c:pt idx="580">
                  <c:v>54.111579544229997</c:v>
                </c:pt>
                <c:pt idx="584">
                  <c:v>5.1814567734689998</c:v>
                </c:pt>
                <c:pt idx="587">
                  <c:v>65.611173874193</c:v>
                </c:pt>
                <c:pt idx="588">
                  <c:v>29.229233536128898</c:v>
                </c:pt>
                <c:pt idx="590">
                  <c:v>127.5482851391</c:v>
                </c:pt>
                <c:pt idx="591">
                  <c:v>21.621213823889999</c:v>
                </c:pt>
                <c:pt idx="592">
                  <c:v>65.212469182600003</c:v>
                </c:pt>
                <c:pt idx="593">
                  <c:v>84.717659167214293</c:v>
                </c:pt>
                <c:pt idx="594">
                  <c:v>62.226526151640002</c:v>
                </c:pt>
                <c:pt idx="595">
                  <c:v>3.77388297787</c:v>
                </c:pt>
                <c:pt idx="601">
                  <c:v>23.935731317984299</c:v>
                </c:pt>
                <c:pt idx="603">
                  <c:v>42.675597614326001</c:v>
                </c:pt>
                <c:pt idx="605">
                  <c:v>32.425135815509996</c:v>
                </c:pt>
                <c:pt idx="606">
                  <c:v>59.269992773156602</c:v>
                </c:pt>
                <c:pt idx="608">
                  <c:v>44.169849827743001</c:v>
                </c:pt>
                <c:pt idx="614">
                  <c:v>16.668684475669998</c:v>
                </c:pt>
                <c:pt idx="615">
                  <c:v>94.966693775473303</c:v>
                </c:pt>
                <c:pt idx="619">
                  <c:v>9.649131149854</c:v>
                </c:pt>
                <c:pt idx="620">
                  <c:v>57.869219775771001</c:v>
                </c:pt>
                <c:pt idx="621">
                  <c:v>29.2391927575427</c:v>
                </c:pt>
                <c:pt idx="622">
                  <c:v>25.458128278768999</c:v>
                </c:pt>
                <c:pt idx="623">
                  <c:v>52.425297222421001</c:v>
                </c:pt>
                <c:pt idx="625">
                  <c:v>9.446724521957</c:v>
                </c:pt>
                <c:pt idx="626">
                  <c:v>56.538847968386001</c:v>
                </c:pt>
                <c:pt idx="627">
                  <c:v>76.114459782500006</c:v>
                </c:pt>
                <c:pt idx="629">
                  <c:v>21.463969648532998</c:v>
                </c:pt>
                <c:pt idx="630">
                  <c:v>7.4226178154499998</c:v>
                </c:pt>
                <c:pt idx="632">
                  <c:v>6.6444183178372</c:v>
                </c:pt>
                <c:pt idx="633">
                  <c:v>89.375566354236</c:v>
                </c:pt>
                <c:pt idx="636">
                  <c:v>27.737891849781001</c:v>
                </c:pt>
                <c:pt idx="637">
                  <c:v>43.256133351850004</c:v>
                </c:pt>
                <c:pt idx="640">
                  <c:v>5.9827661516369997</c:v>
                </c:pt>
                <c:pt idx="644">
                  <c:v>4.9443839713227202</c:v>
                </c:pt>
                <c:pt idx="647">
                  <c:v>6.9742926849591997</c:v>
                </c:pt>
                <c:pt idx="648">
                  <c:v>23.987672862</c:v>
                </c:pt>
                <c:pt idx="650">
                  <c:v>126.57358539632</c:v>
                </c:pt>
                <c:pt idx="651">
                  <c:v>22.2347729614565</c:v>
                </c:pt>
                <c:pt idx="652">
                  <c:v>68.363927282773503</c:v>
                </c:pt>
                <c:pt idx="653">
                  <c:v>86.981839699422196</c:v>
                </c:pt>
                <c:pt idx="654">
                  <c:v>59.666732759413001</c:v>
                </c:pt>
                <c:pt idx="655">
                  <c:v>27.3926881995</c:v>
                </c:pt>
                <c:pt idx="661">
                  <c:v>2.8232378679490999</c:v>
                </c:pt>
                <c:pt idx="663">
                  <c:v>4.5883961366256001</c:v>
                </c:pt>
                <c:pt idx="665">
                  <c:v>29.179291236537502</c:v>
                </c:pt>
                <c:pt idx="667">
                  <c:v>54.856299258500002</c:v>
                </c:pt>
                <c:pt idx="669">
                  <c:v>42.952489476988902</c:v>
                </c:pt>
                <c:pt idx="673">
                  <c:v>32.539457543631102</c:v>
                </c:pt>
                <c:pt idx="675">
                  <c:v>9.8917286437200005</c:v>
                </c:pt>
                <c:pt idx="676">
                  <c:v>82.837485427534006</c:v>
                </c:pt>
                <c:pt idx="680">
                  <c:v>88.699484122122897</c:v>
                </c:pt>
                <c:pt idx="681">
                  <c:v>51.632428566285</c:v>
                </c:pt>
                <c:pt idx="682">
                  <c:v>25.642518391222801</c:v>
                </c:pt>
                <c:pt idx="683">
                  <c:v>24.386591494651999</c:v>
                </c:pt>
                <c:pt idx="684">
                  <c:v>48.563914645928001</c:v>
                </c:pt>
                <c:pt idx="686">
                  <c:v>9.2384474695200005</c:v>
                </c:pt>
                <c:pt idx="687">
                  <c:v>55.467335762447298</c:v>
                </c:pt>
                <c:pt idx="688">
                  <c:v>69.268963476742996</c:v>
                </c:pt>
                <c:pt idx="690">
                  <c:v>2.1247627847450001</c:v>
                </c:pt>
                <c:pt idx="691">
                  <c:v>66.756681865146106</c:v>
                </c:pt>
                <c:pt idx="693">
                  <c:v>8.9926816361400004</c:v>
                </c:pt>
                <c:pt idx="694">
                  <c:v>83.478231488584598</c:v>
                </c:pt>
                <c:pt idx="697">
                  <c:v>24.1379663568875</c:v>
                </c:pt>
                <c:pt idx="698">
                  <c:v>39.138724439993403</c:v>
                </c:pt>
                <c:pt idx="701">
                  <c:v>5.5167119658920001</c:v>
                </c:pt>
                <c:pt idx="705">
                  <c:v>4.2295341229436998</c:v>
                </c:pt>
                <c:pt idx="708">
                  <c:v>59.487421189269398</c:v>
                </c:pt>
                <c:pt idx="709">
                  <c:v>19.24626581459</c:v>
                </c:pt>
                <c:pt idx="711">
                  <c:v>123.82896165299999</c:v>
                </c:pt>
                <c:pt idx="712">
                  <c:v>21.986997531652001</c:v>
                </c:pt>
                <c:pt idx="713">
                  <c:v>69.123538399959997</c:v>
                </c:pt>
                <c:pt idx="714">
                  <c:v>84.262418694997194</c:v>
                </c:pt>
                <c:pt idx="715">
                  <c:v>57.4975363893642</c:v>
                </c:pt>
                <c:pt idx="716">
                  <c:v>26.993293996536998</c:v>
                </c:pt>
                <c:pt idx="721">
                  <c:v>17.689518665175701</c:v>
                </c:pt>
                <c:pt idx="723">
                  <c:v>4.8812577282899996</c:v>
                </c:pt>
                <c:pt idx="725">
                  <c:v>23.239565787109999</c:v>
                </c:pt>
                <c:pt idx="727">
                  <c:v>5.9355551941579998</c:v>
                </c:pt>
                <c:pt idx="729">
                  <c:v>36.975352621964603</c:v>
                </c:pt>
                <c:pt idx="733">
                  <c:v>28.528818392682599</c:v>
                </c:pt>
                <c:pt idx="735">
                  <c:v>17.613614669596</c:v>
                </c:pt>
                <c:pt idx="736">
                  <c:v>7.1584311662711002</c:v>
                </c:pt>
                <c:pt idx="738">
                  <c:v>77.276743355899995</c:v>
                </c:pt>
                <c:pt idx="742">
                  <c:v>84.994416948334106</c:v>
                </c:pt>
                <c:pt idx="743">
                  <c:v>45.694968915253497</c:v>
                </c:pt>
                <c:pt idx="744">
                  <c:v>23.521782176297702</c:v>
                </c:pt>
                <c:pt idx="745">
                  <c:v>22.993466831917502</c:v>
                </c:pt>
                <c:pt idx="746">
                  <c:v>45.782474954160001</c:v>
                </c:pt>
                <c:pt idx="748">
                  <c:v>91.718221928389994</c:v>
                </c:pt>
                <c:pt idx="749">
                  <c:v>55.659926178116997</c:v>
                </c:pt>
                <c:pt idx="750">
                  <c:v>58.512653443600001</c:v>
                </c:pt>
                <c:pt idx="752">
                  <c:v>18.1967745849444</c:v>
                </c:pt>
                <c:pt idx="753">
                  <c:v>71.9382577543835</c:v>
                </c:pt>
                <c:pt idx="754">
                  <c:v>4.5765379747466204</c:v>
                </c:pt>
                <c:pt idx="756">
                  <c:v>1.6566343685377001</c:v>
                </c:pt>
                <c:pt idx="757">
                  <c:v>91.38843889572</c:v>
                </c:pt>
                <c:pt idx="759">
                  <c:v>17.981633547920001</c:v>
                </c:pt>
                <c:pt idx="760">
                  <c:v>43.947279486312901</c:v>
                </c:pt>
                <c:pt idx="762">
                  <c:v>65.245835694600004</c:v>
                </c:pt>
                <c:pt idx="764">
                  <c:v>52.236722439940003</c:v>
                </c:pt>
                <c:pt idx="768">
                  <c:v>5.5835967376599998</c:v>
                </c:pt>
                <c:pt idx="771">
                  <c:v>65.372569489756003</c:v>
                </c:pt>
                <c:pt idx="772">
                  <c:v>23.473255429915</c:v>
                </c:pt>
                <c:pt idx="774">
                  <c:v>127.158326411226</c:v>
                </c:pt>
                <c:pt idx="775">
                  <c:v>2.3834837295</c:v>
                </c:pt>
                <c:pt idx="776">
                  <c:v>72.629463477311702</c:v>
                </c:pt>
                <c:pt idx="777">
                  <c:v>129.73843219961401</c:v>
                </c:pt>
                <c:pt idx="778">
                  <c:v>57.292214289949001</c:v>
                </c:pt>
                <c:pt idx="780">
                  <c:v>46.625165857340001</c:v>
                </c:pt>
                <c:pt idx="785">
                  <c:v>14.7688796841721</c:v>
                </c:pt>
                <c:pt idx="787">
                  <c:v>39.799728374670003</c:v>
                </c:pt>
                <c:pt idx="790">
                  <c:v>18.442516131828999</c:v>
                </c:pt>
                <c:pt idx="792">
                  <c:v>45.442765943265002</c:v>
                </c:pt>
                <c:pt idx="794">
                  <c:v>36.965463757000002</c:v>
                </c:pt>
                <c:pt idx="798">
                  <c:v>26.763223475530001</c:v>
                </c:pt>
                <c:pt idx="800">
                  <c:v>18.335955124323998</c:v>
                </c:pt>
                <c:pt idx="801">
                  <c:v>6.4952874378899699</c:v>
                </c:pt>
                <c:pt idx="803">
                  <c:v>96.499647516113001</c:v>
                </c:pt>
                <c:pt idx="808">
                  <c:v>45.645589585531901</c:v>
                </c:pt>
                <c:pt idx="809">
                  <c:v>22.959756583552</c:v>
                </c:pt>
                <c:pt idx="810">
                  <c:v>22.452172623288</c:v>
                </c:pt>
                <c:pt idx="811">
                  <c:v>43.287754349830003</c:v>
                </c:pt>
                <c:pt idx="812">
                  <c:v>4.8891753619819998</c:v>
                </c:pt>
                <c:pt idx="813">
                  <c:v>13.229954295982999</c:v>
                </c:pt>
                <c:pt idx="814">
                  <c:v>13.4732485339</c:v>
                </c:pt>
                <c:pt idx="815">
                  <c:v>63.815129819915001</c:v>
                </c:pt>
                <c:pt idx="816">
                  <c:v>57.252682517699</c:v>
                </c:pt>
                <c:pt idx="818">
                  <c:v>23.887836938700001</c:v>
                </c:pt>
                <c:pt idx="819">
                  <c:v>83.331651877376203</c:v>
                </c:pt>
                <c:pt idx="820">
                  <c:v>6.295124116287</c:v>
                </c:pt>
                <c:pt idx="822">
                  <c:v>18.557461988711999</c:v>
                </c:pt>
                <c:pt idx="823">
                  <c:v>95.943277968125997</c:v>
                </c:pt>
                <c:pt idx="825">
                  <c:v>2.1693767890000002</c:v>
                </c:pt>
                <c:pt idx="826">
                  <c:v>52.25152641439</c:v>
                </c:pt>
                <c:pt idx="828">
                  <c:v>68.999333749360005</c:v>
                </c:pt>
                <c:pt idx="830">
                  <c:v>63.459424319539998</c:v>
                </c:pt>
                <c:pt idx="834">
                  <c:v>8.2246846659972004</c:v>
                </c:pt>
                <c:pt idx="837">
                  <c:v>77.947782433769007</c:v>
                </c:pt>
                <c:pt idx="838">
                  <c:v>3.8567774936610002</c:v>
                </c:pt>
                <c:pt idx="840">
                  <c:v>143.98453735999999</c:v>
                </c:pt>
                <c:pt idx="841">
                  <c:v>23.3939731993278</c:v>
                </c:pt>
                <c:pt idx="842">
                  <c:v>81.813476851530993</c:v>
                </c:pt>
                <c:pt idx="843">
                  <c:v>145.74598756565999</c:v>
                </c:pt>
                <c:pt idx="844">
                  <c:v>55.256446112573002</c:v>
                </c:pt>
                <c:pt idx="846">
                  <c:v>66.621753565500001</c:v>
                </c:pt>
                <c:pt idx="851">
                  <c:v>3.7436933143640001</c:v>
                </c:pt>
                <c:pt idx="853">
                  <c:v>5.8357455983457998</c:v>
                </c:pt>
                <c:pt idx="856">
                  <c:v>27.632226436349601</c:v>
                </c:pt>
                <c:pt idx="858">
                  <c:v>47.536367698260001</c:v>
                </c:pt>
                <c:pt idx="860">
                  <c:v>31.941427746372</c:v>
                </c:pt>
                <c:pt idx="864">
                  <c:v>26.486587535959998</c:v>
                </c:pt>
                <c:pt idx="866">
                  <c:v>28.231455483575999</c:v>
                </c:pt>
                <c:pt idx="867">
                  <c:v>8.6978663358420008</c:v>
                </c:pt>
                <c:pt idx="869">
                  <c:v>16.372468323220001</c:v>
                </c:pt>
                <c:pt idx="873">
                  <c:v>86.634919124860005</c:v>
                </c:pt>
                <c:pt idx="874">
                  <c:v>46.923485117625098</c:v>
                </c:pt>
                <c:pt idx="875">
                  <c:v>21.54663363229</c:v>
                </c:pt>
                <c:pt idx="876">
                  <c:v>26.779195236446</c:v>
                </c:pt>
                <c:pt idx="877">
                  <c:v>42.929792159546999</c:v>
                </c:pt>
                <c:pt idx="878">
                  <c:v>48.471258625544998</c:v>
                </c:pt>
                <c:pt idx="879">
                  <c:v>23.993423296300001</c:v>
                </c:pt>
                <c:pt idx="880">
                  <c:v>121.31988364159</c:v>
                </c:pt>
                <c:pt idx="881">
                  <c:v>75.842482989664006</c:v>
                </c:pt>
                <c:pt idx="882">
                  <c:v>49.273329213598402</c:v>
                </c:pt>
                <c:pt idx="884">
                  <c:v>28.695661213118001</c:v>
                </c:pt>
                <c:pt idx="885">
                  <c:v>85.786269827193706</c:v>
                </c:pt>
                <c:pt idx="886">
                  <c:v>6.3855757918285603</c:v>
                </c:pt>
                <c:pt idx="888">
                  <c:v>18.952457269700002</c:v>
                </c:pt>
                <c:pt idx="889">
                  <c:v>93.264543964799998</c:v>
                </c:pt>
                <c:pt idx="891">
                  <c:v>61.318784611479003</c:v>
                </c:pt>
                <c:pt idx="892">
                  <c:v>2.5918647823435998</c:v>
                </c:pt>
                <c:pt idx="893">
                  <c:v>52.457435148849399</c:v>
                </c:pt>
                <c:pt idx="895">
                  <c:v>72.452669926111099</c:v>
                </c:pt>
                <c:pt idx="897">
                  <c:v>72.495699878699</c:v>
                </c:pt>
                <c:pt idx="901">
                  <c:v>7.8976451837486001</c:v>
                </c:pt>
                <c:pt idx="904">
                  <c:v>8.3129971147399999</c:v>
                </c:pt>
                <c:pt idx="905">
                  <c:v>31.8922535469443</c:v>
                </c:pt>
                <c:pt idx="907">
                  <c:v>136.62224223793001</c:v>
                </c:pt>
                <c:pt idx="908">
                  <c:v>24.816959413856701</c:v>
                </c:pt>
                <c:pt idx="909">
                  <c:v>81.247424917673996</c:v>
                </c:pt>
                <c:pt idx="910">
                  <c:v>15.633812484110001</c:v>
                </c:pt>
                <c:pt idx="911">
                  <c:v>51.5919134572</c:v>
                </c:pt>
                <c:pt idx="913">
                  <c:v>82.556567138736</c:v>
                </c:pt>
                <c:pt idx="916">
                  <c:v>9.5229632513478002</c:v>
                </c:pt>
                <c:pt idx="919">
                  <c:v>41.2261177413734</c:v>
                </c:pt>
                <c:pt idx="921">
                  <c:v>49.559823655171002</c:v>
                </c:pt>
                <c:pt idx="924">
                  <c:v>21.9325612554393</c:v>
                </c:pt>
                <c:pt idx="926">
                  <c:v>5.9624992353249997</c:v>
                </c:pt>
                <c:pt idx="928">
                  <c:v>34.81556978391</c:v>
                </c:pt>
                <c:pt idx="932">
                  <c:v>23.681791339694101</c:v>
                </c:pt>
                <c:pt idx="935">
                  <c:v>34.899386866396299</c:v>
                </c:pt>
                <c:pt idx="936">
                  <c:v>9.9815644757099999</c:v>
                </c:pt>
                <c:pt idx="939">
                  <c:v>11.449782417951001</c:v>
                </c:pt>
                <c:pt idx="943">
                  <c:v>71.585318439822998</c:v>
                </c:pt>
                <c:pt idx="944">
                  <c:v>43.319148198710003</c:v>
                </c:pt>
                <c:pt idx="945">
                  <c:v>2.8341688535329999</c:v>
                </c:pt>
                <c:pt idx="946">
                  <c:v>26.984554372649999</c:v>
                </c:pt>
                <c:pt idx="947">
                  <c:v>38.766296343800001</c:v>
                </c:pt>
                <c:pt idx="948">
                  <c:v>45.145314794995997</c:v>
                </c:pt>
                <c:pt idx="949">
                  <c:v>28.866636622835401</c:v>
                </c:pt>
                <c:pt idx="950">
                  <c:v>129.72971941980001</c:v>
                </c:pt>
                <c:pt idx="951">
                  <c:v>84.964419944499994</c:v>
                </c:pt>
                <c:pt idx="952">
                  <c:v>44.222717546250998</c:v>
                </c:pt>
                <c:pt idx="953">
                  <c:v>69.637673916520995</c:v>
                </c:pt>
                <c:pt idx="955">
                  <c:v>3.1942959225559999</c:v>
                </c:pt>
                <c:pt idx="956">
                  <c:v>85.696573785827994</c:v>
                </c:pt>
                <c:pt idx="959">
                  <c:v>39.416818447655999</c:v>
                </c:pt>
                <c:pt idx="960">
                  <c:v>95.577643463826007</c:v>
                </c:pt>
                <c:pt idx="961">
                  <c:v>45.8346942869169</c:v>
                </c:pt>
                <c:pt idx="962">
                  <c:v>59.34165831464</c:v>
                </c:pt>
                <c:pt idx="963">
                  <c:v>19.482166941392698</c:v>
                </c:pt>
                <c:pt idx="964">
                  <c:v>53.184751612541397</c:v>
                </c:pt>
                <c:pt idx="966">
                  <c:v>62.861328222529998</c:v>
                </c:pt>
                <c:pt idx="968">
                  <c:v>78.846226277158195</c:v>
                </c:pt>
                <c:pt idx="972">
                  <c:v>5.9913933834761002</c:v>
                </c:pt>
                <c:pt idx="975">
                  <c:v>82.292242615546002</c:v>
                </c:pt>
                <c:pt idx="976">
                  <c:v>28.371541719161499</c:v>
                </c:pt>
                <c:pt idx="978">
                  <c:v>116.211593571687</c:v>
                </c:pt>
                <c:pt idx="979">
                  <c:v>24.563959778278999</c:v>
                </c:pt>
                <c:pt idx="980">
                  <c:v>9.5257486549293997</c:v>
                </c:pt>
                <c:pt idx="981">
                  <c:v>156.91591824934201</c:v>
                </c:pt>
                <c:pt idx="982">
                  <c:v>51.556553669769997</c:v>
                </c:pt>
                <c:pt idx="984">
                  <c:v>111.66195527529</c:v>
                </c:pt>
                <c:pt idx="987">
                  <c:v>8.8131722642499994</c:v>
                </c:pt>
                <c:pt idx="990">
                  <c:v>41.538558275767002</c:v>
                </c:pt>
                <c:pt idx="992">
                  <c:v>5.2868164254229999</c:v>
                </c:pt>
                <c:pt idx="995">
                  <c:v>19.766673933633498</c:v>
                </c:pt>
                <c:pt idx="997">
                  <c:v>55.627723238232001</c:v>
                </c:pt>
                <c:pt idx="999">
                  <c:v>48.13696456513</c:v>
                </c:pt>
                <c:pt idx="1003">
                  <c:v>2.7221657241330002</c:v>
                </c:pt>
                <c:pt idx="1006">
                  <c:v>39.134761386800001</c:v>
                </c:pt>
                <c:pt idx="1007">
                  <c:v>8.6418194435819995</c:v>
                </c:pt>
                <c:pt idx="1010">
                  <c:v>14.78518384861</c:v>
                </c:pt>
                <c:pt idx="1014">
                  <c:v>71.181937691610003</c:v>
                </c:pt>
                <c:pt idx="1015">
                  <c:v>43.684723725524101</c:v>
                </c:pt>
                <c:pt idx="1016">
                  <c:v>2.9619254746362</c:v>
                </c:pt>
                <c:pt idx="1017">
                  <c:v>28.131976368739998</c:v>
                </c:pt>
                <c:pt idx="1018">
                  <c:v>42.48722455219</c:v>
                </c:pt>
                <c:pt idx="1019">
                  <c:v>4.76953867827</c:v>
                </c:pt>
                <c:pt idx="1020">
                  <c:v>26.488217346860001</c:v>
                </c:pt>
                <c:pt idx="1022">
                  <c:v>141.584861177747</c:v>
                </c:pt>
                <c:pt idx="1023">
                  <c:v>89.546817333316994</c:v>
                </c:pt>
                <c:pt idx="1024">
                  <c:v>45.351451229494003</c:v>
                </c:pt>
                <c:pt idx="1026">
                  <c:v>63.669152645468998</c:v>
                </c:pt>
                <c:pt idx="1028">
                  <c:v>39.466223586548601</c:v>
                </c:pt>
                <c:pt idx="1029">
                  <c:v>9.6387873782</c:v>
                </c:pt>
                <c:pt idx="1032">
                  <c:v>24.429313423566999</c:v>
                </c:pt>
                <c:pt idx="1033">
                  <c:v>14.284993149490001</c:v>
                </c:pt>
                <c:pt idx="1034">
                  <c:v>49.926352798979998</c:v>
                </c:pt>
                <c:pt idx="1035">
                  <c:v>59.849489995824698</c:v>
                </c:pt>
                <c:pt idx="1036">
                  <c:v>21.795453589600001</c:v>
                </c:pt>
                <c:pt idx="1037">
                  <c:v>54.926239834156</c:v>
                </c:pt>
                <c:pt idx="1039">
                  <c:v>65.227695883164003</c:v>
                </c:pt>
                <c:pt idx="1041">
                  <c:v>83.455588464260003</c:v>
                </c:pt>
                <c:pt idx="1045">
                  <c:v>13.5521744483716</c:v>
                </c:pt>
                <c:pt idx="1048">
                  <c:v>9.2797486254959995</c:v>
                </c:pt>
                <c:pt idx="1050">
                  <c:v>28.79698339586</c:v>
                </c:pt>
                <c:pt idx="1052">
                  <c:v>168.27215478400001</c:v>
                </c:pt>
                <c:pt idx="1053">
                  <c:v>24.7742411268</c:v>
                </c:pt>
                <c:pt idx="1054">
                  <c:v>94.116293592456998</c:v>
                </c:pt>
                <c:pt idx="1055">
                  <c:v>152.73962454658999</c:v>
                </c:pt>
                <c:pt idx="1056">
                  <c:v>5.6783561895199997</c:v>
                </c:pt>
                <c:pt idx="1058">
                  <c:v>129.79853745431001</c:v>
                </c:pt>
                <c:pt idx="1061">
                  <c:v>1.4981138465888999</c:v>
                </c:pt>
                <c:pt idx="1064">
                  <c:v>47.198683994861</c:v>
                </c:pt>
                <c:pt idx="1066">
                  <c:v>51.646431616995997</c:v>
                </c:pt>
                <c:pt idx="1069">
                  <c:v>2.347139351214</c:v>
                </c:pt>
                <c:pt idx="1073">
                  <c:v>51.657693327510998</c:v>
                </c:pt>
                <c:pt idx="1077">
                  <c:v>19.2166594587652</c:v>
                </c:pt>
                <c:pt idx="1080">
                  <c:v>42.399449589334999</c:v>
                </c:pt>
                <c:pt idx="1081">
                  <c:v>8.5514859343560001</c:v>
                </c:pt>
                <c:pt idx="1084">
                  <c:v>17.82893624626</c:v>
                </c:pt>
                <c:pt idx="1088">
                  <c:v>68.713946563899995</c:v>
                </c:pt>
                <c:pt idx="1089">
                  <c:v>43.512479611742997</c:v>
                </c:pt>
                <c:pt idx="1090">
                  <c:v>21.169339783809999</c:v>
                </c:pt>
                <c:pt idx="1091">
                  <c:v>28.444716238828001</c:v>
                </c:pt>
                <c:pt idx="1092">
                  <c:v>42.519754311779998</c:v>
                </c:pt>
                <c:pt idx="1093">
                  <c:v>37.962291228125999</c:v>
                </c:pt>
                <c:pt idx="1094">
                  <c:v>32.445911715199003</c:v>
                </c:pt>
                <c:pt idx="1096">
                  <c:v>144.974859921399</c:v>
                </c:pt>
                <c:pt idx="1097">
                  <c:v>93.649261759566798</c:v>
                </c:pt>
                <c:pt idx="1098">
                  <c:v>43.43454514938</c:v>
                </c:pt>
                <c:pt idx="1100">
                  <c:v>7.5876979279999999</c:v>
                </c:pt>
                <c:pt idx="1102">
                  <c:v>37.579973169719999</c:v>
                </c:pt>
                <c:pt idx="1103">
                  <c:v>87.696599242629603</c:v>
                </c:pt>
                <c:pt idx="1106">
                  <c:v>23.837295555239098</c:v>
                </c:pt>
                <c:pt idx="1107">
                  <c:v>11.564361394200001</c:v>
                </c:pt>
                <c:pt idx="1109">
                  <c:v>57.228493825800001</c:v>
                </c:pt>
                <c:pt idx="1110">
                  <c:v>22.575782478000001</c:v>
                </c:pt>
                <c:pt idx="1111">
                  <c:v>51.842951837000001</c:v>
                </c:pt>
                <c:pt idx="1113">
                  <c:v>67.129119456430004</c:v>
                </c:pt>
                <c:pt idx="1115">
                  <c:v>94.248451573371995</c:v>
                </c:pt>
                <c:pt idx="1119">
                  <c:v>13.798476441449999</c:v>
                </c:pt>
                <c:pt idx="1120">
                  <c:v>1.733283781495</c:v>
                </c:pt>
                <c:pt idx="1122">
                  <c:v>9.9685436684289996</c:v>
                </c:pt>
                <c:pt idx="1124">
                  <c:v>29.499424686375399</c:v>
                </c:pt>
                <c:pt idx="1126">
                  <c:v>185.74382611764301</c:v>
                </c:pt>
                <c:pt idx="1127">
                  <c:v>25.299495623479999</c:v>
                </c:pt>
                <c:pt idx="1128">
                  <c:v>94.699493651840001</c:v>
                </c:pt>
                <c:pt idx="1129">
                  <c:v>14.9545827259</c:v>
                </c:pt>
                <c:pt idx="1130">
                  <c:v>5.3118273627799999</c:v>
                </c:pt>
                <c:pt idx="1132">
                  <c:v>131.81617512632999</c:v>
                </c:pt>
                <c:pt idx="1135">
                  <c:v>1.846391538642</c:v>
                </c:pt>
                <c:pt idx="1138">
                  <c:v>44.835915516138002</c:v>
                </c:pt>
                <c:pt idx="1140">
                  <c:v>52.999251924674098</c:v>
                </c:pt>
                <c:pt idx="1143">
                  <c:v>19.917952155555401</c:v>
                </c:pt>
                <c:pt idx="1147">
                  <c:v>46.453228189851004</c:v>
                </c:pt>
                <c:pt idx="1151">
                  <c:v>18.394423835344998</c:v>
                </c:pt>
                <c:pt idx="1154">
                  <c:v>43.651522345689997</c:v>
                </c:pt>
                <c:pt idx="1155">
                  <c:v>9.6725564488480007</c:v>
                </c:pt>
                <c:pt idx="1158">
                  <c:v>99.446488856115906</c:v>
                </c:pt>
                <c:pt idx="1162">
                  <c:v>7.8211661562000003</c:v>
                </c:pt>
                <c:pt idx="1163">
                  <c:v>45.169542448199202</c:v>
                </c:pt>
                <c:pt idx="1164">
                  <c:v>2.3341245487000002</c:v>
                </c:pt>
                <c:pt idx="1165">
                  <c:v>4.61853288983</c:v>
                </c:pt>
                <c:pt idx="1166">
                  <c:v>32.1216452754771</c:v>
                </c:pt>
                <c:pt idx="1167">
                  <c:v>35.631399586389001</c:v>
                </c:pt>
                <c:pt idx="1168">
                  <c:v>1.89352252372768</c:v>
                </c:pt>
                <c:pt idx="1169">
                  <c:v>139.55531576999999</c:v>
                </c:pt>
                <c:pt idx="1170">
                  <c:v>95.534688211321907</c:v>
                </c:pt>
                <c:pt idx="1171">
                  <c:v>42.748599751199997</c:v>
                </c:pt>
                <c:pt idx="1173">
                  <c:v>73.322274771465999</c:v>
                </c:pt>
                <c:pt idx="1176">
                  <c:v>41.7426885439519</c:v>
                </c:pt>
                <c:pt idx="1177">
                  <c:v>95.799629273729707</c:v>
                </c:pt>
                <c:pt idx="1180">
                  <c:v>24.548726264211599</c:v>
                </c:pt>
                <c:pt idx="1181">
                  <c:v>112.395974748</c:v>
                </c:pt>
                <c:pt idx="1183">
                  <c:v>58.457271158689998</c:v>
                </c:pt>
                <c:pt idx="1184">
                  <c:v>32.565617794399998</c:v>
                </c:pt>
                <c:pt idx="1185">
                  <c:v>5.3371882992400002</c:v>
                </c:pt>
                <c:pt idx="1187">
                  <c:v>47.976169516459002</c:v>
                </c:pt>
                <c:pt idx="1189">
                  <c:v>1.374526581</c:v>
                </c:pt>
                <c:pt idx="1193">
                  <c:v>13.954856685828</c:v>
                </c:pt>
                <c:pt idx="1194">
                  <c:v>26.937279736519098</c:v>
                </c:pt>
                <c:pt idx="1196">
                  <c:v>97.554383851258194</c:v>
                </c:pt>
                <c:pt idx="1198">
                  <c:v>3.9769561752990001</c:v>
                </c:pt>
                <c:pt idx="1200">
                  <c:v>189.29444988661999</c:v>
                </c:pt>
                <c:pt idx="1201">
                  <c:v>24.7926856314898</c:v>
                </c:pt>
                <c:pt idx="1202">
                  <c:v>98.639758694826995</c:v>
                </c:pt>
                <c:pt idx="1203">
                  <c:v>135.79652191469</c:v>
                </c:pt>
                <c:pt idx="1204">
                  <c:v>49.992487483189997</c:v>
                </c:pt>
                <c:pt idx="1206">
                  <c:v>121.3223294265</c:v>
                </c:pt>
                <c:pt idx="1209">
                  <c:v>12.646969626691799</c:v>
                </c:pt>
                <c:pt idx="1213">
                  <c:v>48.332129892099999</c:v>
                </c:pt>
                <c:pt idx="1215">
                  <c:v>52.675848733283097</c:v>
                </c:pt>
                <c:pt idx="1218">
                  <c:v>2.8265355386779998</c:v>
                </c:pt>
                <c:pt idx="1222">
                  <c:v>43.915547863353503</c:v>
                </c:pt>
                <c:pt idx="1226">
                  <c:v>19.565389617200001</c:v>
                </c:pt>
                <c:pt idx="1229">
                  <c:v>46.212172274941203</c:v>
                </c:pt>
                <c:pt idx="1230">
                  <c:v>11.24612827286</c:v>
                </c:pt>
                <c:pt idx="1233">
                  <c:v>99.697986729595002</c:v>
                </c:pt>
                <c:pt idx="1237">
                  <c:v>71.332798378929994</c:v>
                </c:pt>
                <c:pt idx="1238">
                  <c:v>49.454585693246997</c:v>
                </c:pt>
                <c:pt idx="1239">
                  <c:v>2.3968174366110002</c:v>
                </c:pt>
                <c:pt idx="1240">
                  <c:v>36.496651324111703</c:v>
                </c:pt>
                <c:pt idx="1241">
                  <c:v>31.346416683273901</c:v>
                </c:pt>
                <c:pt idx="1242">
                  <c:v>63.665319188488397</c:v>
                </c:pt>
                <c:pt idx="1244">
                  <c:v>148.4945329889</c:v>
                </c:pt>
                <c:pt idx="1245">
                  <c:v>95.766698688437998</c:v>
                </c:pt>
                <c:pt idx="1246">
                  <c:v>44.357961337474997</c:v>
                </c:pt>
                <c:pt idx="1248">
                  <c:v>79.8644181475793</c:v>
                </c:pt>
                <c:pt idx="1251">
                  <c:v>46.594716816770998</c:v>
                </c:pt>
                <c:pt idx="1252">
                  <c:v>95.842658819540006</c:v>
                </c:pt>
                <c:pt idx="1255">
                  <c:v>37.598178556756999</c:v>
                </c:pt>
                <c:pt idx="1256">
                  <c:v>18.591386522960001</c:v>
                </c:pt>
                <c:pt idx="1258">
                  <c:v>67.537554277116001</c:v>
                </c:pt>
                <c:pt idx="1259">
                  <c:v>3.8413121283999998</c:v>
                </c:pt>
                <c:pt idx="1260">
                  <c:v>54.651479421489</c:v>
                </c:pt>
                <c:pt idx="1262">
                  <c:v>53.278587473716698</c:v>
                </c:pt>
                <c:pt idx="1264">
                  <c:v>12.549313912000001</c:v>
                </c:pt>
                <c:pt idx="1268">
                  <c:v>13.122743444899999</c:v>
                </c:pt>
                <c:pt idx="1269">
                  <c:v>27.943125379329999</c:v>
                </c:pt>
                <c:pt idx="1271">
                  <c:v>97.983332557219995</c:v>
                </c:pt>
                <c:pt idx="1273">
                  <c:v>36.656556652424001</c:v>
                </c:pt>
                <c:pt idx="1275">
                  <c:v>189.15885396392201</c:v>
                </c:pt>
                <c:pt idx="1276">
                  <c:v>24.92177937784</c:v>
                </c:pt>
                <c:pt idx="1277">
                  <c:v>96.36951647187</c:v>
                </c:pt>
                <c:pt idx="1278">
                  <c:v>117.37839587281</c:v>
                </c:pt>
                <c:pt idx="1279">
                  <c:v>49.964718385655097</c:v>
                </c:pt>
                <c:pt idx="1281">
                  <c:v>88.617184216996606</c:v>
                </c:pt>
                <c:pt idx="1284">
                  <c:v>19.379166159899999</c:v>
                </c:pt>
                <c:pt idx="1288">
                  <c:v>49.645691452868299</c:v>
                </c:pt>
                <c:pt idx="1290">
                  <c:v>53.574469732615398</c:v>
                </c:pt>
                <c:pt idx="1293">
                  <c:v>23.471385983163099</c:v>
                </c:pt>
                <c:pt idx="1297">
                  <c:v>42.939849963185999</c:v>
                </c:pt>
                <c:pt idx="1301">
                  <c:v>22.865554469277001</c:v>
                </c:pt>
                <c:pt idx="1304">
                  <c:v>45.288527255281998</c:v>
                </c:pt>
                <c:pt idx="1305">
                  <c:v>13.547657768558</c:v>
                </c:pt>
                <c:pt idx="1309">
                  <c:v>13.32839751929</c:v>
                </c:pt>
                <c:pt idx="1313">
                  <c:v>77.653941293439999</c:v>
                </c:pt>
                <c:pt idx="1314">
                  <c:v>47.434326265975002</c:v>
                </c:pt>
                <c:pt idx="1315">
                  <c:v>2.2554263677700002</c:v>
                </c:pt>
                <c:pt idx="1316">
                  <c:v>37.868867419314498</c:v>
                </c:pt>
                <c:pt idx="1317">
                  <c:v>29.663887587200001</c:v>
                </c:pt>
                <c:pt idx="1318">
                  <c:v>7.2588376218982003</c:v>
                </c:pt>
                <c:pt idx="1320">
                  <c:v>145.61396898832999</c:v>
                </c:pt>
                <c:pt idx="1321">
                  <c:v>96.425227949266599</c:v>
                </c:pt>
                <c:pt idx="1322">
                  <c:v>51.186482636900003</c:v>
                </c:pt>
                <c:pt idx="1324">
                  <c:v>8.7355819675527009</c:v>
                </c:pt>
                <c:pt idx="1327">
                  <c:v>54.683594893166003</c:v>
                </c:pt>
                <c:pt idx="1328">
                  <c:v>94.694636962697999</c:v>
                </c:pt>
                <c:pt idx="1331">
                  <c:v>38.924984172579997</c:v>
                </c:pt>
                <c:pt idx="1332">
                  <c:v>11.1962971828</c:v>
                </c:pt>
                <c:pt idx="1333">
                  <c:v>52.868113865842901</c:v>
                </c:pt>
                <c:pt idx="1334">
                  <c:v>73.418838967580001</c:v>
                </c:pt>
                <c:pt idx="1335">
                  <c:v>35.528373577613699</c:v>
                </c:pt>
                <c:pt idx="1336">
                  <c:v>52.886681382135002</c:v>
                </c:pt>
                <c:pt idx="1338">
                  <c:v>66.971691256599996</c:v>
                </c:pt>
                <c:pt idx="1340">
                  <c:v>99.987747828424006</c:v>
                </c:pt>
                <c:pt idx="1344">
                  <c:v>14.777737584900001</c:v>
                </c:pt>
                <c:pt idx="1345">
                  <c:v>29.569693399999998</c:v>
                </c:pt>
                <c:pt idx="1347">
                  <c:v>12.262448558799999</c:v>
                </c:pt>
                <c:pt idx="1349">
                  <c:v>4.2687241879673996</c:v>
                </c:pt>
                <c:pt idx="1351">
                  <c:v>194.62197524529</c:v>
                </c:pt>
                <c:pt idx="1352">
                  <c:v>25.349966898000002</c:v>
                </c:pt>
                <c:pt idx="1353">
                  <c:v>96.757848179765304</c:v>
                </c:pt>
                <c:pt idx="1354">
                  <c:v>13.362423152956</c:v>
                </c:pt>
                <c:pt idx="1355">
                  <c:v>47.633755591527198</c:v>
                </c:pt>
                <c:pt idx="1357">
                  <c:v>85.379775369152895</c:v>
                </c:pt>
                <c:pt idx="1360">
                  <c:v>16.769425274876198</c:v>
                </c:pt>
                <c:pt idx="1364">
                  <c:v>47.7416942235485</c:v>
                </c:pt>
                <c:pt idx="1366">
                  <c:v>51.895275342533999</c:v>
                </c:pt>
                <c:pt idx="1369">
                  <c:v>31.885669336688199</c:v>
                </c:pt>
                <c:pt idx="1373">
                  <c:v>41.416568671181203</c:v>
                </c:pt>
                <c:pt idx="1377">
                  <c:v>23.762564342415001</c:v>
                </c:pt>
                <c:pt idx="1380">
                  <c:v>46.565699712893</c:v>
                </c:pt>
                <c:pt idx="1381">
                  <c:v>14.2417395793548</c:v>
                </c:pt>
                <c:pt idx="1385">
                  <c:v>19.135825416660001</c:v>
                </c:pt>
                <c:pt idx="1390">
                  <c:v>46.188562173800001</c:v>
                </c:pt>
                <c:pt idx="1391">
                  <c:v>19.166387436657001</c:v>
                </c:pt>
                <c:pt idx="1392">
                  <c:v>38.489445797480997</c:v>
                </c:pt>
                <c:pt idx="1393">
                  <c:v>3.7355483855</c:v>
                </c:pt>
                <c:pt idx="1394">
                  <c:v>71.895454494399999</c:v>
                </c:pt>
                <c:pt idx="1396">
                  <c:v>153.82529578933</c:v>
                </c:pt>
                <c:pt idx="1397">
                  <c:v>98.541171748370004</c:v>
                </c:pt>
                <c:pt idx="1398">
                  <c:v>46.656629738144403</c:v>
                </c:pt>
                <c:pt idx="1400">
                  <c:v>75.888751596916094</c:v>
                </c:pt>
                <c:pt idx="1403">
                  <c:v>53.266159423525998</c:v>
                </c:pt>
                <c:pt idx="1404">
                  <c:v>89.454884742649995</c:v>
                </c:pt>
                <c:pt idx="1406">
                  <c:v>39.881453133100003</c:v>
                </c:pt>
                <c:pt idx="1407">
                  <c:v>13.883627921154</c:v>
                </c:pt>
                <c:pt idx="1408">
                  <c:v>48.154735739562</c:v>
                </c:pt>
                <c:pt idx="1409">
                  <c:v>83.669226593659999</c:v>
                </c:pt>
                <c:pt idx="1410">
                  <c:v>32.216842187295001</c:v>
                </c:pt>
                <c:pt idx="1411">
                  <c:v>5.2257968524381004</c:v>
                </c:pt>
                <c:pt idx="1413">
                  <c:v>66.727247847214599</c:v>
                </c:pt>
                <c:pt idx="1415">
                  <c:v>92.889998454929</c:v>
                </c:pt>
                <c:pt idx="1419">
                  <c:v>13.425576163144999</c:v>
                </c:pt>
                <c:pt idx="1420">
                  <c:v>3.951131996185</c:v>
                </c:pt>
                <c:pt idx="1422">
                  <c:v>12.2152658744</c:v>
                </c:pt>
                <c:pt idx="1424">
                  <c:v>39.392467423172</c:v>
                </c:pt>
                <c:pt idx="1426">
                  <c:v>198.96531196791</c:v>
                </c:pt>
                <c:pt idx="1427">
                  <c:v>21.64137322597</c:v>
                </c:pt>
                <c:pt idx="1428">
                  <c:v>91.971769233979998</c:v>
                </c:pt>
                <c:pt idx="1429">
                  <c:v>9.4444869156919999</c:v>
                </c:pt>
                <c:pt idx="1430">
                  <c:v>47.583693819700002</c:v>
                </c:pt>
                <c:pt idx="1432">
                  <c:v>76.923494534400007</c:v>
                </c:pt>
                <c:pt idx="1435">
                  <c:v>16.933582595661001</c:v>
                </c:pt>
                <c:pt idx="1439">
                  <c:v>44.9775698188514</c:v>
                </c:pt>
                <c:pt idx="1441">
                  <c:v>5.4967773749289996</c:v>
                </c:pt>
                <c:pt idx="1444">
                  <c:v>29.199866431869999</c:v>
                </c:pt>
                <c:pt idx="1448">
                  <c:v>38.652818145555003</c:v>
                </c:pt>
                <c:pt idx="1452">
                  <c:v>24.667543322281599</c:v>
                </c:pt>
                <c:pt idx="1455">
                  <c:v>44.279661357199998</c:v>
                </c:pt>
                <c:pt idx="1456">
                  <c:v>16.3253741158845</c:v>
                </c:pt>
                <c:pt idx="1460">
                  <c:v>19.351726477937</c:v>
                </c:pt>
                <c:pt idx="1464">
                  <c:v>13.632853495100001</c:v>
                </c:pt>
                <c:pt idx="1466">
                  <c:v>43.964987522415797</c:v>
                </c:pt>
                <c:pt idx="1467">
                  <c:v>2.1727471479879998</c:v>
                </c:pt>
                <c:pt idx="1469">
                  <c:v>29.855754498730001</c:v>
                </c:pt>
                <c:pt idx="1470">
                  <c:v>66.734646562875</c:v>
                </c:pt>
                <c:pt idx="1472">
                  <c:v>159.196773896678</c:v>
                </c:pt>
                <c:pt idx="1473">
                  <c:v>97.763472517729994</c:v>
                </c:pt>
                <c:pt idx="1474">
                  <c:v>45.616171286293998</c:v>
                </c:pt>
                <c:pt idx="1476">
                  <c:v>64.573263524650002</c:v>
                </c:pt>
                <c:pt idx="1479">
                  <c:v>54.476419819137398</c:v>
                </c:pt>
                <c:pt idx="1480">
                  <c:v>84.131733388653998</c:v>
                </c:pt>
                <c:pt idx="1482">
                  <c:v>37.957369985269999</c:v>
                </c:pt>
                <c:pt idx="1483">
                  <c:v>11.384243358287</c:v>
                </c:pt>
                <c:pt idx="1484">
                  <c:v>45.561312161632401</c:v>
                </c:pt>
                <c:pt idx="1485">
                  <c:v>86.678841199146007</c:v>
                </c:pt>
                <c:pt idx="1486">
                  <c:v>28.685283557444599</c:v>
                </c:pt>
                <c:pt idx="1487">
                  <c:v>48.181531111632999</c:v>
                </c:pt>
                <c:pt idx="1489">
                  <c:v>71.654354759683002</c:v>
                </c:pt>
                <c:pt idx="1491">
                  <c:v>89.557522456974993</c:v>
                </c:pt>
                <c:pt idx="1495">
                  <c:v>13.51825781366</c:v>
                </c:pt>
                <c:pt idx="1496">
                  <c:v>32.533218523587003</c:v>
                </c:pt>
                <c:pt idx="1498">
                  <c:v>11.622134416787</c:v>
                </c:pt>
                <c:pt idx="1500">
                  <c:v>38.887742884433401</c:v>
                </c:pt>
                <c:pt idx="1502">
                  <c:v>28.8384431488</c:v>
                </c:pt>
                <c:pt idx="1503">
                  <c:v>26.5265326919742</c:v>
                </c:pt>
                <c:pt idx="1504">
                  <c:v>86.538727116499999</c:v>
                </c:pt>
                <c:pt idx="1505">
                  <c:v>81.942895154230001</c:v>
                </c:pt>
                <c:pt idx="1506">
                  <c:v>46.522498665932197</c:v>
                </c:pt>
                <c:pt idx="1508">
                  <c:v>75.327867984275997</c:v>
                </c:pt>
                <c:pt idx="1511">
                  <c:v>21.992236936283501</c:v>
                </c:pt>
                <c:pt idx="1515">
                  <c:v>39.399173429359998</c:v>
                </c:pt>
                <c:pt idx="1517">
                  <c:v>51.1859148831795</c:v>
                </c:pt>
                <c:pt idx="1520">
                  <c:v>27.183321121710001</c:v>
                </c:pt>
                <c:pt idx="1521">
                  <c:v>65.965314736489503</c:v>
                </c:pt>
                <c:pt idx="1524">
                  <c:v>36.612394597929701</c:v>
                </c:pt>
                <c:pt idx="1528">
                  <c:v>25.69854812733</c:v>
                </c:pt>
                <c:pt idx="1531">
                  <c:v>42.889912467419997</c:v>
                </c:pt>
                <c:pt idx="1532">
                  <c:v>16.168578985323801</c:v>
                </c:pt>
                <c:pt idx="1536">
                  <c:v>11.737872640000001</c:v>
                </c:pt>
                <c:pt idx="1540">
                  <c:v>14.794373761616001</c:v>
                </c:pt>
                <c:pt idx="1542">
                  <c:v>42.282676367239397</c:v>
                </c:pt>
                <c:pt idx="1543">
                  <c:v>18.424927818379999</c:v>
                </c:pt>
                <c:pt idx="1544">
                  <c:v>39.249165915598297</c:v>
                </c:pt>
                <c:pt idx="1545">
                  <c:v>29.451785185721</c:v>
                </c:pt>
                <c:pt idx="1546">
                  <c:v>56.959567497800002</c:v>
                </c:pt>
                <c:pt idx="1548">
                  <c:v>155.53587689364301</c:v>
                </c:pt>
                <c:pt idx="1549">
                  <c:v>99.178886461510004</c:v>
                </c:pt>
                <c:pt idx="1550">
                  <c:v>47.951297165817998</c:v>
                </c:pt>
                <c:pt idx="1552">
                  <c:v>75.698488249497601</c:v>
                </c:pt>
                <c:pt idx="1554">
                  <c:v>5.2842686373000003</c:v>
                </c:pt>
                <c:pt idx="1555">
                  <c:v>6.2598462256221001</c:v>
                </c:pt>
                <c:pt idx="1556">
                  <c:v>82.98949769347</c:v>
                </c:pt>
                <c:pt idx="1558">
                  <c:v>33.244239424930001</c:v>
                </c:pt>
                <c:pt idx="1559">
                  <c:v>13.465375377999999</c:v>
                </c:pt>
                <c:pt idx="1560">
                  <c:v>44.633648618836801</c:v>
                </c:pt>
                <c:pt idx="1561">
                  <c:v>92.565253188278206</c:v>
                </c:pt>
                <c:pt idx="1562">
                  <c:v>26.928375369549499</c:v>
                </c:pt>
                <c:pt idx="1563">
                  <c:v>48.116333117170001</c:v>
                </c:pt>
                <c:pt idx="1565">
                  <c:v>72.722611921419997</c:v>
                </c:pt>
                <c:pt idx="1567">
                  <c:v>87.195295199420002</c:v>
                </c:pt>
                <c:pt idx="1571">
                  <c:v>14.695196826515</c:v>
                </c:pt>
                <c:pt idx="1572">
                  <c:v>31.448848674364001</c:v>
                </c:pt>
                <c:pt idx="1574">
                  <c:v>14.986431527160001</c:v>
                </c:pt>
                <c:pt idx="1576">
                  <c:v>4.4123554312430002</c:v>
                </c:pt>
                <c:pt idx="1578">
                  <c:v>212.49247975121</c:v>
                </c:pt>
                <c:pt idx="1579">
                  <c:v>26.539455742798001</c:v>
                </c:pt>
                <c:pt idx="1580">
                  <c:v>83.524766461236993</c:v>
                </c:pt>
                <c:pt idx="1581">
                  <c:v>89.474716449595306</c:v>
                </c:pt>
                <c:pt idx="1583">
                  <c:v>69.739787423980005</c:v>
                </c:pt>
                <c:pt idx="1586">
                  <c:v>18.483469477519002</c:v>
                </c:pt>
                <c:pt idx="1590">
                  <c:v>42.744328316199997</c:v>
                </c:pt>
                <c:pt idx="1592">
                  <c:v>52.468125834459997</c:v>
                </c:pt>
                <c:pt idx="1595">
                  <c:v>24.952364483861398</c:v>
                </c:pt>
                <c:pt idx="1598">
                  <c:v>32.6983458191729</c:v>
                </c:pt>
                <c:pt idx="1602">
                  <c:v>26.54381535896</c:v>
                </c:pt>
                <c:pt idx="1605">
                  <c:v>43.425829798099997</c:v>
                </c:pt>
                <c:pt idx="1606">
                  <c:v>17.276484379376001</c:v>
                </c:pt>
                <c:pt idx="1609">
                  <c:v>128.3925929916</c:v>
                </c:pt>
                <c:pt idx="1613">
                  <c:v>19.9451163397</c:v>
                </c:pt>
                <c:pt idx="1615">
                  <c:v>38.693612329959898</c:v>
                </c:pt>
                <c:pt idx="1616">
                  <c:v>18.678964342682999</c:v>
                </c:pt>
                <c:pt idx="1617">
                  <c:v>4.1326812377462998</c:v>
                </c:pt>
                <c:pt idx="1618">
                  <c:v>34.169733438675998</c:v>
                </c:pt>
                <c:pt idx="1619">
                  <c:v>48.327269635679997</c:v>
                </c:pt>
                <c:pt idx="1621">
                  <c:v>157.74281985897099</c:v>
                </c:pt>
                <c:pt idx="1622">
                  <c:v>1.9557718495</c:v>
                </c:pt>
                <c:pt idx="1623">
                  <c:v>5.9429326888</c:v>
                </c:pt>
                <c:pt idx="1625">
                  <c:v>6.9572324984699998</c:v>
                </c:pt>
                <c:pt idx="1626">
                  <c:v>42.779742983619997</c:v>
                </c:pt>
                <c:pt idx="1627">
                  <c:v>161.63191848235999</c:v>
                </c:pt>
              </c:numCache>
            </c:numRef>
          </c:xVal>
          <c:yVal>
            <c:numRef>
              <c:f>data!$F$918:$F$2545</c:f>
              <c:numCache>
                <c:formatCode>General</c:formatCode>
                <c:ptCount val="1628"/>
                <c:pt idx="0">
                  <c:v>9.1977643966674805</c:v>
                </c:pt>
                <c:pt idx="1">
                  <c:v>10.2016544342041</c:v>
                </c:pt>
                <c:pt idx="2">
                  <c:v>6.4842104911804199</c:v>
                </c:pt>
                <c:pt idx="3">
                  <c:v>7.9771656990051198</c:v>
                </c:pt>
                <c:pt idx="4">
                  <c:v>0.27678778767585699</c:v>
                </c:pt>
                <c:pt idx="5">
                  <c:v>3.8375139236450102</c:v>
                </c:pt>
                <c:pt idx="6">
                  <c:v>0.82909899950027399</c:v>
                </c:pt>
                <c:pt idx="7">
                  <c:v>17.938552856445298</c:v>
                </c:pt>
                <c:pt idx="8">
                  <c:v>12.7492198944091</c:v>
                </c:pt>
                <c:pt idx="9">
                  <c:v>23.904809951782202</c:v>
                </c:pt>
                <c:pt idx="10">
                  <c:v>4.36445808410644</c:v>
                </c:pt>
                <c:pt idx="11">
                  <c:v>20.375867843627901</c:v>
                </c:pt>
                <c:pt idx="12">
                  <c:v>6.6701607704162598</c:v>
                </c:pt>
                <c:pt idx="13">
                  <c:v>2.0010788440704301</c:v>
                </c:pt>
                <c:pt idx="14">
                  <c:v>13.132490158081</c:v>
                </c:pt>
                <c:pt idx="15">
                  <c:v>1.21309006214141</c:v>
                </c:pt>
                <c:pt idx="16">
                  <c:v>14.747467994689901</c:v>
                </c:pt>
                <c:pt idx="17">
                  <c:v>7.5181536674499503</c:v>
                </c:pt>
                <c:pt idx="18">
                  <c:v>6.3613877296447701</c:v>
                </c:pt>
                <c:pt idx="19">
                  <c:v>3.7637522220611501</c:v>
                </c:pt>
                <c:pt idx="20">
                  <c:v>6.1200714111328098</c:v>
                </c:pt>
                <c:pt idx="21">
                  <c:v>12.409791946411101</c:v>
                </c:pt>
                <c:pt idx="22">
                  <c:v>16.860305786132798</c:v>
                </c:pt>
                <c:pt idx="23">
                  <c:v>11.839147567749</c:v>
                </c:pt>
                <c:pt idx="24">
                  <c:v>27.440841674804599</c:v>
                </c:pt>
                <c:pt idx="25">
                  <c:v>16.153881072998001</c:v>
                </c:pt>
                <c:pt idx="26">
                  <c:v>13.670741081237701</c:v>
                </c:pt>
                <c:pt idx="27">
                  <c:v>13.8285818099975</c:v>
                </c:pt>
                <c:pt idx="28">
                  <c:v>22.627117156982401</c:v>
                </c:pt>
                <c:pt idx="29">
                  <c:v>4.7265000343322701</c:v>
                </c:pt>
                <c:pt idx="30">
                  <c:v>3.2125968933105402</c:v>
                </c:pt>
                <c:pt idx="31">
                  <c:v>1.12873482704162</c:v>
                </c:pt>
                <c:pt idx="32">
                  <c:v>4.7299885749816797</c:v>
                </c:pt>
                <c:pt idx="33">
                  <c:v>19.2488288879394</c:v>
                </c:pt>
                <c:pt idx="34">
                  <c:v>2.3645138740539502</c:v>
                </c:pt>
                <c:pt idx="35">
                  <c:v>22.163232803344702</c:v>
                </c:pt>
                <c:pt idx="36">
                  <c:v>9.1574764251708896</c:v>
                </c:pt>
                <c:pt idx="37">
                  <c:v>5.7460794448852504</c:v>
                </c:pt>
                <c:pt idx="38">
                  <c:v>19.188814163208001</c:v>
                </c:pt>
                <c:pt idx="39">
                  <c:v>9.3668260574340803</c:v>
                </c:pt>
                <c:pt idx="40">
                  <c:v>8.2457561492919904</c:v>
                </c:pt>
                <c:pt idx="41">
                  <c:v>5.07643318176269</c:v>
                </c:pt>
                <c:pt idx="42">
                  <c:v>3.4069788455963099</c:v>
                </c:pt>
                <c:pt idx="43">
                  <c:v>22.0581455230712</c:v>
                </c:pt>
                <c:pt idx="44">
                  <c:v>10.6877288818359</c:v>
                </c:pt>
                <c:pt idx="45">
                  <c:v>4.4819970130920401</c:v>
                </c:pt>
                <c:pt idx="46">
                  <c:v>3.0726735591888401</c:v>
                </c:pt>
                <c:pt idx="47">
                  <c:v>13.1262397766113</c:v>
                </c:pt>
                <c:pt idx="48">
                  <c:v>12.9880781173706</c:v>
                </c:pt>
                <c:pt idx="49">
                  <c:v>8.5430879592895508</c:v>
                </c:pt>
                <c:pt idx="50">
                  <c:v>14.9279327392578</c:v>
                </c:pt>
                <c:pt idx="51">
                  <c:v>6.0437245368957502</c:v>
                </c:pt>
                <c:pt idx="52">
                  <c:v>12.160899162292401</c:v>
                </c:pt>
                <c:pt idx="53">
                  <c:v>11.2133836746215</c:v>
                </c:pt>
                <c:pt idx="54">
                  <c:v>7.1391191482543901</c:v>
                </c:pt>
                <c:pt idx="55">
                  <c:v>7.9588756561279297</c:v>
                </c:pt>
                <c:pt idx="56">
                  <c:v>2.2762808799743599</c:v>
                </c:pt>
                <c:pt idx="57">
                  <c:v>3.7753746509552002</c:v>
                </c:pt>
                <c:pt idx="58">
                  <c:v>2.3066914081573402</c:v>
                </c:pt>
                <c:pt idx="59">
                  <c:v>17.051069259643501</c:v>
                </c:pt>
                <c:pt idx="60">
                  <c:v>10.602631568908601</c:v>
                </c:pt>
                <c:pt idx="61">
                  <c:v>23.768678665161101</c:v>
                </c:pt>
                <c:pt idx="62">
                  <c:v>3.25481677055358</c:v>
                </c:pt>
                <c:pt idx="63">
                  <c:v>20.897027969360298</c:v>
                </c:pt>
                <c:pt idx="64">
                  <c:v>7.6831736564636204</c:v>
                </c:pt>
                <c:pt idx="65">
                  <c:v>2.70624804496765</c:v>
                </c:pt>
                <c:pt idx="66">
                  <c:v>13.1453142166137</c:v>
                </c:pt>
                <c:pt idx="67">
                  <c:v>1.5804597139358501</c:v>
                </c:pt>
                <c:pt idx="68">
                  <c:v>15.547767639160099</c:v>
                </c:pt>
                <c:pt idx="69">
                  <c:v>8.7630891799926705</c:v>
                </c:pt>
                <c:pt idx="70">
                  <c:v>6.5702228546142498</c:v>
                </c:pt>
                <c:pt idx="71">
                  <c:v>8.54219150543212</c:v>
                </c:pt>
                <c:pt idx="72">
                  <c:v>7.1609921455383301</c:v>
                </c:pt>
                <c:pt idx="73">
                  <c:v>12.777021408081</c:v>
                </c:pt>
                <c:pt idx="74">
                  <c:v>19.259141921996999</c:v>
                </c:pt>
                <c:pt idx="75">
                  <c:v>10.7030639648437</c:v>
                </c:pt>
                <c:pt idx="76">
                  <c:v>28.139001846313398</c:v>
                </c:pt>
                <c:pt idx="77">
                  <c:v>11.643624305725</c:v>
                </c:pt>
                <c:pt idx="78">
                  <c:v>12.3269510269165</c:v>
                </c:pt>
                <c:pt idx="79">
                  <c:v>12.820548057556101</c:v>
                </c:pt>
                <c:pt idx="80">
                  <c:v>22.7104473114013</c:v>
                </c:pt>
                <c:pt idx="81">
                  <c:v>5.07743072509765</c:v>
                </c:pt>
                <c:pt idx="82">
                  <c:v>4.0493245124816797</c:v>
                </c:pt>
                <c:pt idx="83">
                  <c:v>0.91789257526397705</c:v>
                </c:pt>
                <c:pt idx="84">
                  <c:v>14.329397201538001</c:v>
                </c:pt>
                <c:pt idx="85">
                  <c:v>4.9446911811828604</c:v>
                </c:pt>
                <c:pt idx="86">
                  <c:v>19.808891296386701</c:v>
                </c:pt>
                <c:pt idx="87">
                  <c:v>3.9993491172790501</c:v>
                </c:pt>
                <c:pt idx="88">
                  <c:v>9.9909887313842702</c:v>
                </c:pt>
                <c:pt idx="89">
                  <c:v>5.4502387046813903</c:v>
                </c:pt>
                <c:pt idx="90">
                  <c:v>14.8953104019165</c:v>
                </c:pt>
                <c:pt idx="91">
                  <c:v>2.1519074440002401</c:v>
                </c:pt>
                <c:pt idx="92">
                  <c:v>5.0756335258483798</c:v>
                </c:pt>
                <c:pt idx="93">
                  <c:v>4.6812286376953098</c:v>
                </c:pt>
                <c:pt idx="94">
                  <c:v>3.0197730064392001</c:v>
                </c:pt>
                <c:pt idx="95">
                  <c:v>25.500783920288001</c:v>
                </c:pt>
                <c:pt idx="96">
                  <c:v>11.7005348205566</c:v>
                </c:pt>
                <c:pt idx="97">
                  <c:v>3.9440853595733598</c:v>
                </c:pt>
                <c:pt idx="98">
                  <c:v>1.9563173055648799</c:v>
                </c:pt>
                <c:pt idx="99">
                  <c:v>14.128460884094199</c:v>
                </c:pt>
                <c:pt idx="100">
                  <c:v>13.335247993469199</c:v>
                </c:pt>
                <c:pt idx="101">
                  <c:v>8.8183431625366193</c:v>
                </c:pt>
                <c:pt idx="102">
                  <c:v>15.622948646545399</c:v>
                </c:pt>
                <c:pt idx="103">
                  <c:v>4.3827242851257298</c:v>
                </c:pt>
                <c:pt idx="104">
                  <c:v>22.155284881591701</c:v>
                </c:pt>
                <c:pt idx="105">
                  <c:v>13.0351028442382</c:v>
                </c:pt>
                <c:pt idx="106">
                  <c:v>7.2541637420654297</c:v>
                </c:pt>
                <c:pt idx="107">
                  <c:v>7.5927877426147399</c:v>
                </c:pt>
                <c:pt idx="108">
                  <c:v>2.7795150279998699</c:v>
                </c:pt>
                <c:pt idx="109">
                  <c:v>3.83312535285949</c:v>
                </c:pt>
                <c:pt idx="110">
                  <c:v>2.3777279853820801</c:v>
                </c:pt>
                <c:pt idx="111">
                  <c:v>15.9313154220581</c:v>
                </c:pt>
                <c:pt idx="112">
                  <c:v>8.6496248245239205</c:v>
                </c:pt>
                <c:pt idx="113">
                  <c:v>23.6732997894287</c:v>
                </c:pt>
                <c:pt idx="114">
                  <c:v>2.46853399276733</c:v>
                </c:pt>
                <c:pt idx="115">
                  <c:v>18.107526779174801</c:v>
                </c:pt>
                <c:pt idx="116">
                  <c:v>7.5609755516052202</c:v>
                </c:pt>
                <c:pt idx="117">
                  <c:v>2.74174857139587</c:v>
                </c:pt>
                <c:pt idx="118">
                  <c:v>12.259132385253899</c:v>
                </c:pt>
                <c:pt idx="119">
                  <c:v>0.88701844215393</c:v>
                </c:pt>
                <c:pt idx="120">
                  <c:v>13.5140991210937</c:v>
                </c:pt>
                <c:pt idx="121">
                  <c:v>9.8372764587402308</c:v>
                </c:pt>
                <c:pt idx="122">
                  <c:v>6.5523009300231898</c:v>
                </c:pt>
                <c:pt idx="123">
                  <c:v>9.3056316375732404</c:v>
                </c:pt>
                <c:pt idx="124">
                  <c:v>7.1727547645568803</c:v>
                </c:pt>
                <c:pt idx="125">
                  <c:v>19.9839668273925</c:v>
                </c:pt>
                <c:pt idx="126">
                  <c:v>8.1661577224731392</c:v>
                </c:pt>
                <c:pt idx="127">
                  <c:v>19.096242904663001</c:v>
                </c:pt>
                <c:pt idx="128">
                  <c:v>10.687309265136699</c:v>
                </c:pt>
                <c:pt idx="129">
                  <c:v>27.138765335083001</c:v>
                </c:pt>
                <c:pt idx="130">
                  <c:v>13.3392686843872</c:v>
                </c:pt>
                <c:pt idx="131">
                  <c:v>11.055142402648899</c:v>
                </c:pt>
                <c:pt idx="132">
                  <c:v>12.0810422897338</c:v>
                </c:pt>
                <c:pt idx="133">
                  <c:v>19.847826004028299</c:v>
                </c:pt>
                <c:pt idx="134">
                  <c:v>2.9671347141265798</c:v>
                </c:pt>
                <c:pt idx="135">
                  <c:v>4.2958745956420898</c:v>
                </c:pt>
                <c:pt idx="136">
                  <c:v>2.4051651954650799</c:v>
                </c:pt>
                <c:pt idx="137">
                  <c:v>0.810646712779998</c:v>
                </c:pt>
                <c:pt idx="138">
                  <c:v>13.41952419281</c:v>
                </c:pt>
                <c:pt idx="139">
                  <c:v>6.2475275993347097</c:v>
                </c:pt>
                <c:pt idx="140">
                  <c:v>14.6051034927368</c:v>
                </c:pt>
                <c:pt idx="141">
                  <c:v>11.064723968505801</c:v>
                </c:pt>
                <c:pt idx="142">
                  <c:v>11.9026832580566</c:v>
                </c:pt>
                <c:pt idx="143">
                  <c:v>21.104413986206001</c:v>
                </c:pt>
                <c:pt idx="144">
                  <c:v>9.5193347930908203</c:v>
                </c:pt>
                <c:pt idx="145">
                  <c:v>4.8797945976257298</c:v>
                </c:pt>
                <c:pt idx="146">
                  <c:v>11.7478723526</c:v>
                </c:pt>
                <c:pt idx="147">
                  <c:v>9.4946670532226491</c:v>
                </c:pt>
                <c:pt idx="148">
                  <c:v>4.8951392173767001</c:v>
                </c:pt>
                <c:pt idx="149">
                  <c:v>5.1534981727600098</c:v>
                </c:pt>
                <c:pt idx="150">
                  <c:v>3.19210600852966</c:v>
                </c:pt>
                <c:pt idx="151">
                  <c:v>27.1794319152832</c:v>
                </c:pt>
                <c:pt idx="152">
                  <c:v>12.1343231201171</c:v>
                </c:pt>
                <c:pt idx="153">
                  <c:v>4.0386052131652797</c:v>
                </c:pt>
                <c:pt idx="154">
                  <c:v>2.4657130241393999</c:v>
                </c:pt>
                <c:pt idx="155">
                  <c:v>13.682731628417899</c:v>
                </c:pt>
                <c:pt idx="156">
                  <c:v>28.668697357177699</c:v>
                </c:pt>
                <c:pt idx="157">
                  <c:v>0</c:v>
                </c:pt>
                <c:pt idx="158">
                  <c:v>9.3298425674438406</c:v>
                </c:pt>
                <c:pt idx="159">
                  <c:v>15.2985877990722</c:v>
                </c:pt>
                <c:pt idx="160">
                  <c:v>5.0455865859985298</c:v>
                </c:pt>
                <c:pt idx="161">
                  <c:v>31.053239822387599</c:v>
                </c:pt>
                <c:pt idx="162">
                  <c:v>14.7114601135253</c:v>
                </c:pt>
                <c:pt idx="163">
                  <c:v>6.8076200485229403</c:v>
                </c:pt>
                <c:pt idx="164">
                  <c:v>7.4628567695617596</c:v>
                </c:pt>
                <c:pt idx="165">
                  <c:v>1.9014859199523899</c:v>
                </c:pt>
                <c:pt idx="166">
                  <c:v>4.1688289642333896</c:v>
                </c:pt>
                <c:pt idx="167">
                  <c:v>2.7966322898864702</c:v>
                </c:pt>
                <c:pt idx="168">
                  <c:v>15.4042749404907</c:v>
                </c:pt>
                <c:pt idx="169">
                  <c:v>8.4197158813476491</c:v>
                </c:pt>
                <c:pt idx="170">
                  <c:v>23.3204040527343</c:v>
                </c:pt>
                <c:pt idx="171">
                  <c:v>3.5873150825500399</c:v>
                </c:pt>
                <c:pt idx="172">
                  <c:v>15.725149154663001</c:v>
                </c:pt>
                <c:pt idx="173">
                  <c:v>15.6611719131469</c:v>
                </c:pt>
                <c:pt idx="174">
                  <c:v>8.8963422775268501</c:v>
                </c:pt>
                <c:pt idx="175">
                  <c:v>2.6814806461334202</c:v>
                </c:pt>
                <c:pt idx="176">
                  <c:v>11.1183223724365</c:v>
                </c:pt>
                <c:pt idx="177">
                  <c:v>1.02468049526214</c:v>
                </c:pt>
                <c:pt idx="178">
                  <c:v>10.450707435607899</c:v>
                </c:pt>
                <c:pt idx="179">
                  <c:v>8.8863344192504794</c:v>
                </c:pt>
                <c:pt idx="180">
                  <c:v>6.62147665023803</c:v>
                </c:pt>
                <c:pt idx="181">
                  <c:v>14.907483100891101</c:v>
                </c:pt>
                <c:pt idx="182">
                  <c:v>7.1736378669738698</c:v>
                </c:pt>
                <c:pt idx="183">
                  <c:v>18.287347793579102</c:v>
                </c:pt>
                <c:pt idx="184">
                  <c:v>10.826274871826101</c:v>
                </c:pt>
                <c:pt idx="185">
                  <c:v>15.8121700286865</c:v>
                </c:pt>
                <c:pt idx="186">
                  <c:v>10.649721145629799</c:v>
                </c:pt>
                <c:pt idx="187">
                  <c:v>28.677949905395501</c:v>
                </c:pt>
                <c:pt idx="188">
                  <c:v>24.357540130615199</c:v>
                </c:pt>
                <c:pt idx="189">
                  <c:v>10.6358175277709</c:v>
                </c:pt>
                <c:pt idx="190">
                  <c:v>12.7196044921875</c:v>
                </c:pt>
                <c:pt idx="191">
                  <c:v>18.733287811279201</c:v>
                </c:pt>
                <c:pt idx="192">
                  <c:v>4.7567062377929599</c:v>
                </c:pt>
                <c:pt idx="193">
                  <c:v>3.64427518844604</c:v>
                </c:pt>
                <c:pt idx="194">
                  <c:v>2.0266585350036599</c:v>
                </c:pt>
                <c:pt idx="195">
                  <c:v>48.973480224609297</c:v>
                </c:pt>
                <c:pt idx="196">
                  <c:v>0.90973275899886996</c:v>
                </c:pt>
                <c:pt idx="197">
                  <c:v>14.548203468322701</c:v>
                </c:pt>
                <c:pt idx="198">
                  <c:v>7.5191144943237296</c:v>
                </c:pt>
                <c:pt idx="199">
                  <c:v>15.444175720214799</c:v>
                </c:pt>
                <c:pt idx="200">
                  <c:v>14.0762462615966</c:v>
                </c:pt>
                <c:pt idx="201">
                  <c:v>6.39198875427246</c:v>
                </c:pt>
                <c:pt idx="202">
                  <c:v>19.6034641265869</c:v>
                </c:pt>
                <c:pt idx="203">
                  <c:v>9.3658809661865199</c:v>
                </c:pt>
                <c:pt idx="204">
                  <c:v>4.5347785949706996</c:v>
                </c:pt>
                <c:pt idx="205">
                  <c:v>12.5927619934082</c:v>
                </c:pt>
                <c:pt idx="206">
                  <c:v>8.9981126785278303</c:v>
                </c:pt>
                <c:pt idx="207">
                  <c:v>4.3888816833495996</c:v>
                </c:pt>
                <c:pt idx="208">
                  <c:v>5.5923266410827601</c:v>
                </c:pt>
                <c:pt idx="209">
                  <c:v>4.1418132781982404</c:v>
                </c:pt>
                <c:pt idx="210">
                  <c:v>24.777603149413999</c:v>
                </c:pt>
                <c:pt idx="211">
                  <c:v>10.5996284484863</c:v>
                </c:pt>
                <c:pt idx="212">
                  <c:v>4.2790355682373002</c:v>
                </c:pt>
                <c:pt idx="213">
                  <c:v>1.1226732730865401</c:v>
                </c:pt>
                <c:pt idx="214">
                  <c:v>12.4486694335937</c:v>
                </c:pt>
                <c:pt idx="215">
                  <c:v>39.293441772460902</c:v>
                </c:pt>
                <c:pt idx="216">
                  <c:v>0</c:v>
                </c:pt>
                <c:pt idx="217">
                  <c:v>9.3242568969726491</c:v>
                </c:pt>
                <c:pt idx="218">
                  <c:v>14.923261642456</c:v>
                </c:pt>
                <c:pt idx="219">
                  <c:v>4.9412274360656703</c:v>
                </c:pt>
                <c:pt idx="220">
                  <c:v>17.274530410766602</c:v>
                </c:pt>
                <c:pt idx="221">
                  <c:v>7.7516326904296804</c:v>
                </c:pt>
                <c:pt idx="222">
                  <c:v>7.2133674621581996</c:v>
                </c:pt>
                <c:pt idx="223">
                  <c:v>2.2807321548461901</c:v>
                </c:pt>
                <c:pt idx="224">
                  <c:v>4.88667440414428</c:v>
                </c:pt>
                <c:pt idx="225">
                  <c:v>2.36012840270996</c:v>
                </c:pt>
                <c:pt idx="226">
                  <c:v>14.4895811080932</c:v>
                </c:pt>
                <c:pt idx="227">
                  <c:v>6.3560867309570304</c:v>
                </c:pt>
                <c:pt idx="228">
                  <c:v>22.110734939575099</c:v>
                </c:pt>
                <c:pt idx="229">
                  <c:v>1.6770541667938199</c:v>
                </c:pt>
                <c:pt idx="230">
                  <c:v>15.491106986999499</c:v>
                </c:pt>
                <c:pt idx="231">
                  <c:v>18.230756759643501</c:v>
                </c:pt>
                <c:pt idx="232">
                  <c:v>8.8546266555786097</c:v>
                </c:pt>
                <c:pt idx="233">
                  <c:v>2.3169562816619802</c:v>
                </c:pt>
                <c:pt idx="234">
                  <c:v>10.398957252502401</c:v>
                </c:pt>
                <c:pt idx="235">
                  <c:v>0.703557729721069</c:v>
                </c:pt>
                <c:pt idx="236">
                  <c:v>9.5446195602416992</c:v>
                </c:pt>
                <c:pt idx="237">
                  <c:v>7.7650413513183496</c:v>
                </c:pt>
                <c:pt idx="238">
                  <c:v>6.2214040756225497</c:v>
                </c:pt>
                <c:pt idx="239">
                  <c:v>15.567746162414499</c:v>
                </c:pt>
                <c:pt idx="240">
                  <c:v>6.7483448982238698</c:v>
                </c:pt>
                <c:pt idx="241">
                  <c:v>18.3192043304443</c:v>
                </c:pt>
                <c:pt idx="242">
                  <c:v>10.7423458099365</c:v>
                </c:pt>
                <c:pt idx="243">
                  <c:v>15.4202728271484</c:v>
                </c:pt>
                <c:pt idx="244">
                  <c:v>10.3815155029296</c:v>
                </c:pt>
                <c:pt idx="245">
                  <c:v>29.514884948730401</c:v>
                </c:pt>
                <c:pt idx="246">
                  <c:v>23.895042419433501</c:v>
                </c:pt>
                <c:pt idx="247">
                  <c:v>7.9309263229370099</c:v>
                </c:pt>
                <c:pt idx="248">
                  <c:v>11.8189163208007</c:v>
                </c:pt>
                <c:pt idx="249">
                  <c:v>15.3406829833984</c:v>
                </c:pt>
                <c:pt idx="250">
                  <c:v>7.4872369766235298</c:v>
                </c:pt>
                <c:pt idx="251">
                  <c:v>1.8020219802856401</c:v>
                </c:pt>
                <c:pt idx="252">
                  <c:v>49.259208679199197</c:v>
                </c:pt>
                <c:pt idx="253">
                  <c:v>0.71414434909820501</c:v>
                </c:pt>
                <c:pt idx="254">
                  <c:v>14.2072496414184</c:v>
                </c:pt>
                <c:pt idx="255">
                  <c:v>10.006155967712401</c:v>
                </c:pt>
                <c:pt idx="256">
                  <c:v>16.8822326660156</c:v>
                </c:pt>
                <c:pt idx="257">
                  <c:v>24.593513488769499</c:v>
                </c:pt>
                <c:pt idx="258">
                  <c:v>8.4646816253662092</c:v>
                </c:pt>
                <c:pt idx="259">
                  <c:v>18.944301605224599</c:v>
                </c:pt>
                <c:pt idx="260">
                  <c:v>8.8405218124389595</c:v>
                </c:pt>
                <c:pt idx="261">
                  <c:v>3.8922748565673801</c:v>
                </c:pt>
                <c:pt idx="262">
                  <c:v>13.043478012084901</c:v>
                </c:pt>
                <c:pt idx="263">
                  <c:v>6.94986772537231</c:v>
                </c:pt>
                <c:pt idx="264">
                  <c:v>16.6449661254882</c:v>
                </c:pt>
                <c:pt idx="265">
                  <c:v>3.8787317276000901</c:v>
                </c:pt>
                <c:pt idx="266">
                  <c:v>6.9879617691040004</c:v>
                </c:pt>
                <c:pt idx="267">
                  <c:v>6.7008910179138104</c:v>
                </c:pt>
                <c:pt idx="268">
                  <c:v>26.471590042114201</c:v>
                </c:pt>
                <c:pt idx="269">
                  <c:v>9.7964944839477504</c:v>
                </c:pt>
                <c:pt idx="270">
                  <c:v>4.3195261955261204</c:v>
                </c:pt>
                <c:pt idx="271">
                  <c:v>4.77693748474121</c:v>
                </c:pt>
                <c:pt idx="272">
                  <c:v>12.3550472259521</c:v>
                </c:pt>
                <c:pt idx="273">
                  <c:v>9.1681871414184499</c:v>
                </c:pt>
                <c:pt idx="274">
                  <c:v>0</c:v>
                </c:pt>
                <c:pt idx="275">
                  <c:v>7.8653664588928196</c:v>
                </c:pt>
                <c:pt idx="276">
                  <c:v>13.8248634338378</c:v>
                </c:pt>
                <c:pt idx="277">
                  <c:v>6.5634865760803196</c:v>
                </c:pt>
                <c:pt idx="278">
                  <c:v>20.1040134429931</c:v>
                </c:pt>
                <c:pt idx="279">
                  <c:v>6.5683622360229403</c:v>
                </c:pt>
                <c:pt idx="280">
                  <c:v>7.5079703330993599</c:v>
                </c:pt>
                <c:pt idx="281">
                  <c:v>6.6911869049072203</c:v>
                </c:pt>
                <c:pt idx="282">
                  <c:v>3.25423836708068</c:v>
                </c:pt>
                <c:pt idx="283">
                  <c:v>14.414893150329499</c:v>
                </c:pt>
                <c:pt idx="284">
                  <c:v>8.3433275222778303</c:v>
                </c:pt>
                <c:pt idx="285">
                  <c:v>21.971702575683501</c:v>
                </c:pt>
                <c:pt idx="286">
                  <c:v>5.8297605514526296</c:v>
                </c:pt>
                <c:pt idx="287">
                  <c:v>18.871879577636701</c:v>
                </c:pt>
                <c:pt idx="288">
                  <c:v>17.262855529785099</c:v>
                </c:pt>
                <c:pt idx="289">
                  <c:v>9.7461023330688406</c:v>
                </c:pt>
                <c:pt idx="290">
                  <c:v>2.0368900299072199</c:v>
                </c:pt>
                <c:pt idx="291">
                  <c:v>9.7395410537719709</c:v>
                </c:pt>
                <c:pt idx="292">
                  <c:v>0.53920137882232599</c:v>
                </c:pt>
                <c:pt idx="293">
                  <c:v>7.7340421676635698</c:v>
                </c:pt>
                <c:pt idx="294">
                  <c:v>6.1810541152954102</c:v>
                </c:pt>
                <c:pt idx="295">
                  <c:v>18.634767532348601</c:v>
                </c:pt>
                <c:pt idx="296">
                  <c:v>6.7947258949279696</c:v>
                </c:pt>
                <c:pt idx="297">
                  <c:v>15.884005546569799</c:v>
                </c:pt>
                <c:pt idx="298">
                  <c:v>10.2108545303344</c:v>
                </c:pt>
                <c:pt idx="299">
                  <c:v>12.9082469940185</c:v>
                </c:pt>
                <c:pt idx="300">
                  <c:v>9.4446382522583008</c:v>
                </c:pt>
                <c:pt idx="301">
                  <c:v>29.648082733154201</c:v>
                </c:pt>
                <c:pt idx="302">
                  <c:v>6.8951668739318803</c:v>
                </c:pt>
                <c:pt idx="303">
                  <c:v>12.944058418273899</c:v>
                </c:pt>
                <c:pt idx="304">
                  <c:v>15.18932056427</c:v>
                </c:pt>
                <c:pt idx="305">
                  <c:v>9.8272380828857404</c:v>
                </c:pt>
                <c:pt idx="306">
                  <c:v>2.8956048488616899</c:v>
                </c:pt>
                <c:pt idx="307">
                  <c:v>50.182014465332003</c:v>
                </c:pt>
                <c:pt idx="308">
                  <c:v>0.61745625734329201</c:v>
                </c:pt>
                <c:pt idx="309">
                  <c:v>15.386680603027299</c:v>
                </c:pt>
                <c:pt idx="310">
                  <c:v>10.792405128479</c:v>
                </c:pt>
                <c:pt idx="311">
                  <c:v>13.332461357116699</c:v>
                </c:pt>
                <c:pt idx="312">
                  <c:v>22.027753829956001</c:v>
                </c:pt>
                <c:pt idx="313">
                  <c:v>6.6376700401306099</c:v>
                </c:pt>
                <c:pt idx="314">
                  <c:v>7.6334304809570304</c:v>
                </c:pt>
                <c:pt idx="315">
                  <c:v>4.0307083129882804</c:v>
                </c:pt>
                <c:pt idx="316">
                  <c:v>13.2405853271484</c:v>
                </c:pt>
                <c:pt idx="317">
                  <c:v>7.4951987266540501</c:v>
                </c:pt>
                <c:pt idx="318">
                  <c:v>16.677791595458899</c:v>
                </c:pt>
                <c:pt idx="319">
                  <c:v>2.0397970676422101</c:v>
                </c:pt>
                <c:pt idx="320">
                  <c:v>7.5475792884826598</c:v>
                </c:pt>
                <c:pt idx="321">
                  <c:v>6.8682012557983398</c:v>
                </c:pt>
                <c:pt idx="322">
                  <c:v>24.626964569091701</c:v>
                </c:pt>
                <c:pt idx="323">
                  <c:v>8.7622509002685494</c:v>
                </c:pt>
                <c:pt idx="324">
                  <c:v>4.1846628189086896</c:v>
                </c:pt>
                <c:pt idx="325">
                  <c:v>8.5105047225952095</c:v>
                </c:pt>
                <c:pt idx="326">
                  <c:v>12.0549659729003</c:v>
                </c:pt>
                <c:pt idx="327">
                  <c:v>9.4187688827514595</c:v>
                </c:pt>
                <c:pt idx="328">
                  <c:v>7.3468203544616699</c:v>
                </c:pt>
                <c:pt idx="329">
                  <c:v>12.862149238586399</c:v>
                </c:pt>
                <c:pt idx="330">
                  <c:v>7.2380356788635201</c:v>
                </c:pt>
                <c:pt idx="331">
                  <c:v>22.274349212646399</c:v>
                </c:pt>
                <c:pt idx="332">
                  <c:v>3.4506034851074201</c:v>
                </c:pt>
                <c:pt idx="333">
                  <c:v>7.2821879386901802</c:v>
                </c:pt>
                <c:pt idx="334">
                  <c:v>7.0328474044799796</c:v>
                </c:pt>
                <c:pt idx="335">
                  <c:v>18.120542526245099</c:v>
                </c:pt>
                <c:pt idx="336">
                  <c:v>2.6411709785461399</c:v>
                </c:pt>
                <c:pt idx="337">
                  <c:v>13.846326828002899</c:v>
                </c:pt>
                <c:pt idx="338">
                  <c:v>8.4574375152587802</c:v>
                </c:pt>
                <c:pt idx="339">
                  <c:v>19.6923713684082</c:v>
                </c:pt>
                <c:pt idx="340">
                  <c:v>5.7290768623351997</c:v>
                </c:pt>
                <c:pt idx="341">
                  <c:v>17.888204574584901</c:v>
                </c:pt>
                <c:pt idx="342">
                  <c:v>5.1292538642883301</c:v>
                </c:pt>
                <c:pt idx="343">
                  <c:v>9.4924459457397408</c:v>
                </c:pt>
                <c:pt idx="344">
                  <c:v>2.4087228775024401</c:v>
                </c:pt>
                <c:pt idx="345">
                  <c:v>8.8448181152343697</c:v>
                </c:pt>
                <c:pt idx="346">
                  <c:v>0.45242664217948902</c:v>
                </c:pt>
                <c:pt idx="347">
                  <c:v>10.7546014785766</c:v>
                </c:pt>
                <c:pt idx="348">
                  <c:v>7.3849225044250399</c:v>
                </c:pt>
                <c:pt idx="349">
                  <c:v>6.14827108383178</c:v>
                </c:pt>
                <c:pt idx="350">
                  <c:v>10.7296133041381</c:v>
                </c:pt>
                <c:pt idx="351">
                  <c:v>6.4329729080200098</c:v>
                </c:pt>
                <c:pt idx="352">
                  <c:v>14.8415966033935</c:v>
                </c:pt>
                <c:pt idx="353">
                  <c:v>10.8933086395263</c:v>
                </c:pt>
                <c:pt idx="354">
                  <c:v>11.3782348632812</c:v>
                </c:pt>
                <c:pt idx="355">
                  <c:v>9.1509342193603498</c:v>
                </c:pt>
                <c:pt idx="356">
                  <c:v>29.271030426025298</c:v>
                </c:pt>
                <c:pt idx="357">
                  <c:v>4.8459262847900302</c:v>
                </c:pt>
                <c:pt idx="358">
                  <c:v>12.835968971252401</c:v>
                </c:pt>
                <c:pt idx="359">
                  <c:v>14.7732019424438</c:v>
                </c:pt>
                <c:pt idx="360">
                  <c:v>8.4146070480346609</c:v>
                </c:pt>
                <c:pt idx="361">
                  <c:v>1.31041896343231</c:v>
                </c:pt>
                <c:pt idx="362">
                  <c:v>2.71807861328125</c:v>
                </c:pt>
                <c:pt idx="363">
                  <c:v>53.005119323730398</c:v>
                </c:pt>
                <c:pt idx="364">
                  <c:v>0.61345219612121504</c:v>
                </c:pt>
                <c:pt idx="365">
                  <c:v>14.5765829086303</c:v>
                </c:pt>
                <c:pt idx="366">
                  <c:v>9.3840799331665004</c:v>
                </c:pt>
                <c:pt idx="367">
                  <c:v>18.781953811645501</c:v>
                </c:pt>
                <c:pt idx="368">
                  <c:v>5.3592548370361301</c:v>
                </c:pt>
                <c:pt idx="369">
                  <c:v>6.7016296386718697</c:v>
                </c:pt>
                <c:pt idx="370">
                  <c:v>6.2646670341491699</c:v>
                </c:pt>
                <c:pt idx="371">
                  <c:v>4.6078186035156197</c:v>
                </c:pt>
                <c:pt idx="372">
                  <c:v>12.16148853302</c:v>
                </c:pt>
                <c:pt idx="373">
                  <c:v>7.6421308517456001</c:v>
                </c:pt>
                <c:pt idx="374">
                  <c:v>11.3543691635131</c:v>
                </c:pt>
                <c:pt idx="375">
                  <c:v>1.7070333957672099</c:v>
                </c:pt>
                <c:pt idx="376">
                  <c:v>8.8968410491943306</c:v>
                </c:pt>
                <c:pt idx="377">
                  <c:v>6.2338380813598597</c:v>
                </c:pt>
                <c:pt idx="378">
                  <c:v>28.138828277587798</c:v>
                </c:pt>
                <c:pt idx="379">
                  <c:v>7.0854425430297798</c:v>
                </c:pt>
                <c:pt idx="380">
                  <c:v>4.1734967231750399</c:v>
                </c:pt>
                <c:pt idx="381">
                  <c:v>7.5723009109496999</c:v>
                </c:pt>
                <c:pt idx="382">
                  <c:v>11.225977897644</c:v>
                </c:pt>
                <c:pt idx="383">
                  <c:v>6.9607257843017498</c:v>
                </c:pt>
                <c:pt idx="384">
                  <c:v>6.2935876846313397</c:v>
                </c:pt>
                <c:pt idx="385">
                  <c:v>16.038881301879801</c:v>
                </c:pt>
                <c:pt idx="386">
                  <c:v>8.0872755050659109</c:v>
                </c:pt>
                <c:pt idx="387">
                  <c:v>16.334352493286101</c:v>
                </c:pt>
                <c:pt idx="388">
                  <c:v>34.284934997558501</c:v>
                </c:pt>
                <c:pt idx="389">
                  <c:v>2.8558962345123202</c:v>
                </c:pt>
                <c:pt idx="390">
                  <c:v>7.2725682258605904</c:v>
                </c:pt>
                <c:pt idx="391">
                  <c:v>4.1240668296813903</c:v>
                </c:pt>
                <c:pt idx="392">
                  <c:v>19.855363845825099</c:v>
                </c:pt>
                <c:pt idx="393">
                  <c:v>2.20571708679199</c:v>
                </c:pt>
                <c:pt idx="394">
                  <c:v>12.8514547348022</c:v>
                </c:pt>
                <c:pt idx="395">
                  <c:v>8.1761283874511701</c:v>
                </c:pt>
                <c:pt idx="396">
                  <c:v>17.3059787750244</c:v>
                </c:pt>
                <c:pt idx="397">
                  <c:v>5.5739340782165501</c:v>
                </c:pt>
                <c:pt idx="398">
                  <c:v>17.7586574554443</c:v>
                </c:pt>
                <c:pt idx="399">
                  <c:v>3.8207907676696702</c:v>
                </c:pt>
                <c:pt idx="400">
                  <c:v>8.4810380935668892</c:v>
                </c:pt>
                <c:pt idx="401">
                  <c:v>3.1639373302459699</c:v>
                </c:pt>
                <c:pt idx="402">
                  <c:v>8.0975103378295898</c:v>
                </c:pt>
                <c:pt idx="403">
                  <c:v>0.56537103652954102</c:v>
                </c:pt>
                <c:pt idx="404">
                  <c:v>8.6148309707641602</c:v>
                </c:pt>
                <c:pt idx="405">
                  <c:v>5.7850427627563397</c:v>
                </c:pt>
                <c:pt idx="406">
                  <c:v>6.0456309318542401</c:v>
                </c:pt>
                <c:pt idx="407">
                  <c:v>12.7665128707885</c:v>
                </c:pt>
                <c:pt idx="408">
                  <c:v>6.1974701881408603</c:v>
                </c:pt>
                <c:pt idx="409">
                  <c:v>13.5804805755615</c:v>
                </c:pt>
                <c:pt idx="410">
                  <c:v>10.5569763183593</c:v>
                </c:pt>
                <c:pt idx="411">
                  <c:v>9.2053585052490199</c:v>
                </c:pt>
                <c:pt idx="412">
                  <c:v>7.6799621582031197</c:v>
                </c:pt>
                <c:pt idx="413">
                  <c:v>28.690851211547798</c:v>
                </c:pt>
                <c:pt idx="414">
                  <c:v>28.337165832519499</c:v>
                </c:pt>
                <c:pt idx="415">
                  <c:v>4.3452553749084402</c:v>
                </c:pt>
                <c:pt idx="416">
                  <c:v>17.7419319152832</c:v>
                </c:pt>
                <c:pt idx="417">
                  <c:v>13.452175140380801</c:v>
                </c:pt>
                <c:pt idx="418">
                  <c:v>8.0013408660888601</c:v>
                </c:pt>
                <c:pt idx="419">
                  <c:v>0.64583331346511796</c:v>
                </c:pt>
                <c:pt idx="420">
                  <c:v>2.5609650611877401</c:v>
                </c:pt>
                <c:pt idx="421">
                  <c:v>53.337486267089801</c:v>
                </c:pt>
                <c:pt idx="422">
                  <c:v>0.56399953365325906</c:v>
                </c:pt>
                <c:pt idx="423">
                  <c:v>14.2755899429321</c:v>
                </c:pt>
                <c:pt idx="424">
                  <c:v>9.9522352218627894</c:v>
                </c:pt>
                <c:pt idx="425">
                  <c:v>5.9576778411865199</c:v>
                </c:pt>
                <c:pt idx="426">
                  <c:v>15.035846710205</c:v>
                </c:pt>
                <c:pt idx="427">
                  <c:v>6.0528063774108798</c:v>
                </c:pt>
                <c:pt idx="428">
                  <c:v>5.2781782150268501</c:v>
                </c:pt>
                <c:pt idx="429">
                  <c:v>3.7895236015319802</c:v>
                </c:pt>
                <c:pt idx="430">
                  <c:v>12.0753107070922</c:v>
                </c:pt>
                <c:pt idx="431">
                  <c:v>6.9678964614868102</c:v>
                </c:pt>
                <c:pt idx="432">
                  <c:v>9.12172031402587</c:v>
                </c:pt>
                <c:pt idx="433">
                  <c:v>1.6708406209945601</c:v>
                </c:pt>
                <c:pt idx="434">
                  <c:v>7.8882451057434002</c:v>
                </c:pt>
                <c:pt idx="435">
                  <c:v>5.1092867851257298</c:v>
                </c:pt>
                <c:pt idx="436">
                  <c:v>5.6502289772033603</c:v>
                </c:pt>
                <c:pt idx="437">
                  <c:v>32.154308319091797</c:v>
                </c:pt>
                <c:pt idx="438">
                  <c:v>7.6943931579589799</c:v>
                </c:pt>
                <c:pt idx="439">
                  <c:v>3.71745657920837</c:v>
                </c:pt>
                <c:pt idx="440">
                  <c:v>6.1483912467956499</c:v>
                </c:pt>
                <c:pt idx="441">
                  <c:v>10.8354845046997</c:v>
                </c:pt>
                <c:pt idx="442">
                  <c:v>4.2004494667053196</c:v>
                </c:pt>
                <c:pt idx="443">
                  <c:v>5.2323760986328098</c:v>
                </c:pt>
                <c:pt idx="444">
                  <c:v>13.7180070877075</c:v>
                </c:pt>
                <c:pt idx="445">
                  <c:v>13.1298561096191</c:v>
                </c:pt>
                <c:pt idx="446">
                  <c:v>19.2149124145507</c:v>
                </c:pt>
                <c:pt idx="447">
                  <c:v>30.008394241333001</c:v>
                </c:pt>
                <c:pt idx="448">
                  <c:v>2.4496695995330802</c:v>
                </c:pt>
                <c:pt idx="449">
                  <c:v>6.81447076797485</c:v>
                </c:pt>
                <c:pt idx="450">
                  <c:v>5.4417271614074698</c:v>
                </c:pt>
                <c:pt idx="451">
                  <c:v>20.575454711913999</c:v>
                </c:pt>
                <c:pt idx="452">
                  <c:v>1.7832000255584699</c:v>
                </c:pt>
                <c:pt idx="453">
                  <c:v>11.3885993957519</c:v>
                </c:pt>
                <c:pt idx="454">
                  <c:v>8.9693250656127894</c:v>
                </c:pt>
                <c:pt idx="455">
                  <c:v>15.697546005249</c:v>
                </c:pt>
                <c:pt idx="456">
                  <c:v>5.73921298980712</c:v>
                </c:pt>
                <c:pt idx="457">
                  <c:v>17.272762298583899</c:v>
                </c:pt>
                <c:pt idx="458">
                  <c:v>18.352291107177699</c:v>
                </c:pt>
                <c:pt idx="459">
                  <c:v>4.1221365928649902</c:v>
                </c:pt>
                <c:pt idx="460">
                  <c:v>8.2972450256347603</c:v>
                </c:pt>
                <c:pt idx="461">
                  <c:v>2.6951944828033398</c:v>
                </c:pt>
                <c:pt idx="462">
                  <c:v>7.1406316757202104</c:v>
                </c:pt>
                <c:pt idx="463">
                  <c:v>0.51703613996505704</c:v>
                </c:pt>
                <c:pt idx="464">
                  <c:v>8.7181291580200195</c:v>
                </c:pt>
                <c:pt idx="465">
                  <c:v>5.1365337371826101</c:v>
                </c:pt>
                <c:pt idx="466">
                  <c:v>5.7582654953002903</c:v>
                </c:pt>
                <c:pt idx="467">
                  <c:v>13.4940338134765</c:v>
                </c:pt>
                <c:pt idx="468">
                  <c:v>5.7767462730407697</c:v>
                </c:pt>
                <c:pt idx="469">
                  <c:v>12.0218143463134</c:v>
                </c:pt>
                <c:pt idx="470">
                  <c:v>8.8407983779907209</c:v>
                </c:pt>
                <c:pt idx="471">
                  <c:v>9.3350095748901296</c:v>
                </c:pt>
                <c:pt idx="472">
                  <c:v>6.7382526397704998</c:v>
                </c:pt>
                <c:pt idx="473">
                  <c:v>27.6162109375</c:v>
                </c:pt>
                <c:pt idx="474">
                  <c:v>19.9615879058837</c:v>
                </c:pt>
                <c:pt idx="475">
                  <c:v>3.9935975074768</c:v>
                </c:pt>
                <c:pt idx="476">
                  <c:v>11.874250411987299</c:v>
                </c:pt>
                <c:pt idx="477">
                  <c:v>12.196636199951101</c:v>
                </c:pt>
                <c:pt idx="478">
                  <c:v>5.3613367080688397</c:v>
                </c:pt>
                <c:pt idx="479">
                  <c:v>0.33388981223106301</c:v>
                </c:pt>
                <c:pt idx="480">
                  <c:v>2.47262239456176</c:v>
                </c:pt>
                <c:pt idx="481">
                  <c:v>53.569038391113203</c:v>
                </c:pt>
                <c:pt idx="482">
                  <c:v>0.46698999404907199</c:v>
                </c:pt>
                <c:pt idx="483">
                  <c:v>14.287456512451101</c:v>
                </c:pt>
                <c:pt idx="484">
                  <c:v>8.4530553817749006</c:v>
                </c:pt>
                <c:pt idx="485">
                  <c:v>9.4442634582519496</c:v>
                </c:pt>
                <c:pt idx="486">
                  <c:v>3.9224402904510498</c:v>
                </c:pt>
                <c:pt idx="487">
                  <c:v>15.007335662841699</c:v>
                </c:pt>
                <c:pt idx="488">
                  <c:v>5.5421428680419904</c:v>
                </c:pt>
                <c:pt idx="489">
                  <c:v>5.5276646614074698</c:v>
                </c:pt>
                <c:pt idx="490">
                  <c:v>4.3448967933654696</c:v>
                </c:pt>
                <c:pt idx="491">
                  <c:v>12.191153526306101</c:v>
                </c:pt>
                <c:pt idx="492">
                  <c:v>7.0466427803039497</c:v>
                </c:pt>
                <c:pt idx="493">
                  <c:v>7.17657423019409</c:v>
                </c:pt>
                <c:pt idx="494">
                  <c:v>1.4015934467315601</c:v>
                </c:pt>
                <c:pt idx="495">
                  <c:v>6.2170181274414</c:v>
                </c:pt>
                <c:pt idx="496">
                  <c:v>4.5604310035705504</c:v>
                </c:pt>
                <c:pt idx="497">
                  <c:v>4.5540242195129297</c:v>
                </c:pt>
                <c:pt idx="498">
                  <c:v>33.527687072753899</c:v>
                </c:pt>
                <c:pt idx="499">
                  <c:v>5.3818726539611799</c:v>
                </c:pt>
                <c:pt idx="500">
                  <c:v>3.45772957801818</c:v>
                </c:pt>
                <c:pt idx="501">
                  <c:v>7.2046818733215297</c:v>
                </c:pt>
                <c:pt idx="502">
                  <c:v>10.0767765045166</c:v>
                </c:pt>
                <c:pt idx="503">
                  <c:v>3.1720006465911799</c:v>
                </c:pt>
                <c:pt idx="504">
                  <c:v>4.9682140350341797</c:v>
                </c:pt>
                <c:pt idx="505">
                  <c:v>12.3200483322143</c:v>
                </c:pt>
                <c:pt idx="506">
                  <c:v>18.771018981933501</c:v>
                </c:pt>
                <c:pt idx="507">
                  <c:v>16.904273986816399</c:v>
                </c:pt>
                <c:pt idx="508">
                  <c:v>26.314252853393501</c:v>
                </c:pt>
                <c:pt idx="509">
                  <c:v>3.0400733947753902</c:v>
                </c:pt>
                <c:pt idx="510">
                  <c:v>1.9592689275741499</c:v>
                </c:pt>
                <c:pt idx="511">
                  <c:v>6.1995830535888601</c:v>
                </c:pt>
                <c:pt idx="512">
                  <c:v>4.6010422706604004</c:v>
                </c:pt>
                <c:pt idx="513">
                  <c:v>19.507837295532202</c:v>
                </c:pt>
                <c:pt idx="514">
                  <c:v>1.5987247228622401</c:v>
                </c:pt>
                <c:pt idx="515">
                  <c:v>10.628677368164</c:v>
                </c:pt>
                <c:pt idx="516">
                  <c:v>9.3634042739868093</c:v>
                </c:pt>
                <c:pt idx="517">
                  <c:v>14.6592950820922</c:v>
                </c:pt>
                <c:pt idx="518">
                  <c:v>5.1015248298645002</c:v>
                </c:pt>
                <c:pt idx="519">
                  <c:v>18.182313919067301</c:v>
                </c:pt>
                <c:pt idx="520">
                  <c:v>4.4400711059570304</c:v>
                </c:pt>
                <c:pt idx="521">
                  <c:v>8.0473680496215803</c:v>
                </c:pt>
                <c:pt idx="522">
                  <c:v>2.9791100025177002</c:v>
                </c:pt>
                <c:pt idx="523">
                  <c:v>6.4820675849914497</c:v>
                </c:pt>
                <c:pt idx="524">
                  <c:v>0.51120984554290705</c:v>
                </c:pt>
                <c:pt idx="525">
                  <c:v>7.8219294548034597</c:v>
                </c:pt>
                <c:pt idx="526">
                  <c:v>4.7668471336364702</c:v>
                </c:pt>
                <c:pt idx="527">
                  <c:v>5.7279491424560502</c:v>
                </c:pt>
                <c:pt idx="528">
                  <c:v>7.3379368782043404</c:v>
                </c:pt>
                <c:pt idx="529">
                  <c:v>5.7225546836853001</c:v>
                </c:pt>
                <c:pt idx="530">
                  <c:v>11.2586870193481</c:v>
                </c:pt>
                <c:pt idx="531">
                  <c:v>10.556290626525801</c:v>
                </c:pt>
                <c:pt idx="532">
                  <c:v>10.1980667114257</c:v>
                </c:pt>
                <c:pt idx="533">
                  <c:v>6.2499232292175204</c:v>
                </c:pt>
                <c:pt idx="534">
                  <c:v>25.644594192504801</c:v>
                </c:pt>
                <c:pt idx="535">
                  <c:v>16.148799896240199</c:v>
                </c:pt>
                <c:pt idx="536">
                  <c:v>3.6102592945098801</c:v>
                </c:pt>
                <c:pt idx="537">
                  <c:v>13.16868019104</c:v>
                </c:pt>
                <c:pt idx="538">
                  <c:v>11.4676523208618</c:v>
                </c:pt>
                <c:pt idx="539">
                  <c:v>4.13105964660644</c:v>
                </c:pt>
                <c:pt idx="540">
                  <c:v>0.21039003133773801</c:v>
                </c:pt>
                <c:pt idx="541">
                  <c:v>2.40636777877807</c:v>
                </c:pt>
                <c:pt idx="542">
                  <c:v>45.800197601318303</c:v>
                </c:pt>
                <c:pt idx="543">
                  <c:v>2.9539382457733101</c:v>
                </c:pt>
                <c:pt idx="544">
                  <c:v>0.36172172427177401</c:v>
                </c:pt>
                <c:pt idx="545">
                  <c:v>12.1955032348632</c:v>
                </c:pt>
                <c:pt idx="546">
                  <c:v>9.1907281875610298</c:v>
                </c:pt>
                <c:pt idx="547">
                  <c:v>8.84966945648193</c:v>
                </c:pt>
                <c:pt idx="548">
                  <c:v>14.036983489990201</c:v>
                </c:pt>
                <c:pt idx="549">
                  <c:v>5.4577598571777299</c:v>
                </c:pt>
                <c:pt idx="550">
                  <c:v>5.3541445732116699</c:v>
                </c:pt>
                <c:pt idx="551">
                  <c:v>3.8949625492095898</c:v>
                </c:pt>
                <c:pt idx="552">
                  <c:v>11.9024944305419</c:v>
                </c:pt>
                <c:pt idx="553">
                  <c:v>6.8713059425354004</c:v>
                </c:pt>
                <c:pt idx="554">
                  <c:v>5.0597066879272399</c:v>
                </c:pt>
                <c:pt idx="555">
                  <c:v>1.03991711139678</c:v>
                </c:pt>
                <c:pt idx="556">
                  <c:v>5.7548060417175204</c:v>
                </c:pt>
                <c:pt idx="557">
                  <c:v>4.0342411994934002</c:v>
                </c:pt>
                <c:pt idx="558">
                  <c:v>5.58448982238769</c:v>
                </c:pt>
                <c:pt idx="559">
                  <c:v>27.6609802246093</c:v>
                </c:pt>
                <c:pt idx="560">
                  <c:v>4.5373473167419398</c:v>
                </c:pt>
                <c:pt idx="561">
                  <c:v>3.4642095565795898</c:v>
                </c:pt>
                <c:pt idx="562">
                  <c:v>7.9002318382263104</c:v>
                </c:pt>
                <c:pt idx="563">
                  <c:v>9.8793306350708008</c:v>
                </c:pt>
                <c:pt idx="564">
                  <c:v>2.68304371833801</c:v>
                </c:pt>
                <c:pt idx="565">
                  <c:v>4.9867100715637198</c:v>
                </c:pt>
                <c:pt idx="566">
                  <c:v>12.2475051879882</c:v>
                </c:pt>
                <c:pt idx="567">
                  <c:v>17.8489170074462</c:v>
                </c:pt>
                <c:pt idx="568">
                  <c:v>2.4405667781829798</c:v>
                </c:pt>
                <c:pt idx="569">
                  <c:v>1.81232345104217</c:v>
                </c:pt>
                <c:pt idx="570">
                  <c:v>6.9270458221435502</c:v>
                </c:pt>
                <c:pt idx="571">
                  <c:v>19.4320755004882</c:v>
                </c:pt>
                <c:pt idx="572">
                  <c:v>1.14818692207336</c:v>
                </c:pt>
                <c:pt idx="573">
                  <c:v>9.1548595428466797</c:v>
                </c:pt>
                <c:pt idx="574">
                  <c:v>10.0328722000122</c:v>
                </c:pt>
                <c:pt idx="575">
                  <c:v>1.6244708299636801</c:v>
                </c:pt>
                <c:pt idx="576">
                  <c:v>4.9110178947448704</c:v>
                </c:pt>
                <c:pt idx="577">
                  <c:v>12.813509941101</c:v>
                </c:pt>
                <c:pt idx="578">
                  <c:v>4.7182621955871502</c:v>
                </c:pt>
                <c:pt idx="579">
                  <c:v>18.194028854370099</c:v>
                </c:pt>
                <c:pt idx="580">
                  <c:v>4.5501637458801198</c:v>
                </c:pt>
                <c:pt idx="581">
                  <c:v>8.0777502059936506</c:v>
                </c:pt>
                <c:pt idx="582">
                  <c:v>3.0439810752868599</c:v>
                </c:pt>
                <c:pt idx="583">
                  <c:v>5.5000305175781197</c:v>
                </c:pt>
                <c:pt idx="584">
                  <c:v>0.40233767032623202</c:v>
                </c:pt>
                <c:pt idx="585">
                  <c:v>6.9912075996398899</c:v>
                </c:pt>
                <c:pt idx="586">
                  <c:v>4.3679208755493102</c:v>
                </c:pt>
                <c:pt idx="587">
                  <c:v>5.6738142967224103</c:v>
                </c:pt>
                <c:pt idx="588">
                  <c:v>4.7511668205261204</c:v>
                </c:pt>
                <c:pt idx="589">
                  <c:v>5.5367507934570304</c:v>
                </c:pt>
                <c:pt idx="590">
                  <c:v>11.2352590560913</c:v>
                </c:pt>
                <c:pt idx="591">
                  <c:v>10.7599573135375</c:v>
                </c:pt>
                <c:pt idx="592">
                  <c:v>9.5986728668212802</c:v>
                </c:pt>
                <c:pt idx="593">
                  <c:v>15.2402439117431</c:v>
                </c:pt>
                <c:pt idx="594">
                  <c:v>23.382347106933501</c:v>
                </c:pt>
                <c:pt idx="595">
                  <c:v>3.3080768585204998</c:v>
                </c:pt>
                <c:pt idx="596">
                  <c:v>13.818421363830501</c:v>
                </c:pt>
                <c:pt idx="597">
                  <c:v>11.1314849853515</c:v>
                </c:pt>
                <c:pt idx="598">
                  <c:v>0.193251073360443</c:v>
                </c:pt>
                <c:pt idx="599">
                  <c:v>1.79888248443603</c:v>
                </c:pt>
                <c:pt idx="600">
                  <c:v>39.183231353759702</c:v>
                </c:pt>
                <c:pt idx="601">
                  <c:v>2.52385306358337</c:v>
                </c:pt>
                <c:pt idx="602">
                  <c:v>0.36837741732597301</c:v>
                </c:pt>
                <c:pt idx="603">
                  <c:v>12.0697727203369</c:v>
                </c:pt>
                <c:pt idx="604">
                  <c:v>9.4487361907958896</c:v>
                </c:pt>
                <c:pt idx="605">
                  <c:v>4.2621998786926198</c:v>
                </c:pt>
                <c:pt idx="606">
                  <c:v>11.223258972167899</c:v>
                </c:pt>
                <c:pt idx="607">
                  <c:v>5.1994614601135201</c:v>
                </c:pt>
                <c:pt idx="608">
                  <c:v>5.2647972106933496</c:v>
                </c:pt>
                <c:pt idx="609">
                  <c:v>2.9394404888153001</c:v>
                </c:pt>
                <c:pt idx="610">
                  <c:v>4.34580278396606</c:v>
                </c:pt>
                <c:pt idx="611">
                  <c:v>6.6259884834289497</c:v>
                </c:pt>
                <c:pt idx="612">
                  <c:v>10.846004486083901</c:v>
                </c:pt>
                <c:pt idx="613">
                  <c:v>6.2974696159362704</c:v>
                </c:pt>
                <c:pt idx="614">
                  <c:v>4.83304738998413</c:v>
                </c:pt>
                <c:pt idx="615">
                  <c:v>0.75774544477462702</c:v>
                </c:pt>
                <c:pt idx="616">
                  <c:v>4.4251141548156703</c:v>
                </c:pt>
                <c:pt idx="617">
                  <c:v>3.6816833019256499</c:v>
                </c:pt>
                <c:pt idx="618">
                  <c:v>5.9164032936096103</c:v>
                </c:pt>
                <c:pt idx="619">
                  <c:v>24.256757736206001</c:v>
                </c:pt>
                <c:pt idx="620">
                  <c:v>4.7132196426391602</c:v>
                </c:pt>
                <c:pt idx="621">
                  <c:v>3.8768427371978702</c:v>
                </c:pt>
                <c:pt idx="622">
                  <c:v>7.7880702018737704</c:v>
                </c:pt>
                <c:pt idx="623">
                  <c:v>9.6998090744018501</c:v>
                </c:pt>
                <c:pt idx="624">
                  <c:v>2.0521821975707999</c:v>
                </c:pt>
                <c:pt idx="625">
                  <c:v>5.2038660049438397</c:v>
                </c:pt>
                <c:pt idx="626">
                  <c:v>12.7290935516357</c:v>
                </c:pt>
                <c:pt idx="627">
                  <c:v>15.9000082015991</c:v>
                </c:pt>
                <c:pt idx="628">
                  <c:v>1.9813083410262999</c:v>
                </c:pt>
                <c:pt idx="629">
                  <c:v>1.68067562580108</c:v>
                </c:pt>
                <c:pt idx="630">
                  <c:v>6.7200045585632298</c:v>
                </c:pt>
                <c:pt idx="631">
                  <c:v>20.828546524047798</c:v>
                </c:pt>
                <c:pt idx="632">
                  <c:v>1.0394307374954199</c:v>
                </c:pt>
                <c:pt idx="633">
                  <c:v>9.3075923919677699</c:v>
                </c:pt>
                <c:pt idx="634">
                  <c:v>12.798504829406699</c:v>
                </c:pt>
                <c:pt idx="635">
                  <c:v>1.5321855545043901</c:v>
                </c:pt>
                <c:pt idx="636">
                  <c:v>4.3234591484069798</c:v>
                </c:pt>
                <c:pt idx="637">
                  <c:v>12.7648801803588</c:v>
                </c:pt>
                <c:pt idx="638">
                  <c:v>4.1589508056640598</c:v>
                </c:pt>
                <c:pt idx="639">
                  <c:v>17.4677715301513</c:v>
                </c:pt>
                <c:pt idx="640">
                  <c:v>4.2394838333129803</c:v>
                </c:pt>
                <c:pt idx="641">
                  <c:v>7.7764258384704501</c:v>
                </c:pt>
                <c:pt idx="642">
                  <c:v>2.9846234321594198</c:v>
                </c:pt>
                <c:pt idx="643">
                  <c:v>4.9231295585632298</c:v>
                </c:pt>
                <c:pt idx="644">
                  <c:v>0.32361653447151101</c:v>
                </c:pt>
                <c:pt idx="645">
                  <c:v>19.233297348022401</c:v>
                </c:pt>
                <c:pt idx="646">
                  <c:v>3.9903488159179599</c:v>
                </c:pt>
                <c:pt idx="647">
                  <c:v>5.4360694885253897</c:v>
                </c:pt>
                <c:pt idx="648">
                  <c:v>3.1108772754669101</c:v>
                </c:pt>
                <c:pt idx="649">
                  <c:v>5.5910711288452104</c:v>
                </c:pt>
                <c:pt idx="650">
                  <c:v>10.751384735107401</c:v>
                </c:pt>
                <c:pt idx="651">
                  <c:v>10.460283279418899</c:v>
                </c:pt>
                <c:pt idx="652">
                  <c:v>8.8907308578491193</c:v>
                </c:pt>
                <c:pt idx="653">
                  <c:v>17.49951171875</c:v>
                </c:pt>
                <c:pt idx="654">
                  <c:v>22.5783596038818</c:v>
                </c:pt>
                <c:pt idx="655">
                  <c:v>3.21094751358032</c:v>
                </c:pt>
                <c:pt idx="656">
                  <c:v>12.388333320617599</c:v>
                </c:pt>
                <c:pt idx="657">
                  <c:v>10.691342353820801</c:v>
                </c:pt>
                <c:pt idx="658">
                  <c:v>0.12766374647617301</c:v>
                </c:pt>
                <c:pt idx="659">
                  <c:v>1.59520840644836</c:v>
                </c:pt>
                <c:pt idx="660">
                  <c:v>41.1697998046875</c:v>
                </c:pt>
                <c:pt idx="661">
                  <c:v>2.2562277317047101</c:v>
                </c:pt>
                <c:pt idx="662">
                  <c:v>0.44727721810340798</c:v>
                </c:pt>
                <c:pt idx="663">
                  <c:v>11.816579818725501</c:v>
                </c:pt>
                <c:pt idx="664">
                  <c:v>9.2276048660278303</c:v>
                </c:pt>
                <c:pt idx="665">
                  <c:v>3.0052728652954102</c:v>
                </c:pt>
                <c:pt idx="666">
                  <c:v>1.92286765575408</c:v>
                </c:pt>
                <c:pt idx="667">
                  <c:v>12.126191139221101</c:v>
                </c:pt>
                <c:pt idx="668">
                  <c:v>4.6236152648925701</c:v>
                </c:pt>
                <c:pt idx="669">
                  <c:v>4.5494961738586399</c:v>
                </c:pt>
                <c:pt idx="670">
                  <c:v>3.1723139286041202</c:v>
                </c:pt>
                <c:pt idx="671">
                  <c:v>6.6912651062011701</c:v>
                </c:pt>
                <c:pt idx="672">
                  <c:v>5.5214791297912598</c:v>
                </c:pt>
                <c:pt idx="673">
                  <c:v>11.1029596328735</c:v>
                </c:pt>
                <c:pt idx="674">
                  <c:v>6.1761245727539</c:v>
                </c:pt>
                <c:pt idx="675">
                  <c:v>3.2939608097076398</c:v>
                </c:pt>
                <c:pt idx="676">
                  <c:v>0.457272589206695</c:v>
                </c:pt>
                <c:pt idx="677">
                  <c:v>3.8176283836364702</c:v>
                </c:pt>
                <c:pt idx="678">
                  <c:v>3.4071466922760001</c:v>
                </c:pt>
                <c:pt idx="679">
                  <c:v>6.5127663612365696</c:v>
                </c:pt>
                <c:pt idx="680">
                  <c:v>24.261581420898398</c:v>
                </c:pt>
                <c:pt idx="681">
                  <c:v>4.4697213172912598</c:v>
                </c:pt>
                <c:pt idx="682">
                  <c:v>4.3369545936584402</c:v>
                </c:pt>
                <c:pt idx="683">
                  <c:v>8.9104938507080007</c:v>
                </c:pt>
                <c:pt idx="684">
                  <c:v>9.5511837005615199</c:v>
                </c:pt>
                <c:pt idx="685">
                  <c:v>1.68677914142608</c:v>
                </c:pt>
                <c:pt idx="686">
                  <c:v>5.2243137359619096</c:v>
                </c:pt>
                <c:pt idx="687">
                  <c:v>13.0796298980712</c:v>
                </c:pt>
                <c:pt idx="688">
                  <c:v>15.700870513916</c:v>
                </c:pt>
                <c:pt idx="689">
                  <c:v>1.8551337718963601</c:v>
                </c:pt>
                <c:pt idx="690">
                  <c:v>1.55314493179321</c:v>
                </c:pt>
                <c:pt idx="691">
                  <c:v>6.72938776016235</c:v>
                </c:pt>
                <c:pt idx="692">
                  <c:v>21.734430313110298</c:v>
                </c:pt>
                <c:pt idx="693">
                  <c:v>1.0211657285690301</c:v>
                </c:pt>
                <c:pt idx="694">
                  <c:v>8.9216661453246999</c:v>
                </c:pt>
                <c:pt idx="695">
                  <c:v>9.5355415344238192</c:v>
                </c:pt>
                <c:pt idx="696">
                  <c:v>1.2868418693542401</c:v>
                </c:pt>
                <c:pt idx="697">
                  <c:v>3.3707513809204102</c:v>
                </c:pt>
                <c:pt idx="698">
                  <c:v>11.9320669174194</c:v>
                </c:pt>
                <c:pt idx="699">
                  <c:v>3.6044216156005802</c:v>
                </c:pt>
                <c:pt idx="700">
                  <c:v>14.3392534255981</c:v>
                </c:pt>
                <c:pt idx="701">
                  <c:v>4.3624215126037598</c:v>
                </c:pt>
                <c:pt idx="702">
                  <c:v>7.5773334503173801</c:v>
                </c:pt>
                <c:pt idx="703">
                  <c:v>3.0727479457855198</c:v>
                </c:pt>
                <c:pt idx="704">
                  <c:v>4.0258631706237704</c:v>
                </c:pt>
                <c:pt idx="705">
                  <c:v>0.25032857060432401</c:v>
                </c:pt>
                <c:pt idx="706">
                  <c:v>18.2089824676513</c:v>
                </c:pt>
                <c:pt idx="707">
                  <c:v>3.8322334289550701</c:v>
                </c:pt>
                <c:pt idx="708">
                  <c:v>5.5674495697021396</c:v>
                </c:pt>
                <c:pt idx="709">
                  <c:v>2.19339728355407</c:v>
                </c:pt>
                <c:pt idx="710">
                  <c:v>5.8024706840515101</c:v>
                </c:pt>
                <c:pt idx="711">
                  <c:v>10.544287681579499</c:v>
                </c:pt>
                <c:pt idx="712">
                  <c:v>11.749462127685501</c:v>
                </c:pt>
                <c:pt idx="713">
                  <c:v>9.2621164321899396</c:v>
                </c:pt>
                <c:pt idx="714">
                  <c:v>18.410800933837798</c:v>
                </c:pt>
                <c:pt idx="715">
                  <c:v>22.202049255371001</c:v>
                </c:pt>
                <c:pt idx="716">
                  <c:v>3.13018774986267</c:v>
                </c:pt>
                <c:pt idx="717">
                  <c:v>12.422766685485801</c:v>
                </c:pt>
                <c:pt idx="718">
                  <c:v>11.396271705627401</c:v>
                </c:pt>
                <c:pt idx="719">
                  <c:v>1.46513235569</c:v>
                </c:pt>
                <c:pt idx="720">
                  <c:v>39.729801177978501</c:v>
                </c:pt>
                <c:pt idx="721">
                  <c:v>2.0691726207733101</c:v>
                </c:pt>
                <c:pt idx="722">
                  <c:v>0.60806053876876798</c:v>
                </c:pt>
                <c:pt idx="723">
                  <c:v>10.709769248962401</c:v>
                </c:pt>
                <c:pt idx="724">
                  <c:v>8.8008909225463796</c:v>
                </c:pt>
                <c:pt idx="725">
                  <c:v>3.5215172767639098</c:v>
                </c:pt>
                <c:pt idx="726">
                  <c:v>1.6148754358291599</c:v>
                </c:pt>
                <c:pt idx="727">
                  <c:v>11.5748138427734</c:v>
                </c:pt>
                <c:pt idx="728">
                  <c:v>4.5699181556701598</c:v>
                </c:pt>
                <c:pt idx="729">
                  <c:v>3.8564193248748699</c:v>
                </c:pt>
                <c:pt idx="730">
                  <c:v>2.6715900897979701</c:v>
                </c:pt>
                <c:pt idx="731">
                  <c:v>6.8744826316833496</c:v>
                </c:pt>
                <c:pt idx="732">
                  <c:v>4.9697504043579102</c:v>
                </c:pt>
                <c:pt idx="733">
                  <c:v>10.1459798812866</c:v>
                </c:pt>
                <c:pt idx="734">
                  <c:v>5.8323011398315403</c:v>
                </c:pt>
                <c:pt idx="735">
                  <c:v>1.8350512981414699</c:v>
                </c:pt>
                <c:pt idx="736">
                  <c:v>1.83943212032318</c:v>
                </c:pt>
                <c:pt idx="737">
                  <c:v>1.95551145076751</c:v>
                </c:pt>
                <c:pt idx="738">
                  <c:v>0.16601267457008301</c:v>
                </c:pt>
                <c:pt idx="739">
                  <c:v>3.9254734516143799</c:v>
                </c:pt>
                <c:pt idx="740">
                  <c:v>3.2643265724182098</c:v>
                </c:pt>
                <c:pt idx="741">
                  <c:v>6.84616899490356</c:v>
                </c:pt>
                <c:pt idx="742">
                  <c:v>25.463996887206999</c:v>
                </c:pt>
                <c:pt idx="743">
                  <c:v>4.5139689445495597</c:v>
                </c:pt>
                <c:pt idx="744">
                  <c:v>3.8804526329040501</c:v>
                </c:pt>
                <c:pt idx="745">
                  <c:v>6.2139086723327601</c:v>
                </c:pt>
                <c:pt idx="746">
                  <c:v>9.0562887191772408</c:v>
                </c:pt>
                <c:pt idx="747">
                  <c:v>1.4829899072646999</c:v>
                </c:pt>
                <c:pt idx="748">
                  <c:v>5.6941418647766104</c:v>
                </c:pt>
                <c:pt idx="749">
                  <c:v>13.507142066955501</c:v>
                </c:pt>
                <c:pt idx="750">
                  <c:v>14.244475364685</c:v>
                </c:pt>
                <c:pt idx="751">
                  <c:v>1.46541023254394</c:v>
                </c:pt>
                <c:pt idx="752">
                  <c:v>1.46349453926086</c:v>
                </c:pt>
                <c:pt idx="753">
                  <c:v>6.1407270431518501</c:v>
                </c:pt>
                <c:pt idx="754">
                  <c:v>0.440196543931961</c:v>
                </c:pt>
                <c:pt idx="755">
                  <c:v>22.904209136962798</c:v>
                </c:pt>
                <c:pt idx="756">
                  <c:v>1.5731503963470399</c:v>
                </c:pt>
                <c:pt idx="757">
                  <c:v>8.4307641983032209</c:v>
                </c:pt>
                <c:pt idx="758">
                  <c:v>1.18610286712646</c:v>
                </c:pt>
                <c:pt idx="759">
                  <c:v>2.5748150348663299</c:v>
                </c:pt>
                <c:pt idx="760">
                  <c:v>10.8256378173828</c:v>
                </c:pt>
                <c:pt idx="761">
                  <c:v>2.55715775489807</c:v>
                </c:pt>
                <c:pt idx="762">
                  <c:v>12.741717338561999</c:v>
                </c:pt>
                <c:pt idx="763">
                  <c:v>9.7537870407104492</c:v>
                </c:pt>
                <c:pt idx="764">
                  <c:v>4.6814122200012198</c:v>
                </c:pt>
                <c:pt idx="765">
                  <c:v>6.8870601654052699</c:v>
                </c:pt>
                <c:pt idx="766">
                  <c:v>2.9481248855590798</c:v>
                </c:pt>
                <c:pt idx="767">
                  <c:v>3.3480410575866699</c:v>
                </c:pt>
                <c:pt idx="768">
                  <c:v>0.24739880859851801</c:v>
                </c:pt>
                <c:pt idx="769">
                  <c:v>4.8977785110473597</c:v>
                </c:pt>
                <c:pt idx="770">
                  <c:v>3.6420009136199898</c:v>
                </c:pt>
                <c:pt idx="771">
                  <c:v>5.7719817161559996</c:v>
                </c:pt>
                <c:pt idx="772">
                  <c:v>2.11753845214843</c:v>
                </c:pt>
                <c:pt idx="773">
                  <c:v>5.7847900390625</c:v>
                </c:pt>
                <c:pt idx="774">
                  <c:v>10.539537429809499</c:v>
                </c:pt>
                <c:pt idx="775">
                  <c:v>11.462049484252899</c:v>
                </c:pt>
                <c:pt idx="776">
                  <c:v>8.8345556259155202</c:v>
                </c:pt>
                <c:pt idx="777">
                  <c:v>22.020107269287099</c:v>
                </c:pt>
                <c:pt idx="778">
                  <c:v>19.733882904052699</c:v>
                </c:pt>
                <c:pt idx="779">
                  <c:v>9.6775436401367099</c:v>
                </c:pt>
                <c:pt idx="780">
                  <c:v>3.4355063438415501</c:v>
                </c:pt>
                <c:pt idx="781">
                  <c:v>13.584231376647899</c:v>
                </c:pt>
                <c:pt idx="782">
                  <c:v>11.3813829421997</c:v>
                </c:pt>
                <c:pt idx="783">
                  <c:v>1.58671510219573</c:v>
                </c:pt>
                <c:pt idx="784">
                  <c:v>36.967311859130803</c:v>
                </c:pt>
                <c:pt idx="785">
                  <c:v>1.7506514787673899</c:v>
                </c:pt>
                <c:pt idx="786">
                  <c:v>0.84144830703735296</c:v>
                </c:pt>
                <c:pt idx="787">
                  <c:v>8.4936399459838796</c:v>
                </c:pt>
                <c:pt idx="788">
                  <c:v>7.9667391777038503</c:v>
                </c:pt>
                <c:pt idx="789">
                  <c:v>11.0957746505737</c:v>
                </c:pt>
                <c:pt idx="790">
                  <c:v>3.4986157417297301</c:v>
                </c:pt>
                <c:pt idx="791">
                  <c:v>1.18866991996765</c:v>
                </c:pt>
                <c:pt idx="792">
                  <c:v>9.4628095626831001</c:v>
                </c:pt>
                <c:pt idx="793">
                  <c:v>4.7574892044067303</c:v>
                </c:pt>
                <c:pt idx="794">
                  <c:v>2.16287040710449</c:v>
                </c:pt>
                <c:pt idx="795">
                  <c:v>2.0875082015991202</c:v>
                </c:pt>
                <c:pt idx="796">
                  <c:v>5.3092966079711896</c:v>
                </c:pt>
                <c:pt idx="797">
                  <c:v>3.8330268859863201</c:v>
                </c:pt>
                <c:pt idx="798">
                  <c:v>9.0955667495727504</c:v>
                </c:pt>
                <c:pt idx="799">
                  <c:v>5.5274324417114196</c:v>
                </c:pt>
                <c:pt idx="800">
                  <c:v>1.74428451061248</c:v>
                </c:pt>
                <c:pt idx="801">
                  <c:v>1.74958932399749</c:v>
                </c:pt>
                <c:pt idx="802">
                  <c:v>1.4550653696060101</c:v>
                </c:pt>
                <c:pt idx="803">
                  <c:v>8.3050206303596497E-2</c:v>
                </c:pt>
                <c:pt idx="804">
                  <c:v>3.7263150215148899</c:v>
                </c:pt>
                <c:pt idx="805">
                  <c:v>2.7732853889465301</c:v>
                </c:pt>
                <c:pt idx="806">
                  <c:v>6.7902302742004297</c:v>
                </c:pt>
                <c:pt idx="807">
                  <c:v>25.0746135711669</c:v>
                </c:pt>
                <c:pt idx="808">
                  <c:v>4.0933837890625</c:v>
                </c:pt>
                <c:pt idx="809">
                  <c:v>3.5577764511108398</c:v>
                </c:pt>
                <c:pt idx="810">
                  <c:v>5.4230327606201101</c:v>
                </c:pt>
                <c:pt idx="811">
                  <c:v>7.5645217895507804</c:v>
                </c:pt>
                <c:pt idx="812">
                  <c:v>14.8273973464965</c:v>
                </c:pt>
                <c:pt idx="813">
                  <c:v>1.2491219043731601</c:v>
                </c:pt>
                <c:pt idx="814">
                  <c:v>5.3133049011230398</c:v>
                </c:pt>
                <c:pt idx="815">
                  <c:v>11.537034988403301</c:v>
                </c:pt>
                <c:pt idx="816">
                  <c:v>11.2424011230468</c:v>
                </c:pt>
                <c:pt idx="817">
                  <c:v>2.1718688011169398</c:v>
                </c:pt>
                <c:pt idx="818">
                  <c:v>1.4329316616058301</c:v>
                </c:pt>
                <c:pt idx="819">
                  <c:v>6.2997155189514098</c:v>
                </c:pt>
                <c:pt idx="820">
                  <c:v>0.95784044265747004</c:v>
                </c:pt>
                <c:pt idx="821">
                  <c:v>21.771293640136701</c:v>
                </c:pt>
                <c:pt idx="822">
                  <c:v>2.2208364009857098</c:v>
                </c:pt>
                <c:pt idx="823">
                  <c:v>7.6669950485229403</c:v>
                </c:pt>
                <c:pt idx="824">
                  <c:v>1.13975942134857</c:v>
                </c:pt>
                <c:pt idx="825">
                  <c:v>2.07753109931945</c:v>
                </c:pt>
                <c:pt idx="826">
                  <c:v>9.3508453369140607</c:v>
                </c:pt>
                <c:pt idx="827">
                  <c:v>2.49416160583496</c:v>
                </c:pt>
                <c:pt idx="828">
                  <c:v>13.094666481018001</c:v>
                </c:pt>
                <c:pt idx="829">
                  <c:v>8.3633136749267507</c:v>
                </c:pt>
                <c:pt idx="830">
                  <c:v>5.4194216728210396</c:v>
                </c:pt>
                <c:pt idx="831">
                  <c:v>5.5253696441650302</c:v>
                </c:pt>
                <c:pt idx="832">
                  <c:v>3.36162900924682</c:v>
                </c:pt>
                <c:pt idx="833">
                  <c:v>4.1058664321899396</c:v>
                </c:pt>
                <c:pt idx="834">
                  <c:v>0.230991005897521</c:v>
                </c:pt>
                <c:pt idx="835">
                  <c:v>3.3690986633300701</c:v>
                </c:pt>
                <c:pt idx="836">
                  <c:v>3.2431266307830802</c:v>
                </c:pt>
                <c:pt idx="837">
                  <c:v>4.9240269660949698</c:v>
                </c:pt>
                <c:pt idx="838">
                  <c:v>2.96875</c:v>
                </c:pt>
                <c:pt idx="839">
                  <c:v>5.2000322341918901</c:v>
                </c:pt>
                <c:pt idx="840">
                  <c:v>10.151675224304199</c:v>
                </c:pt>
                <c:pt idx="841">
                  <c:v>11.231354713439901</c:v>
                </c:pt>
                <c:pt idx="842">
                  <c:v>9.6860399246215803</c:v>
                </c:pt>
                <c:pt idx="843">
                  <c:v>28.4451999664306</c:v>
                </c:pt>
                <c:pt idx="844">
                  <c:v>19.372238159179599</c:v>
                </c:pt>
                <c:pt idx="845">
                  <c:v>10.885606765746999</c:v>
                </c:pt>
                <c:pt idx="846">
                  <c:v>4.5455288887023899</c:v>
                </c:pt>
                <c:pt idx="847">
                  <c:v>12.6357822418212</c:v>
                </c:pt>
                <c:pt idx="848">
                  <c:v>9.5199356079101491</c:v>
                </c:pt>
                <c:pt idx="849">
                  <c:v>3.4646649360656698</c:v>
                </c:pt>
                <c:pt idx="850">
                  <c:v>37.653614044189403</c:v>
                </c:pt>
                <c:pt idx="851">
                  <c:v>2.83186602592468</c:v>
                </c:pt>
                <c:pt idx="852">
                  <c:v>0.83662885427474898</c:v>
                </c:pt>
                <c:pt idx="853">
                  <c:v>9.2057256698608398</c:v>
                </c:pt>
                <c:pt idx="854">
                  <c:v>7.9678311347961399</c:v>
                </c:pt>
                <c:pt idx="855">
                  <c:v>11.4551172256469</c:v>
                </c:pt>
                <c:pt idx="856">
                  <c:v>3.62883400917053</c:v>
                </c:pt>
                <c:pt idx="857">
                  <c:v>1.6986973285675</c:v>
                </c:pt>
                <c:pt idx="858">
                  <c:v>8.93843173980712</c:v>
                </c:pt>
                <c:pt idx="859">
                  <c:v>4.4102458953857404</c:v>
                </c:pt>
                <c:pt idx="860">
                  <c:v>3.4598257541656401</c:v>
                </c:pt>
                <c:pt idx="861">
                  <c:v>1.8816376924514699</c:v>
                </c:pt>
                <c:pt idx="862">
                  <c:v>3.0614666938781698</c:v>
                </c:pt>
                <c:pt idx="863">
                  <c:v>3.11143946647644</c:v>
                </c:pt>
                <c:pt idx="864">
                  <c:v>7.2293233871459899</c:v>
                </c:pt>
                <c:pt idx="865">
                  <c:v>6.3381829261779696</c:v>
                </c:pt>
                <c:pt idx="866">
                  <c:v>3.51584672927856</c:v>
                </c:pt>
                <c:pt idx="867">
                  <c:v>1.4212799072265601</c:v>
                </c:pt>
                <c:pt idx="868">
                  <c:v>1.92962574958801</c:v>
                </c:pt>
                <c:pt idx="869">
                  <c:v>8.3374433219432803E-2</c:v>
                </c:pt>
                <c:pt idx="870">
                  <c:v>3.3902101516723602</c:v>
                </c:pt>
                <c:pt idx="871">
                  <c:v>3.00841116905212</c:v>
                </c:pt>
                <c:pt idx="872">
                  <c:v>4.9510126113891602</c:v>
                </c:pt>
                <c:pt idx="873">
                  <c:v>30.558090209960898</c:v>
                </c:pt>
                <c:pt idx="874">
                  <c:v>2.9622597694396902</c:v>
                </c:pt>
                <c:pt idx="875">
                  <c:v>2.9835629463195801</c:v>
                </c:pt>
                <c:pt idx="876">
                  <c:v>5.4857411384582502</c:v>
                </c:pt>
                <c:pt idx="877">
                  <c:v>7.2125759124755797</c:v>
                </c:pt>
                <c:pt idx="878">
                  <c:v>12.5534267425537</c:v>
                </c:pt>
                <c:pt idx="879">
                  <c:v>2.6645438671111998</c:v>
                </c:pt>
                <c:pt idx="880">
                  <c:v>4.2721691131591797</c:v>
                </c:pt>
                <c:pt idx="881">
                  <c:v>9.57203769683837</c:v>
                </c:pt>
                <c:pt idx="882">
                  <c:v>9.3618602752685494</c:v>
                </c:pt>
                <c:pt idx="883">
                  <c:v>3.82479619979858</c:v>
                </c:pt>
                <c:pt idx="884">
                  <c:v>2.0108003616332999</c:v>
                </c:pt>
                <c:pt idx="885">
                  <c:v>6.0578980445861799</c:v>
                </c:pt>
                <c:pt idx="886">
                  <c:v>0.44564789533615101</c:v>
                </c:pt>
                <c:pt idx="887">
                  <c:v>20.0480556488037</c:v>
                </c:pt>
                <c:pt idx="888">
                  <c:v>1.7615560293197601</c:v>
                </c:pt>
                <c:pt idx="889">
                  <c:v>7.2826180458068803</c:v>
                </c:pt>
                <c:pt idx="890">
                  <c:v>1.0887466669082599</c:v>
                </c:pt>
                <c:pt idx="891">
                  <c:v>22.822299957275298</c:v>
                </c:pt>
                <c:pt idx="892">
                  <c:v>2.1134276390075599</c:v>
                </c:pt>
                <c:pt idx="893">
                  <c:v>8.8942003250121999</c:v>
                </c:pt>
                <c:pt idx="894">
                  <c:v>2.23676085472106</c:v>
                </c:pt>
                <c:pt idx="895">
                  <c:v>11.003827095031699</c:v>
                </c:pt>
                <c:pt idx="896">
                  <c:v>8.0791282653808594</c:v>
                </c:pt>
                <c:pt idx="897">
                  <c:v>5.6206312179565403</c:v>
                </c:pt>
                <c:pt idx="898">
                  <c:v>4.6147961616516104</c:v>
                </c:pt>
                <c:pt idx="899">
                  <c:v>3.6380126476287802</c:v>
                </c:pt>
                <c:pt idx="900">
                  <c:v>4.1331081390380797</c:v>
                </c:pt>
                <c:pt idx="901">
                  <c:v>0.20953471958637199</c:v>
                </c:pt>
                <c:pt idx="902">
                  <c:v>3.2700545787811199</c:v>
                </c:pt>
                <c:pt idx="903">
                  <c:v>3.3441805839538499</c:v>
                </c:pt>
                <c:pt idx="904">
                  <c:v>4.9820289611816397</c:v>
                </c:pt>
                <c:pt idx="905">
                  <c:v>3.6162812709808301</c:v>
                </c:pt>
                <c:pt idx="906">
                  <c:v>4.6494889259338299</c:v>
                </c:pt>
                <c:pt idx="907">
                  <c:v>12.0080204010009</c:v>
                </c:pt>
                <c:pt idx="908">
                  <c:v>11.4662570953369</c:v>
                </c:pt>
                <c:pt idx="909">
                  <c:v>9.1734666824340803</c:v>
                </c:pt>
                <c:pt idx="910">
                  <c:v>20.6483440399169</c:v>
                </c:pt>
                <c:pt idx="911">
                  <c:v>18.280664443969702</c:v>
                </c:pt>
                <c:pt idx="912">
                  <c:v>9.1890382766723597</c:v>
                </c:pt>
                <c:pt idx="913">
                  <c:v>4.52687215805053</c:v>
                </c:pt>
                <c:pt idx="914">
                  <c:v>10.617148399353001</c:v>
                </c:pt>
                <c:pt idx="915">
                  <c:v>9.6024427413940394</c:v>
                </c:pt>
                <c:pt idx="916">
                  <c:v>2.3615951538085902</c:v>
                </c:pt>
                <c:pt idx="917">
                  <c:v>4.2247276306152299</c:v>
                </c:pt>
                <c:pt idx="918">
                  <c:v>39.348213195800703</c:v>
                </c:pt>
                <c:pt idx="919">
                  <c:v>4.5988178253173801</c:v>
                </c:pt>
                <c:pt idx="920">
                  <c:v>0.97933477163314797</c:v>
                </c:pt>
                <c:pt idx="921">
                  <c:v>10.430519104003899</c:v>
                </c:pt>
                <c:pt idx="922">
                  <c:v>7.7114295959472603</c:v>
                </c:pt>
                <c:pt idx="923">
                  <c:v>10.9808597564697</c:v>
                </c:pt>
                <c:pt idx="924">
                  <c:v>2.17787289619445</c:v>
                </c:pt>
                <c:pt idx="925">
                  <c:v>1.8757506608962999</c:v>
                </c:pt>
                <c:pt idx="926">
                  <c:v>8.2667884826660103</c:v>
                </c:pt>
                <c:pt idx="927">
                  <c:v>3.9317829608917201</c:v>
                </c:pt>
                <c:pt idx="928">
                  <c:v>3.6074314117431601</c:v>
                </c:pt>
                <c:pt idx="929">
                  <c:v>2.4124956130981401</c:v>
                </c:pt>
                <c:pt idx="930">
                  <c:v>2.4690756797790501</c:v>
                </c:pt>
                <c:pt idx="931">
                  <c:v>2.2664976119995099</c:v>
                </c:pt>
                <c:pt idx="932">
                  <c:v>6.6687078475952104</c:v>
                </c:pt>
                <c:pt idx="933">
                  <c:v>6.4014625549316397</c:v>
                </c:pt>
                <c:pt idx="934">
                  <c:v>7.0004110336303702</c:v>
                </c:pt>
                <c:pt idx="935">
                  <c:v>3.8294227123260498</c:v>
                </c:pt>
                <c:pt idx="936">
                  <c:v>1.5617605447769101</c:v>
                </c:pt>
                <c:pt idx="937">
                  <c:v>2.2577853202819802</c:v>
                </c:pt>
                <c:pt idx="938">
                  <c:v>2.7396075725555402</c:v>
                </c:pt>
                <c:pt idx="939">
                  <c:v>1.3304621912539E-2</c:v>
                </c:pt>
                <c:pt idx="940">
                  <c:v>3.1882693767547599</c:v>
                </c:pt>
                <c:pt idx="941">
                  <c:v>3.6667010784149099</c:v>
                </c:pt>
                <c:pt idx="942">
                  <c:v>5.7419028282165501</c:v>
                </c:pt>
                <c:pt idx="943">
                  <c:v>32.626411437988203</c:v>
                </c:pt>
                <c:pt idx="944">
                  <c:v>2.75432848930358</c:v>
                </c:pt>
                <c:pt idx="945">
                  <c:v>2.7595639228820801</c:v>
                </c:pt>
                <c:pt idx="946">
                  <c:v>6.7039265632629297</c:v>
                </c:pt>
                <c:pt idx="947">
                  <c:v>6.5141053199768004</c:v>
                </c:pt>
                <c:pt idx="948">
                  <c:v>10.38938331604</c:v>
                </c:pt>
                <c:pt idx="949">
                  <c:v>3.7550470829010001</c:v>
                </c:pt>
                <c:pt idx="950">
                  <c:v>6.5524201393127397</c:v>
                </c:pt>
                <c:pt idx="951">
                  <c:v>9.7272615432739205</c:v>
                </c:pt>
                <c:pt idx="952">
                  <c:v>8.08168220520019</c:v>
                </c:pt>
                <c:pt idx="953">
                  <c:v>13.668230056762599</c:v>
                </c:pt>
                <c:pt idx="954">
                  <c:v>4.1674766540527299</c:v>
                </c:pt>
                <c:pt idx="955">
                  <c:v>2.7108523845672599</c:v>
                </c:pt>
                <c:pt idx="956">
                  <c:v>5.9432568550109801</c:v>
                </c:pt>
                <c:pt idx="957">
                  <c:v>1.76227927207946</c:v>
                </c:pt>
                <c:pt idx="958">
                  <c:v>17.290370941162099</c:v>
                </c:pt>
                <c:pt idx="959">
                  <c:v>3.2768182754516602</c:v>
                </c:pt>
                <c:pt idx="960">
                  <c:v>7.0863838195800701</c:v>
                </c:pt>
                <c:pt idx="961">
                  <c:v>1.4378644227981501</c:v>
                </c:pt>
                <c:pt idx="962">
                  <c:v>24.182720184326101</c:v>
                </c:pt>
                <c:pt idx="963">
                  <c:v>2.2695627212524401</c:v>
                </c:pt>
                <c:pt idx="964">
                  <c:v>9.1166019439697195</c:v>
                </c:pt>
                <c:pt idx="965">
                  <c:v>2.8165524005889799</c:v>
                </c:pt>
                <c:pt idx="966">
                  <c:v>10.7736711502075</c:v>
                </c:pt>
                <c:pt idx="967">
                  <c:v>8.3213653564453107</c:v>
                </c:pt>
                <c:pt idx="968">
                  <c:v>6.2165546417236301</c:v>
                </c:pt>
                <c:pt idx="969">
                  <c:v>4.9721188545226997</c:v>
                </c:pt>
                <c:pt idx="970">
                  <c:v>3.7227218151092498</c:v>
                </c:pt>
                <c:pt idx="971">
                  <c:v>4.2574663162231401</c:v>
                </c:pt>
                <c:pt idx="972">
                  <c:v>0.22975797951221399</c:v>
                </c:pt>
                <c:pt idx="973">
                  <c:v>3.6763999462127601</c:v>
                </c:pt>
                <c:pt idx="974">
                  <c:v>3.4249680042266801</c:v>
                </c:pt>
                <c:pt idx="975">
                  <c:v>5.4338469505309996</c:v>
                </c:pt>
                <c:pt idx="976">
                  <c:v>4.6810059547424299</c:v>
                </c:pt>
                <c:pt idx="977">
                  <c:v>5.3422307968139604</c:v>
                </c:pt>
                <c:pt idx="978">
                  <c:v>13.934440612792899</c:v>
                </c:pt>
                <c:pt idx="979">
                  <c:v>11.5013303756713</c:v>
                </c:pt>
                <c:pt idx="980">
                  <c:v>8.8593559265136701</c:v>
                </c:pt>
                <c:pt idx="981">
                  <c:v>22.057395935058501</c:v>
                </c:pt>
                <c:pt idx="982">
                  <c:v>18.196907043456999</c:v>
                </c:pt>
                <c:pt idx="983">
                  <c:v>7.9256472587585396</c:v>
                </c:pt>
                <c:pt idx="984">
                  <c:v>7.5636315345764098</c:v>
                </c:pt>
                <c:pt idx="985">
                  <c:v>10.652935981750399</c:v>
                </c:pt>
                <c:pt idx="986">
                  <c:v>10.5962104797363</c:v>
                </c:pt>
                <c:pt idx="987">
                  <c:v>2.5949234962463299</c:v>
                </c:pt>
                <c:pt idx="988">
                  <c:v>5.0089659690856898</c:v>
                </c:pt>
                <c:pt idx="989">
                  <c:v>35.590744018554602</c:v>
                </c:pt>
                <c:pt idx="990">
                  <c:v>4.6126151084899902</c:v>
                </c:pt>
                <c:pt idx="991">
                  <c:v>1.1716622114181501</c:v>
                </c:pt>
                <c:pt idx="992">
                  <c:v>9.8460941314697195</c:v>
                </c:pt>
                <c:pt idx="993">
                  <c:v>7.9919095039367596</c:v>
                </c:pt>
                <c:pt idx="994">
                  <c:v>10.1107158660888</c:v>
                </c:pt>
                <c:pt idx="995">
                  <c:v>2.4511363506317099</c:v>
                </c:pt>
                <c:pt idx="996">
                  <c:v>1.1595976352691599</c:v>
                </c:pt>
                <c:pt idx="997">
                  <c:v>7.5654935836791903</c:v>
                </c:pt>
                <c:pt idx="998">
                  <c:v>4.02115774154663</c:v>
                </c:pt>
                <c:pt idx="999">
                  <c:v>3.7919836044311501</c:v>
                </c:pt>
                <c:pt idx="1000">
                  <c:v>2.5801129341125399</c:v>
                </c:pt>
                <c:pt idx="1001">
                  <c:v>2.1183915138244598</c:v>
                </c:pt>
                <c:pt idx="1002">
                  <c:v>1.5349930524826001</c:v>
                </c:pt>
                <c:pt idx="1003">
                  <c:v>6.47743368148803</c:v>
                </c:pt>
                <c:pt idx="1004">
                  <c:v>6.7631449699401802</c:v>
                </c:pt>
                <c:pt idx="1005">
                  <c:v>10.0120182037353</c:v>
                </c:pt>
                <c:pt idx="1006">
                  <c:v>4.3556318283081001</c:v>
                </c:pt>
                <c:pt idx="1007">
                  <c:v>1.9399285316467201</c:v>
                </c:pt>
                <c:pt idx="1008">
                  <c:v>1.34544742107391</c:v>
                </c:pt>
                <c:pt idx="1009">
                  <c:v>3.2937016487121502</c:v>
                </c:pt>
                <c:pt idx="1010">
                  <c:v>9.5813190564513206E-3</c:v>
                </c:pt>
                <c:pt idx="1011">
                  <c:v>3.8104975223541202</c:v>
                </c:pt>
                <c:pt idx="1012">
                  <c:v>4.0881714820861799</c:v>
                </c:pt>
                <c:pt idx="1013">
                  <c:v>5.7826132774353001</c:v>
                </c:pt>
                <c:pt idx="1014">
                  <c:v>30.582086563110298</c:v>
                </c:pt>
                <c:pt idx="1015">
                  <c:v>2.8408460617065399</c:v>
                </c:pt>
                <c:pt idx="1016">
                  <c:v>2.5117945671081499</c:v>
                </c:pt>
                <c:pt idx="1017">
                  <c:v>6.0756731033325098</c:v>
                </c:pt>
                <c:pt idx="1018">
                  <c:v>5.3387103080749503</c:v>
                </c:pt>
                <c:pt idx="1019">
                  <c:v>9.4787006378173793</c:v>
                </c:pt>
                <c:pt idx="1020">
                  <c:v>4.9426856040954501</c:v>
                </c:pt>
                <c:pt idx="1021">
                  <c:v>0</c:v>
                </c:pt>
                <c:pt idx="1022">
                  <c:v>7.4286770820617596</c:v>
                </c:pt>
                <c:pt idx="1023">
                  <c:v>10.7582883834838</c:v>
                </c:pt>
                <c:pt idx="1024">
                  <c:v>8.3349199295043892</c:v>
                </c:pt>
                <c:pt idx="1025">
                  <c:v>0.22946494817733701</c:v>
                </c:pt>
                <c:pt idx="1026">
                  <c:v>13.460802078246999</c:v>
                </c:pt>
                <c:pt idx="1027">
                  <c:v>4.4595737457275302</c:v>
                </c:pt>
                <c:pt idx="1028">
                  <c:v>3.3137063980102499</c:v>
                </c:pt>
                <c:pt idx="1029">
                  <c:v>5.7775363922119096</c:v>
                </c:pt>
                <c:pt idx="1030">
                  <c:v>0.74268633127212502</c:v>
                </c:pt>
                <c:pt idx="1031">
                  <c:v>19.953386306762599</c:v>
                </c:pt>
                <c:pt idx="1032">
                  <c:v>3.9724323749542201</c:v>
                </c:pt>
                <c:pt idx="1033">
                  <c:v>6.9427256584167401</c:v>
                </c:pt>
                <c:pt idx="1034">
                  <c:v>1.76888871192932</c:v>
                </c:pt>
                <c:pt idx="1035">
                  <c:v>22.329093933105401</c:v>
                </c:pt>
                <c:pt idx="1036">
                  <c:v>2.46938920021057</c:v>
                </c:pt>
                <c:pt idx="1037">
                  <c:v>8.5397138595581001</c:v>
                </c:pt>
                <c:pt idx="1038">
                  <c:v>3.0436954498290998</c:v>
                </c:pt>
                <c:pt idx="1039">
                  <c:v>9.6528959274291992</c:v>
                </c:pt>
                <c:pt idx="1040">
                  <c:v>7.7589683532714799</c:v>
                </c:pt>
                <c:pt idx="1041">
                  <c:v>7.3692145347595197</c:v>
                </c:pt>
                <c:pt idx="1042">
                  <c:v>7.8111205101013104</c:v>
                </c:pt>
                <c:pt idx="1043">
                  <c:v>3.74733209609985</c:v>
                </c:pt>
                <c:pt idx="1044">
                  <c:v>3.80273413658142</c:v>
                </c:pt>
                <c:pt idx="1045">
                  <c:v>0.32881283760070801</c:v>
                </c:pt>
                <c:pt idx="1046">
                  <c:v>3.9997470378875701</c:v>
                </c:pt>
                <c:pt idx="1047">
                  <c:v>3.4630041122436501</c:v>
                </c:pt>
                <c:pt idx="1048">
                  <c:v>5.1965742111206001</c:v>
                </c:pt>
                <c:pt idx="1049">
                  <c:v>6.0884552001953098</c:v>
                </c:pt>
                <c:pt idx="1050">
                  <c:v>3.6668930053710902</c:v>
                </c:pt>
                <c:pt idx="1051">
                  <c:v>4.8705968856811497</c:v>
                </c:pt>
                <c:pt idx="1052">
                  <c:v>9.5252971649169904</c:v>
                </c:pt>
                <c:pt idx="1053">
                  <c:v>11.5197200775146</c:v>
                </c:pt>
                <c:pt idx="1054">
                  <c:v>9.8429384231567294</c:v>
                </c:pt>
                <c:pt idx="1055">
                  <c:v>23.276237487792901</c:v>
                </c:pt>
                <c:pt idx="1056">
                  <c:v>19.4578323364257</c:v>
                </c:pt>
                <c:pt idx="1057">
                  <c:v>7.4721417427062899</c:v>
                </c:pt>
                <c:pt idx="1058">
                  <c:v>10.356172561645501</c:v>
                </c:pt>
                <c:pt idx="1059">
                  <c:v>9.4138402938842702</c:v>
                </c:pt>
                <c:pt idx="1060">
                  <c:v>11.383183479309</c:v>
                </c:pt>
                <c:pt idx="1061">
                  <c:v>2.34862780570983</c:v>
                </c:pt>
                <c:pt idx="1062">
                  <c:v>5.1689476966857901</c:v>
                </c:pt>
                <c:pt idx="1063">
                  <c:v>30.6880283355712</c:v>
                </c:pt>
                <c:pt idx="1064">
                  <c:v>5.9581832885742099</c:v>
                </c:pt>
                <c:pt idx="1065">
                  <c:v>1.2342996597289999</c:v>
                </c:pt>
                <c:pt idx="1066">
                  <c:v>9.5880479812621999</c:v>
                </c:pt>
                <c:pt idx="1067">
                  <c:v>7.4824056625366202</c:v>
                </c:pt>
                <c:pt idx="1068">
                  <c:v>10.279481887817299</c:v>
                </c:pt>
                <c:pt idx="1069">
                  <c:v>2.2681400775909402</c:v>
                </c:pt>
                <c:pt idx="1070">
                  <c:v>2.7867047786712602</c:v>
                </c:pt>
                <c:pt idx="1071">
                  <c:v>7.9582748413085902</c:v>
                </c:pt>
                <c:pt idx="1072">
                  <c:v>3.8016834259033199</c:v>
                </c:pt>
                <c:pt idx="1073">
                  <c:v>4.75284576416015</c:v>
                </c:pt>
                <c:pt idx="1074">
                  <c:v>3.0755090713500901</c:v>
                </c:pt>
                <c:pt idx="1075">
                  <c:v>1.4848488569259599</c:v>
                </c:pt>
                <c:pt idx="1076">
                  <c:v>1.1215345859527499</c:v>
                </c:pt>
                <c:pt idx="1077">
                  <c:v>5.9659242630004803</c:v>
                </c:pt>
                <c:pt idx="1078">
                  <c:v>6.9934620857238698</c:v>
                </c:pt>
                <c:pt idx="1079">
                  <c:v>11.1074886322021</c:v>
                </c:pt>
                <c:pt idx="1080">
                  <c:v>5.1011142730712802</c:v>
                </c:pt>
                <c:pt idx="1081">
                  <c:v>2.0348095893859801</c:v>
                </c:pt>
                <c:pt idx="1082">
                  <c:v>0.85612535476684504</c:v>
                </c:pt>
                <c:pt idx="1083">
                  <c:v>4.56264305114746</c:v>
                </c:pt>
                <c:pt idx="1084">
                  <c:v>7.00703309848904E-3</c:v>
                </c:pt>
                <c:pt idx="1085">
                  <c:v>4.4201955795287997</c:v>
                </c:pt>
                <c:pt idx="1086">
                  <c:v>4.5336546897888104</c:v>
                </c:pt>
                <c:pt idx="1087">
                  <c:v>5.68337059020996</c:v>
                </c:pt>
                <c:pt idx="1088">
                  <c:v>30.157691955566399</c:v>
                </c:pt>
                <c:pt idx="1089">
                  <c:v>2.0518808364868102</c:v>
                </c:pt>
                <c:pt idx="1090">
                  <c:v>2.26162481307983</c:v>
                </c:pt>
                <c:pt idx="1091">
                  <c:v>6.0719323158264098</c:v>
                </c:pt>
                <c:pt idx="1092">
                  <c:v>5.0985765457153303</c:v>
                </c:pt>
                <c:pt idx="1093">
                  <c:v>9.1154632568359304</c:v>
                </c:pt>
                <c:pt idx="1094">
                  <c:v>4.4641151428222603</c:v>
                </c:pt>
                <c:pt idx="1095">
                  <c:v>0</c:v>
                </c:pt>
                <c:pt idx="1096">
                  <c:v>6.6254997253417898</c:v>
                </c:pt>
                <c:pt idx="1097">
                  <c:v>10.8720703125</c:v>
                </c:pt>
                <c:pt idx="1098">
                  <c:v>7.6099514961242596</c:v>
                </c:pt>
                <c:pt idx="1099">
                  <c:v>0.199184119701385</c:v>
                </c:pt>
                <c:pt idx="1100">
                  <c:v>13.223690032958901</c:v>
                </c:pt>
                <c:pt idx="1101">
                  <c:v>4.5328559875488201</c:v>
                </c:pt>
                <c:pt idx="1102">
                  <c:v>3.2801554203033398</c:v>
                </c:pt>
                <c:pt idx="1103">
                  <c:v>5.44624900817871</c:v>
                </c:pt>
                <c:pt idx="1104">
                  <c:v>1.26900422573089</c:v>
                </c:pt>
                <c:pt idx="1105">
                  <c:v>21.1997375488281</c:v>
                </c:pt>
                <c:pt idx="1106">
                  <c:v>2.8703331947326598</c:v>
                </c:pt>
                <c:pt idx="1107">
                  <c:v>6.55478763580322</c:v>
                </c:pt>
                <c:pt idx="1108">
                  <c:v>1.7936822175979601</c:v>
                </c:pt>
                <c:pt idx="1109">
                  <c:v>22.3052978515625</c:v>
                </c:pt>
                <c:pt idx="1110">
                  <c:v>2.1191811561584402</c:v>
                </c:pt>
                <c:pt idx="1111">
                  <c:v>8.3970003128051705</c:v>
                </c:pt>
                <c:pt idx="1112">
                  <c:v>2.9109804630279501</c:v>
                </c:pt>
                <c:pt idx="1113">
                  <c:v>7.3594846725463796</c:v>
                </c:pt>
                <c:pt idx="1114">
                  <c:v>9.4098215103149396</c:v>
                </c:pt>
                <c:pt idx="1115">
                  <c:v>7.6417164802551198</c:v>
                </c:pt>
                <c:pt idx="1116">
                  <c:v>7.5438342094421298</c:v>
                </c:pt>
                <c:pt idx="1117">
                  <c:v>3.71398878097534</c:v>
                </c:pt>
                <c:pt idx="1118">
                  <c:v>3.7773790359496999</c:v>
                </c:pt>
                <c:pt idx="1119">
                  <c:v>0.32909476757049499</c:v>
                </c:pt>
                <c:pt idx="1120">
                  <c:v>3.5457592010497998</c:v>
                </c:pt>
                <c:pt idx="1121">
                  <c:v>3.0569391250610298</c:v>
                </c:pt>
                <c:pt idx="1122">
                  <c:v>4.5943279266357404</c:v>
                </c:pt>
                <c:pt idx="1123">
                  <c:v>10.6899662017822</c:v>
                </c:pt>
                <c:pt idx="1124">
                  <c:v>3.2503314018249498</c:v>
                </c:pt>
                <c:pt idx="1125">
                  <c:v>3.5950148105621298</c:v>
                </c:pt>
                <c:pt idx="1126">
                  <c:v>6.9723601341247496</c:v>
                </c:pt>
                <c:pt idx="1127">
                  <c:v>11.871995925903301</c:v>
                </c:pt>
                <c:pt idx="1128">
                  <c:v>9.4816417694091797</c:v>
                </c:pt>
                <c:pt idx="1129">
                  <c:v>22.6500740051269</c:v>
                </c:pt>
                <c:pt idx="1130">
                  <c:v>19.487564086913999</c:v>
                </c:pt>
                <c:pt idx="1131">
                  <c:v>7.7012643814086896</c:v>
                </c:pt>
                <c:pt idx="1132">
                  <c:v>11.215673446655201</c:v>
                </c:pt>
                <c:pt idx="1133">
                  <c:v>9.1912794113159109</c:v>
                </c:pt>
                <c:pt idx="1134">
                  <c:v>10.658861160278301</c:v>
                </c:pt>
                <c:pt idx="1135">
                  <c:v>2.9459154605865399</c:v>
                </c:pt>
                <c:pt idx="1136">
                  <c:v>4.7359881401062003</c:v>
                </c:pt>
                <c:pt idx="1137">
                  <c:v>30.2897624969482</c:v>
                </c:pt>
                <c:pt idx="1138">
                  <c:v>5.55165338516235</c:v>
                </c:pt>
                <c:pt idx="1139">
                  <c:v>1.3435423374176001</c:v>
                </c:pt>
                <c:pt idx="1140">
                  <c:v>9.8999576568603498</c:v>
                </c:pt>
                <c:pt idx="1141">
                  <c:v>7.1865000724792401</c:v>
                </c:pt>
                <c:pt idx="1142">
                  <c:v>10.4733381271362</c:v>
                </c:pt>
                <c:pt idx="1143">
                  <c:v>1.5190950632095299</c:v>
                </c:pt>
                <c:pt idx="1144">
                  <c:v>5.9420900344848597</c:v>
                </c:pt>
                <c:pt idx="1145">
                  <c:v>9.0006284713745099</c:v>
                </c:pt>
                <c:pt idx="1146">
                  <c:v>3.5653047561645499</c:v>
                </c:pt>
                <c:pt idx="1147">
                  <c:v>4.9038033485412598</c:v>
                </c:pt>
                <c:pt idx="1148">
                  <c:v>3.2485983371734601</c:v>
                </c:pt>
                <c:pt idx="1149">
                  <c:v>1.34760689735412</c:v>
                </c:pt>
                <c:pt idx="1150">
                  <c:v>1.72398817539215</c:v>
                </c:pt>
                <c:pt idx="1151">
                  <c:v>5.7563462257385201</c:v>
                </c:pt>
                <c:pt idx="1152">
                  <c:v>6.5841026306152299</c:v>
                </c:pt>
                <c:pt idx="1153">
                  <c:v>10.7402324676513</c:v>
                </c:pt>
                <c:pt idx="1154">
                  <c:v>5.3627595901489196</c:v>
                </c:pt>
                <c:pt idx="1155">
                  <c:v>2.1203854084014799</c:v>
                </c:pt>
                <c:pt idx="1156">
                  <c:v>0.62948077917098999</c:v>
                </c:pt>
                <c:pt idx="1157">
                  <c:v>5.4831461906433097</c:v>
                </c:pt>
                <c:pt idx="1158">
                  <c:v>5.4588592611253201E-3</c:v>
                </c:pt>
                <c:pt idx="1159">
                  <c:v>4.6420011520385698</c:v>
                </c:pt>
                <c:pt idx="1160">
                  <c:v>4.6575655937194798</c:v>
                </c:pt>
                <c:pt idx="1161">
                  <c:v>5.6265282630920401</c:v>
                </c:pt>
                <c:pt idx="1162">
                  <c:v>31.558122634887599</c:v>
                </c:pt>
                <c:pt idx="1163">
                  <c:v>1.92666816711425</c:v>
                </c:pt>
                <c:pt idx="1164">
                  <c:v>1.9512183666229199</c:v>
                </c:pt>
                <c:pt idx="1165">
                  <c:v>5.77406406402587</c:v>
                </c:pt>
                <c:pt idx="1166">
                  <c:v>7.5570344924926696</c:v>
                </c:pt>
                <c:pt idx="1167">
                  <c:v>5.8420982360839799</c:v>
                </c:pt>
                <c:pt idx="1168">
                  <c:v>0</c:v>
                </c:pt>
                <c:pt idx="1169">
                  <c:v>6.8861174583434996</c:v>
                </c:pt>
                <c:pt idx="1170">
                  <c:v>10.7734775543212</c:v>
                </c:pt>
                <c:pt idx="1171">
                  <c:v>7.61090040206909</c:v>
                </c:pt>
                <c:pt idx="1172">
                  <c:v>0.14334678649902299</c:v>
                </c:pt>
                <c:pt idx="1173">
                  <c:v>11.681541442871</c:v>
                </c:pt>
                <c:pt idx="1174">
                  <c:v>7.7578892707824698</c:v>
                </c:pt>
                <c:pt idx="1175">
                  <c:v>5.3220868110656703</c:v>
                </c:pt>
                <c:pt idx="1176">
                  <c:v>3.2608876228332502</c:v>
                </c:pt>
                <c:pt idx="1177">
                  <c:v>5.0039954185485804</c:v>
                </c:pt>
                <c:pt idx="1178">
                  <c:v>0.64557182788848799</c:v>
                </c:pt>
                <c:pt idx="1179">
                  <c:v>21.927562713623001</c:v>
                </c:pt>
                <c:pt idx="1180">
                  <c:v>3.28334140777587</c:v>
                </c:pt>
                <c:pt idx="1181">
                  <c:v>6.4531989097595197</c:v>
                </c:pt>
                <c:pt idx="1182">
                  <c:v>1.9614890813827499</c:v>
                </c:pt>
                <c:pt idx="1183">
                  <c:v>22.9892063140869</c:v>
                </c:pt>
                <c:pt idx="1184">
                  <c:v>2.1736772060394198</c:v>
                </c:pt>
                <c:pt idx="1185">
                  <c:v>7.7058959007263104</c:v>
                </c:pt>
                <c:pt idx="1186">
                  <c:v>2.6363096237182599</c:v>
                </c:pt>
                <c:pt idx="1187">
                  <c:v>7.5375380516052202</c:v>
                </c:pt>
                <c:pt idx="1188">
                  <c:v>9.3497085571288991</c:v>
                </c:pt>
                <c:pt idx="1189">
                  <c:v>8.1535348892211896</c:v>
                </c:pt>
                <c:pt idx="1190">
                  <c:v>6.6908707618713299</c:v>
                </c:pt>
                <c:pt idx="1191">
                  <c:v>3.5989742279052699</c:v>
                </c:pt>
                <c:pt idx="1192">
                  <c:v>3.3660287857055602</c:v>
                </c:pt>
                <c:pt idx="1193">
                  <c:v>0.41656854748725802</c:v>
                </c:pt>
                <c:pt idx="1194">
                  <c:v>3.7566330432891801</c:v>
                </c:pt>
                <c:pt idx="1195">
                  <c:v>2.97013187408447</c:v>
                </c:pt>
                <c:pt idx="1196">
                  <c:v>4.3570570945739702</c:v>
                </c:pt>
                <c:pt idx="1197">
                  <c:v>8.0851821899413991</c:v>
                </c:pt>
                <c:pt idx="1198">
                  <c:v>2.9424486160278298</c:v>
                </c:pt>
                <c:pt idx="1199">
                  <c:v>3.2296323776245099</c:v>
                </c:pt>
                <c:pt idx="1200">
                  <c:v>8.4153623580932599</c:v>
                </c:pt>
                <c:pt idx="1201">
                  <c:v>11.6501150131225</c:v>
                </c:pt>
                <c:pt idx="1202">
                  <c:v>8.9159374237060494</c:v>
                </c:pt>
                <c:pt idx="1203">
                  <c:v>19.070520401000898</c:v>
                </c:pt>
                <c:pt idx="1204">
                  <c:v>21.235597610473601</c:v>
                </c:pt>
                <c:pt idx="1205">
                  <c:v>7.9191174507141104</c:v>
                </c:pt>
                <c:pt idx="1206">
                  <c:v>11.045553207397401</c:v>
                </c:pt>
                <c:pt idx="1207">
                  <c:v>6.6535992622375399</c:v>
                </c:pt>
                <c:pt idx="1208">
                  <c:v>10.1483497619628</c:v>
                </c:pt>
                <c:pt idx="1209">
                  <c:v>3.3184032440185498</c:v>
                </c:pt>
                <c:pt idx="1210">
                  <c:v>2.9420475959777801</c:v>
                </c:pt>
                <c:pt idx="1211">
                  <c:v>4.5426673889160103</c:v>
                </c:pt>
                <c:pt idx="1212">
                  <c:v>33.564327239990199</c:v>
                </c:pt>
                <c:pt idx="1213">
                  <c:v>5.4101710319518999</c:v>
                </c:pt>
                <c:pt idx="1214">
                  <c:v>1.0580463409423799</c:v>
                </c:pt>
                <c:pt idx="1215">
                  <c:v>10.3716945648193</c:v>
                </c:pt>
                <c:pt idx="1216">
                  <c:v>7.0545849800109801</c:v>
                </c:pt>
                <c:pt idx="1217">
                  <c:v>10.5750007629394</c:v>
                </c:pt>
                <c:pt idx="1218">
                  <c:v>1.5270484685897801</c:v>
                </c:pt>
                <c:pt idx="1219">
                  <c:v>9.4849777221679599</c:v>
                </c:pt>
                <c:pt idx="1220">
                  <c:v>9.7365875244140607</c:v>
                </c:pt>
                <c:pt idx="1221">
                  <c:v>3.4529275894164999</c:v>
                </c:pt>
                <c:pt idx="1222">
                  <c:v>4.5135092735290501</c:v>
                </c:pt>
                <c:pt idx="1223">
                  <c:v>3.4009997844696001</c:v>
                </c:pt>
                <c:pt idx="1224">
                  <c:v>1.2075942754745399</c:v>
                </c:pt>
                <c:pt idx="1225">
                  <c:v>1.98736476898193</c:v>
                </c:pt>
                <c:pt idx="1226">
                  <c:v>5.1396379470825098</c:v>
                </c:pt>
                <c:pt idx="1227">
                  <c:v>5.2348566055297798</c:v>
                </c:pt>
                <c:pt idx="1228">
                  <c:v>10.4085388183593</c:v>
                </c:pt>
                <c:pt idx="1229">
                  <c:v>4.9714221954345703</c:v>
                </c:pt>
                <c:pt idx="1230">
                  <c:v>2.0741019248962398</c:v>
                </c:pt>
                <c:pt idx="1231">
                  <c:v>0.429636120796203</c:v>
                </c:pt>
                <c:pt idx="1232">
                  <c:v>6.5188903808593697</c:v>
                </c:pt>
                <c:pt idx="1233">
                  <c:v>1.7153999069705599E-3</c:v>
                </c:pt>
                <c:pt idx="1234">
                  <c:v>4.7408089637756303</c:v>
                </c:pt>
                <c:pt idx="1235">
                  <c:v>7.1593055725097603</c:v>
                </c:pt>
                <c:pt idx="1236">
                  <c:v>5.6732034683227504</c:v>
                </c:pt>
                <c:pt idx="1237">
                  <c:v>28.514184951782202</c:v>
                </c:pt>
                <c:pt idx="1238">
                  <c:v>1.6814674139022801</c:v>
                </c:pt>
                <c:pt idx="1239">
                  <c:v>1.8029307126998899</c:v>
                </c:pt>
                <c:pt idx="1240">
                  <c:v>5.7274084091186497</c:v>
                </c:pt>
                <c:pt idx="1241">
                  <c:v>7.4175496101379297</c:v>
                </c:pt>
                <c:pt idx="1242">
                  <c:v>7.3837342262268004</c:v>
                </c:pt>
                <c:pt idx="1243">
                  <c:v>0</c:v>
                </c:pt>
                <c:pt idx="1244">
                  <c:v>6.5943284034729004</c:v>
                </c:pt>
                <c:pt idx="1245">
                  <c:v>11.021409988403301</c:v>
                </c:pt>
                <c:pt idx="1246">
                  <c:v>7.1631746292114196</c:v>
                </c:pt>
                <c:pt idx="1247">
                  <c:v>0.17251008749008101</c:v>
                </c:pt>
                <c:pt idx="1248">
                  <c:v>10.987621307373001</c:v>
                </c:pt>
                <c:pt idx="1249">
                  <c:v>7.3742108345031703</c:v>
                </c:pt>
                <c:pt idx="1250">
                  <c:v>5.8571853637695304</c:v>
                </c:pt>
                <c:pt idx="1251">
                  <c:v>3.5309815406799299</c:v>
                </c:pt>
                <c:pt idx="1252">
                  <c:v>4.9282732009887598</c:v>
                </c:pt>
                <c:pt idx="1253">
                  <c:v>1.56823766231536</c:v>
                </c:pt>
                <c:pt idx="1254">
                  <c:v>22.689891815185501</c:v>
                </c:pt>
                <c:pt idx="1255">
                  <c:v>5.3355345726013104</c:v>
                </c:pt>
                <c:pt idx="1256">
                  <c:v>6.2753715515136701</c:v>
                </c:pt>
                <c:pt idx="1257">
                  <c:v>2.2705991268157901</c:v>
                </c:pt>
                <c:pt idx="1258">
                  <c:v>31.627891540527301</c:v>
                </c:pt>
                <c:pt idx="1259">
                  <c:v>2.5656225681304901</c:v>
                </c:pt>
                <c:pt idx="1260">
                  <c:v>7.0125012397766104</c:v>
                </c:pt>
                <c:pt idx="1261">
                  <c:v>3.0455827713012602</c:v>
                </c:pt>
                <c:pt idx="1262">
                  <c:v>8.7780036926269496</c:v>
                </c:pt>
                <c:pt idx="1263">
                  <c:v>9.3831291198730398</c:v>
                </c:pt>
                <c:pt idx="1264">
                  <c:v>8.3289670944213796</c:v>
                </c:pt>
                <c:pt idx="1265">
                  <c:v>7.7985343933105398</c:v>
                </c:pt>
                <c:pt idx="1266">
                  <c:v>3.0963609218597399</c:v>
                </c:pt>
                <c:pt idx="1267">
                  <c:v>3.6513402462005602</c:v>
                </c:pt>
                <c:pt idx="1268">
                  <c:v>0.34722220897674499</c:v>
                </c:pt>
                <c:pt idx="1269">
                  <c:v>3.9633486270904501</c:v>
                </c:pt>
                <c:pt idx="1270">
                  <c:v>2.7840516567230198</c:v>
                </c:pt>
                <c:pt idx="1271">
                  <c:v>4.0515756607055602</c:v>
                </c:pt>
                <c:pt idx="1272">
                  <c:v>11.7859077453613</c:v>
                </c:pt>
                <c:pt idx="1273">
                  <c:v>3.4143536090850799</c:v>
                </c:pt>
                <c:pt idx="1274">
                  <c:v>2.8002073764800999</c:v>
                </c:pt>
                <c:pt idx="1275">
                  <c:v>7.2325654029846103</c:v>
                </c:pt>
                <c:pt idx="1276">
                  <c:v>13.1468086242675</c:v>
                </c:pt>
                <c:pt idx="1277">
                  <c:v>8.0357847213745099</c:v>
                </c:pt>
                <c:pt idx="1278">
                  <c:v>20.139114379882798</c:v>
                </c:pt>
                <c:pt idx="1279">
                  <c:v>20.714889526367099</c:v>
                </c:pt>
                <c:pt idx="1280">
                  <c:v>9.3262567520141602</c:v>
                </c:pt>
                <c:pt idx="1281">
                  <c:v>9.6054391860961896</c:v>
                </c:pt>
                <c:pt idx="1282">
                  <c:v>5.80755519866943</c:v>
                </c:pt>
                <c:pt idx="1283">
                  <c:v>9.1969623565673793</c:v>
                </c:pt>
                <c:pt idx="1284">
                  <c:v>4.0739293098449698</c:v>
                </c:pt>
                <c:pt idx="1285">
                  <c:v>3.49353694915771</c:v>
                </c:pt>
                <c:pt idx="1286">
                  <c:v>4.2572221755981401</c:v>
                </c:pt>
                <c:pt idx="1287">
                  <c:v>39.001476287841797</c:v>
                </c:pt>
                <c:pt idx="1288">
                  <c:v>5.2289972305297798</c:v>
                </c:pt>
                <c:pt idx="1289">
                  <c:v>0.90552681684493996</c:v>
                </c:pt>
                <c:pt idx="1290">
                  <c:v>11.2800951004028</c:v>
                </c:pt>
                <c:pt idx="1291">
                  <c:v>6.4720368385314897</c:v>
                </c:pt>
                <c:pt idx="1292">
                  <c:v>9.9753770828246999</c:v>
                </c:pt>
                <c:pt idx="1293">
                  <c:v>2.5096459388732901</c:v>
                </c:pt>
                <c:pt idx="1294">
                  <c:v>13.1325006484985</c:v>
                </c:pt>
                <c:pt idx="1295">
                  <c:v>10.976314544677701</c:v>
                </c:pt>
                <c:pt idx="1296">
                  <c:v>3.1638221740722599</c:v>
                </c:pt>
                <c:pt idx="1297">
                  <c:v>4.5550622940063397</c:v>
                </c:pt>
                <c:pt idx="1298">
                  <c:v>4.01189756393432</c:v>
                </c:pt>
                <c:pt idx="1299">
                  <c:v>1.1436916589736901</c:v>
                </c:pt>
                <c:pt idx="1300">
                  <c:v>2.9313480854034402</c:v>
                </c:pt>
                <c:pt idx="1301">
                  <c:v>4.9515228271484304</c:v>
                </c:pt>
                <c:pt idx="1302">
                  <c:v>4.8255014419555602</c:v>
                </c:pt>
                <c:pt idx="1303">
                  <c:v>10.5195770263671</c:v>
                </c:pt>
                <c:pt idx="1304">
                  <c:v>4.8540310859680096</c:v>
                </c:pt>
                <c:pt idx="1305">
                  <c:v>2.66117119789123</c:v>
                </c:pt>
                <c:pt idx="1306">
                  <c:v>0.32971799373626698</c:v>
                </c:pt>
                <c:pt idx="1307">
                  <c:v>8.2029714584350497</c:v>
                </c:pt>
                <c:pt idx="1308">
                  <c:v>7.2999916076660103</c:v>
                </c:pt>
                <c:pt idx="1309">
                  <c:v>3.5589458420872602E-3</c:v>
                </c:pt>
                <c:pt idx="1310">
                  <c:v>4.2488336563110298</c:v>
                </c:pt>
                <c:pt idx="1311">
                  <c:v>7.3888726234436</c:v>
                </c:pt>
                <c:pt idx="1312">
                  <c:v>5.3307237625121999</c:v>
                </c:pt>
                <c:pt idx="1313">
                  <c:v>25.7857570648193</c:v>
                </c:pt>
                <c:pt idx="1314">
                  <c:v>1.57185077667236</c:v>
                </c:pt>
                <c:pt idx="1315">
                  <c:v>1.6885863542556701</c:v>
                </c:pt>
                <c:pt idx="1316">
                  <c:v>5.2747673988342196</c:v>
                </c:pt>
                <c:pt idx="1317">
                  <c:v>6.6216096878051696</c:v>
                </c:pt>
                <c:pt idx="1318">
                  <c:v>11.6820058822631</c:v>
                </c:pt>
                <c:pt idx="1319">
                  <c:v>0</c:v>
                </c:pt>
                <c:pt idx="1320">
                  <c:v>5.8372597694396902</c:v>
                </c:pt>
                <c:pt idx="1321">
                  <c:v>10.4727716445922</c:v>
                </c:pt>
                <c:pt idx="1322">
                  <c:v>7.1983966827392498</c:v>
                </c:pt>
                <c:pt idx="1323">
                  <c:v>0.17049717903137199</c:v>
                </c:pt>
                <c:pt idx="1324">
                  <c:v>10.261405944824199</c:v>
                </c:pt>
                <c:pt idx="1325">
                  <c:v>11.3900938034057</c:v>
                </c:pt>
                <c:pt idx="1326">
                  <c:v>7.5430212020873997</c:v>
                </c:pt>
                <c:pt idx="1327">
                  <c:v>3.6133160591125399</c:v>
                </c:pt>
                <c:pt idx="1328">
                  <c:v>4.5285911560058496</c:v>
                </c:pt>
                <c:pt idx="1329">
                  <c:v>3.7369470596313401</c:v>
                </c:pt>
                <c:pt idx="1330">
                  <c:v>20.2540168762207</c:v>
                </c:pt>
                <c:pt idx="1331">
                  <c:v>6.1901555061340297</c:v>
                </c:pt>
                <c:pt idx="1332">
                  <c:v>5.8669538497924796</c:v>
                </c:pt>
                <c:pt idx="1333">
                  <c:v>2.1901869773864702</c:v>
                </c:pt>
                <c:pt idx="1334">
                  <c:v>26.5285835266113</c:v>
                </c:pt>
                <c:pt idx="1335">
                  <c:v>2.6388306617736799</c:v>
                </c:pt>
                <c:pt idx="1336">
                  <c:v>6.3601737022399902</c:v>
                </c:pt>
                <c:pt idx="1337">
                  <c:v>3.4333963394164999</c:v>
                </c:pt>
                <c:pt idx="1338">
                  <c:v>10.609859466552701</c:v>
                </c:pt>
                <c:pt idx="1339">
                  <c:v>10.150818824768001</c:v>
                </c:pt>
                <c:pt idx="1340">
                  <c:v>7.6299228668212802</c:v>
                </c:pt>
                <c:pt idx="1341">
                  <c:v>7.1642556190490696</c:v>
                </c:pt>
                <c:pt idx="1342">
                  <c:v>2.7034199237823402</c:v>
                </c:pt>
                <c:pt idx="1343">
                  <c:v>3.3048515319824201</c:v>
                </c:pt>
                <c:pt idx="1344">
                  <c:v>0.3040591776371</c:v>
                </c:pt>
                <c:pt idx="1345">
                  <c:v>4.5705189704895002</c:v>
                </c:pt>
                <c:pt idx="1346">
                  <c:v>2.6491527557372998</c:v>
                </c:pt>
                <c:pt idx="1347">
                  <c:v>3.7907199859619101</c:v>
                </c:pt>
                <c:pt idx="1348">
                  <c:v>13.6046285629272</c:v>
                </c:pt>
                <c:pt idx="1349">
                  <c:v>3.7943041324615399</c:v>
                </c:pt>
                <c:pt idx="1350">
                  <c:v>2.3427889347076398</c:v>
                </c:pt>
                <c:pt idx="1351">
                  <c:v>7.0193152427673304</c:v>
                </c:pt>
                <c:pt idx="1352">
                  <c:v>12.527584075927701</c:v>
                </c:pt>
                <c:pt idx="1353">
                  <c:v>7.2623844146728498</c:v>
                </c:pt>
                <c:pt idx="1354">
                  <c:v>16.0109043121337</c:v>
                </c:pt>
                <c:pt idx="1355">
                  <c:v>20.386045455932599</c:v>
                </c:pt>
                <c:pt idx="1356">
                  <c:v>9.9066276550292898</c:v>
                </c:pt>
                <c:pt idx="1357">
                  <c:v>8.8485956192016602</c:v>
                </c:pt>
                <c:pt idx="1358">
                  <c:v>5.91949033737182</c:v>
                </c:pt>
                <c:pt idx="1359">
                  <c:v>8.8412370681762695</c:v>
                </c:pt>
                <c:pt idx="1360">
                  <c:v>6.8207817077636701</c:v>
                </c:pt>
                <c:pt idx="1361">
                  <c:v>3.9802262783050502</c:v>
                </c:pt>
                <c:pt idx="1362">
                  <c:v>3.6988120079040501</c:v>
                </c:pt>
                <c:pt idx="1363">
                  <c:v>36.054271697997997</c:v>
                </c:pt>
                <c:pt idx="1364">
                  <c:v>4.7277560234069798</c:v>
                </c:pt>
                <c:pt idx="1365">
                  <c:v>0.83952885866165095</c:v>
                </c:pt>
                <c:pt idx="1366">
                  <c:v>12.639650344848601</c:v>
                </c:pt>
                <c:pt idx="1367">
                  <c:v>5.9509639739990199</c:v>
                </c:pt>
                <c:pt idx="1368">
                  <c:v>11.035717964172299</c:v>
                </c:pt>
                <c:pt idx="1369">
                  <c:v>4.1192684173583896</c:v>
                </c:pt>
                <c:pt idx="1370">
                  <c:v>15.0392446517944</c:v>
                </c:pt>
                <c:pt idx="1371">
                  <c:v>10.8772382736206</c:v>
                </c:pt>
                <c:pt idx="1372">
                  <c:v>2.8605465888977002</c:v>
                </c:pt>
                <c:pt idx="1373">
                  <c:v>4.2702736854553196</c:v>
                </c:pt>
                <c:pt idx="1374">
                  <c:v>4.15808057785034</c:v>
                </c:pt>
                <c:pt idx="1375">
                  <c:v>0.93210840225219704</c:v>
                </c:pt>
                <c:pt idx="1376">
                  <c:v>3.64843678474426</c:v>
                </c:pt>
                <c:pt idx="1377">
                  <c:v>5.5377616882324201</c:v>
                </c:pt>
                <c:pt idx="1378">
                  <c:v>4.6134624481201101</c:v>
                </c:pt>
                <c:pt idx="1379">
                  <c:v>10.155503273010201</c:v>
                </c:pt>
                <c:pt idx="1380">
                  <c:v>4.6130280494689897</c:v>
                </c:pt>
                <c:pt idx="1381">
                  <c:v>2.5214540958404501</c:v>
                </c:pt>
                <c:pt idx="1382">
                  <c:v>0.71049612760543801</c:v>
                </c:pt>
                <c:pt idx="1383">
                  <c:v>9.0827903747558594</c:v>
                </c:pt>
                <c:pt idx="1384">
                  <c:v>7.36808109283447</c:v>
                </c:pt>
                <c:pt idx="1385">
                  <c:v>4.3803411535918704E-3</c:v>
                </c:pt>
                <c:pt idx="1386">
                  <c:v>4.1085243225097603</c:v>
                </c:pt>
                <c:pt idx="1387">
                  <c:v>7.2796125411987296</c:v>
                </c:pt>
                <c:pt idx="1388">
                  <c:v>4.8008918762206996</c:v>
                </c:pt>
                <c:pt idx="1389">
                  <c:v>30.4440193176269</c:v>
                </c:pt>
                <c:pt idx="1390">
                  <c:v>1.4635078907012899</c:v>
                </c:pt>
                <c:pt idx="1391">
                  <c:v>1.4578565359115601</c:v>
                </c:pt>
                <c:pt idx="1392">
                  <c:v>4.38018369674682</c:v>
                </c:pt>
                <c:pt idx="1393">
                  <c:v>6.20122861862182</c:v>
                </c:pt>
                <c:pt idx="1394">
                  <c:v>12.1839332580566</c:v>
                </c:pt>
                <c:pt idx="1395">
                  <c:v>0</c:v>
                </c:pt>
                <c:pt idx="1396">
                  <c:v>6.30364513397216</c:v>
                </c:pt>
                <c:pt idx="1397">
                  <c:v>10.7433624267578</c:v>
                </c:pt>
                <c:pt idx="1398">
                  <c:v>6.9771661758422798</c:v>
                </c:pt>
                <c:pt idx="1399">
                  <c:v>0.15215472877025599</c:v>
                </c:pt>
                <c:pt idx="1400">
                  <c:v>8.5837736129760707</c:v>
                </c:pt>
                <c:pt idx="1401">
                  <c:v>9.4198141098022408</c:v>
                </c:pt>
                <c:pt idx="1402">
                  <c:v>9.6972236633300692</c:v>
                </c:pt>
                <c:pt idx="1403">
                  <c:v>3.56481409072875</c:v>
                </c:pt>
                <c:pt idx="1404">
                  <c:v>4.0963811874389604</c:v>
                </c:pt>
                <c:pt idx="1405">
                  <c:v>2.5181083679199201</c:v>
                </c:pt>
                <c:pt idx="1406">
                  <c:v>6.0513629913329998</c:v>
                </c:pt>
                <c:pt idx="1407">
                  <c:v>5.2442197799682599</c:v>
                </c:pt>
                <c:pt idx="1408">
                  <c:v>1.93998658657073</c:v>
                </c:pt>
                <c:pt idx="1409">
                  <c:v>24.030744552612301</c:v>
                </c:pt>
                <c:pt idx="1410">
                  <c:v>2.4254109859466499</c:v>
                </c:pt>
                <c:pt idx="1411">
                  <c:v>5.8716773986816397</c:v>
                </c:pt>
                <c:pt idx="1412">
                  <c:v>3.5252499580383301</c:v>
                </c:pt>
                <c:pt idx="1413">
                  <c:v>10.6312808990478</c:v>
                </c:pt>
                <c:pt idx="1414">
                  <c:v>10.1179542541503</c:v>
                </c:pt>
                <c:pt idx="1415">
                  <c:v>6.80694150924682</c:v>
                </c:pt>
                <c:pt idx="1416">
                  <c:v>6.92180967330932</c:v>
                </c:pt>
                <c:pt idx="1417">
                  <c:v>2.2643415927886901</c:v>
                </c:pt>
                <c:pt idx="1418">
                  <c:v>1.9826797246932899</c:v>
                </c:pt>
                <c:pt idx="1419">
                  <c:v>0.231417641043663</c:v>
                </c:pt>
                <c:pt idx="1420">
                  <c:v>4.2061128616332999</c:v>
                </c:pt>
                <c:pt idx="1421">
                  <c:v>2.5127677917480402</c:v>
                </c:pt>
                <c:pt idx="1422">
                  <c:v>3.57683801651</c:v>
                </c:pt>
                <c:pt idx="1423">
                  <c:v>16.124778747558501</c:v>
                </c:pt>
                <c:pt idx="1424">
                  <c:v>4.2918376922607404</c:v>
                </c:pt>
                <c:pt idx="1425">
                  <c:v>1.9725108146667401</c:v>
                </c:pt>
                <c:pt idx="1426">
                  <c:v>6.9503531455993599</c:v>
                </c:pt>
                <c:pt idx="1427">
                  <c:v>12.2927293777465</c:v>
                </c:pt>
                <c:pt idx="1428">
                  <c:v>6.5115981101989702</c:v>
                </c:pt>
                <c:pt idx="1429">
                  <c:v>17.056880950927699</c:v>
                </c:pt>
                <c:pt idx="1430">
                  <c:v>19.8334026336669</c:v>
                </c:pt>
                <c:pt idx="1431">
                  <c:v>11.1405315399169</c:v>
                </c:pt>
                <c:pt idx="1432">
                  <c:v>8.1050195693969709</c:v>
                </c:pt>
                <c:pt idx="1433">
                  <c:v>5.92919921875</c:v>
                </c:pt>
                <c:pt idx="1434">
                  <c:v>8.5787305831909109</c:v>
                </c:pt>
                <c:pt idx="1435">
                  <c:v>3.9689977169036799</c:v>
                </c:pt>
                <c:pt idx="1436">
                  <c:v>3.3365850448608398</c:v>
                </c:pt>
                <c:pt idx="1437">
                  <c:v>3.2503745555877601</c:v>
                </c:pt>
                <c:pt idx="1438">
                  <c:v>36.209373474121001</c:v>
                </c:pt>
                <c:pt idx="1439">
                  <c:v>4.22501420974731</c:v>
                </c:pt>
                <c:pt idx="1440">
                  <c:v>0.83257460594177202</c:v>
                </c:pt>
                <c:pt idx="1441">
                  <c:v>12.8297004699707</c:v>
                </c:pt>
                <c:pt idx="1442">
                  <c:v>5.3198099136352504</c:v>
                </c:pt>
                <c:pt idx="1443">
                  <c:v>13.3363752365112</c:v>
                </c:pt>
                <c:pt idx="1444">
                  <c:v>4.0233182907104403</c:v>
                </c:pt>
                <c:pt idx="1445">
                  <c:v>17.419366836547798</c:v>
                </c:pt>
                <c:pt idx="1446">
                  <c:v>10.3921146392822</c:v>
                </c:pt>
                <c:pt idx="1447">
                  <c:v>2.56952476501464</c:v>
                </c:pt>
                <c:pt idx="1448">
                  <c:v>4.0653338432312003</c:v>
                </c:pt>
                <c:pt idx="1449">
                  <c:v>4.8471722602844203</c:v>
                </c:pt>
                <c:pt idx="1450">
                  <c:v>0.79137516021728505</c:v>
                </c:pt>
                <c:pt idx="1451">
                  <c:v>4.0265784263610804</c:v>
                </c:pt>
                <c:pt idx="1452">
                  <c:v>5.6438751220703098</c:v>
                </c:pt>
                <c:pt idx="1453">
                  <c:v>4.3054141998290998</c:v>
                </c:pt>
                <c:pt idx="1454">
                  <c:v>9.1774749755859304</c:v>
                </c:pt>
                <c:pt idx="1455">
                  <c:v>4.2190990447998002</c:v>
                </c:pt>
                <c:pt idx="1456">
                  <c:v>2.5061683654785099</c:v>
                </c:pt>
                <c:pt idx="1457">
                  <c:v>1.2504749298095701</c:v>
                </c:pt>
                <c:pt idx="1458">
                  <c:v>9.6958541870117099</c:v>
                </c:pt>
                <c:pt idx="1459">
                  <c:v>6.6926498413085902</c:v>
                </c:pt>
                <c:pt idx="1460">
                  <c:v>1.0323113529011601E-3</c:v>
                </c:pt>
                <c:pt idx="1461">
                  <c:v>3.6545994281768799</c:v>
                </c:pt>
                <c:pt idx="1462">
                  <c:v>6.3755617141723597</c:v>
                </c:pt>
                <c:pt idx="1463">
                  <c:v>4.4133419990539497</c:v>
                </c:pt>
                <c:pt idx="1464">
                  <c:v>6.9656271934509197</c:v>
                </c:pt>
                <c:pt idx="1465">
                  <c:v>33.348354339599602</c:v>
                </c:pt>
                <c:pt idx="1466">
                  <c:v>1.29166960716247</c:v>
                </c:pt>
                <c:pt idx="1467">
                  <c:v>1.2296940088271999</c:v>
                </c:pt>
                <c:pt idx="1468">
                  <c:v>5.0043416023254297</c:v>
                </c:pt>
                <c:pt idx="1469">
                  <c:v>6.4255557060241699</c:v>
                </c:pt>
                <c:pt idx="1470">
                  <c:v>11.1271209716796</c:v>
                </c:pt>
                <c:pt idx="1471">
                  <c:v>0</c:v>
                </c:pt>
                <c:pt idx="1472">
                  <c:v>7.10231113433837</c:v>
                </c:pt>
                <c:pt idx="1473">
                  <c:v>10.933895111083901</c:v>
                </c:pt>
                <c:pt idx="1474">
                  <c:v>7.8915171623229901</c:v>
                </c:pt>
                <c:pt idx="1475">
                  <c:v>0.238067671656608</c:v>
                </c:pt>
                <c:pt idx="1476">
                  <c:v>9.5882263183593697</c:v>
                </c:pt>
                <c:pt idx="1477">
                  <c:v>12.8697462081909</c:v>
                </c:pt>
                <c:pt idx="1478">
                  <c:v>10.4650764465332</c:v>
                </c:pt>
                <c:pt idx="1479">
                  <c:v>3.6776242256164502</c:v>
                </c:pt>
                <c:pt idx="1480">
                  <c:v>3.6533739566802899</c:v>
                </c:pt>
                <c:pt idx="1481">
                  <c:v>4.4885220527648899</c:v>
                </c:pt>
                <c:pt idx="1482">
                  <c:v>6.2283339500427202</c:v>
                </c:pt>
                <c:pt idx="1483">
                  <c:v>4.7164287567138601</c:v>
                </c:pt>
                <c:pt idx="1484">
                  <c:v>1.9195572137832599</c:v>
                </c:pt>
                <c:pt idx="1485">
                  <c:v>24.0863132476806</c:v>
                </c:pt>
                <c:pt idx="1486">
                  <c:v>1.9492943286895701</c:v>
                </c:pt>
                <c:pt idx="1487">
                  <c:v>6.2892570495605398</c:v>
                </c:pt>
                <c:pt idx="1488">
                  <c:v>4.0410861968994096</c:v>
                </c:pt>
                <c:pt idx="1489">
                  <c:v>10.0286664962768</c:v>
                </c:pt>
                <c:pt idx="1490">
                  <c:v>11.914614677429199</c:v>
                </c:pt>
                <c:pt idx="1491">
                  <c:v>5.8943395614623997</c:v>
                </c:pt>
                <c:pt idx="1492">
                  <c:v>5.9650917053222603</c:v>
                </c:pt>
                <c:pt idx="1493">
                  <c:v>2.2286498546600302</c:v>
                </c:pt>
                <c:pt idx="1494">
                  <c:v>2.0307476520538299</c:v>
                </c:pt>
                <c:pt idx="1495">
                  <c:v>0.17364126443862901</c:v>
                </c:pt>
                <c:pt idx="1496">
                  <c:v>4.6612401008605904</c:v>
                </c:pt>
                <c:pt idx="1497">
                  <c:v>2.2679088115692099</c:v>
                </c:pt>
                <c:pt idx="1498">
                  <c:v>3.5837304592132502</c:v>
                </c:pt>
                <c:pt idx="1499">
                  <c:v>17.536026000976499</c:v>
                </c:pt>
                <c:pt idx="1500">
                  <c:v>4.80133056640625</c:v>
                </c:pt>
                <c:pt idx="1501">
                  <c:v>1.8103833198547301</c:v>
                </c:pt>
                <c:pt idx="1502">
                  <c:v>7.3841037750244096</c:v>
                </c:pt>
                <c:pt idx="1503">
                  <c:v>12.324608802795399</c:v>
                </c:pt>
                <c:pt idx="1504">
                  <c:v>6.0963792800903303</c:v>
                </c:pt>
                <c:pt idx="1505">
                  <c:v>14.9193525314331</c:v>
                </c:pt>
                <c:pt idx="1506">
                  <c:v>19.396509170532202</c:v>
                </c:pt>
                <c:pt idx="1507">
                  <c:v>11.730460166931101</c:v>
                </c:pt>
                <c:pt idx="1508">
                  <c:v>6.9188113212585396</c:v>
                </c:pt>
                <c:pt idx="1509">
                  <c:v>6.4544920921325604</c:v>
                </c:pt>
                <c:pt idx="1510">
                  <c:v>8.4238204956054599</c:v>
                </c:pt>
                <c:pt idx="1511">
                  <c:v>6.4381299018859801</c:v>
                </c:pt>
                <c:pt idx="1512">
                  <c:v>4.0151095390319798</c:v>
                </c:pt>
                <c:pt idx="1513">
                  <c:v>2.56771636009216</c:v>
                </c:pt>
                <c:pt idx="1514">
                  <c:v>33.580390930175703</c:v>
                </c:pt>
                <c:pt idx="1515">
                  <c:v>3.3482360839843701</c:v>
                </c:pt>
                <c:pt idx="1516">
                  <c:v>0.76513671875</c:v>
                </c:pt>
                <c:pt idx="1517">
                  <c:v>13.2517833709716</c:v>
                </c:pt>
                <c:pt idx="1518">
                  <c:v>4.4836864471435502</c:v>
                </c:pt>
                <c:pt idx="1519">
                  <c:v>13.3810873031616</c:v>
                </c:pt>
                <c:pt idx="1520">
                  <c:v>2.8647360801696702</c:v>
                </c:pt>
                <c:pt idx="1521">
                  <c:v>14.3761491775512</c:v>
                </c:pt>
                <c:pt idx="1522">
                  <c:v>9.9858207702636701</c:v>
                </c:pt>
                <c:pt idx="1523">
                  <c:v>2.2613401412963801</c:v>
                </c:pt>
                <c:pt idx="1524">
                  <c:v>3.8514113426208398</c:v>
                </c:pt>
                <c:pt idx="1525">
                  <c:v>4.1803231239318803</c:v>
                </c:pt>
                <c:pt idx="1526">
                  <c:v>0.95677644014358498</c:v>
                </c:pt>
                <c:pt idx="1527">
                  <c:v>4.1660456657409597</c:v>
                </c:pt>
                <c:pt idx="1528">
                  <c:v>6.32905721664428</c:v>
                </c:pt>
                <c:pt idx="1529">
                  <c:v>4.0376076698303196</c:v>
                </c:pt>
                <c:pt idx="1530">
                  <c:v>8.6377363204956001</c:v>
                </c:pt>
                <c:pt idx="1531">
                  <c:v>3.8100514411926198</c:v>
                </c:pt>
                <c:pt idx="1532">
                  <c:v>2.6911654472350999</c:v>
                </c:pt>
                <c:pt idx="1533">
                  <c:v>1.68378698825836</c:v>
                </c:pt>
                <c:pt idx="1534">
                  <c:v>11.0466909408569</c:v>
                </c:pt>
                <c:pt idx="1535">
                  <c:v>5.8190279006957999</c:v>
                </c:pt>
                <c:pt idx="1536">
                  <c:v>7.9131568782031504E-4</c:v>
                </c:pt>
                <c:pt idx="1537">
                  <c:v>3.4035472869872998</c:v>
                </c:pt>
                <c:pt idx="1538">
                  <c:v>5.2650837898254297</c:v>
                </c:pt>
                <c:pt idx="1539">
                  <c:v>4.0635752677917401</c:v>
                </c:pt>
                <c:pt idx="1540">
                  <c:v>6.7133288383483798</c:v>
                </c:pt>
                <c:pt idx="1541">
                  <c:v>36.317317962646399</c:v>
                </c:pt>
                <c:pt idx="1542">
                  <c:v>1.28599309921264</c:v>
                </c:pt>
                <c:pt idx="1543">
                  <c:v>1.0038540363311701</c:v>
                </c:pt>
                <c:pt idx="1544">
                  <c:v>5.4476661682128897</c:v>
                </c:pt>
                <c:pt idx="1545">
                  <c:v>8.2974348068237305</c:v>
                </c:pt>
                <c:pt idx="1546">
                  <c:v>9.7773904800415004</c:v>
                </c:pt>
                <c:pt idx="1547">
                  <c:v>0</c:v>
                </c:pt>
                <c:pt idx="1548">
                  <c:v>6.5434145927429199</c:v>
                </c:pt>
                <c:pt idx="1549">
                  <c:v>11.758435249328601</c:v>
                </c:pt>
                <c:pt idx="1550">
                  <c:v>8.0924949645996094</c:v>
                </c:pt>
                <c:pt idx="1551">
                  <c:v>0.37249425053596402</c:v>
                </c:pt>
                <c:pt idx="1552">
                  <c:v>8.9481258392333896</c:v>
                </c:pt>
                <c:pt idx="1553">
                  <c:v>15.796801567077599</c:v>
                </c:pt>
                <c:pt idx="1554">
                  <c:v>11.0662126541137</c:v>
                </c:pt>
                <c:pt idx="1555">
                  <c:v>3.5246939659118599</c:v>
                </c:pt>
                <c:pt idx="1556">
                  <c:v>3.2617807388305602</c:v>
                </c:pt>
                <c:pt idx="1557">
                  <c:v>3.19188261032104</c:v>
                </c:pt>
                <c:pt idx="1558">
                  <c:v>5.6161341667175204</c:v>
                </c:pt>
                <c:pt idx="1559">
                  <c:v>4.3669810295104901</c:v>
                </c:pt>
                <c:pt idx="1560">
                  <c:v>1.8091142177581701</c:v>
                </c:pt>
                <c:pt idx="1561">
                  <c:v>19.888042449951101</c:v>
                </c:pt>
                <c:pt idx="1562">
                  <c:v>1.58881735801696</c:v>
                </c:pt>
                <c:pt idx="1563">
                  <c:v>6.1695885658264098</c:v>
                </c:pt>
                <c:pt idx="1564">
                  <c:v>3.8646397590637198</c:v>
                </c:pt>
                <c:pt idx="1565">
                  <c:v>10.424352645874</c:v>
                </c:pt>
                <c:pt idx="1566">
                  <c:v>13.877902030944799</c:v>
                </c:pt>
                <c:pt idx="1567">
                  <c:v>5.6762495040893501</c:v>
                </c:pt>
                <c:pt idx="1568">
                  <c:v>5.9011573791503897</c:v>
                </c:pt>
                <c:pt idx="1569">
                  <c:v>2.0895040035247798</c:v>
                </c:pt>
                <c:pt idx="1570">
                  <c:v>1.91728603839874</c:v>
                </c:pt>
                <c:pt idx="1571">
                  <c:v>0.14492608606815299</c:v>
                </c:pt>
                <c:pt idx="1572">
                  <c:v>5.1383242607116699</c:v>
                </c:pt>
                <c:pt idx="1573">
                  <c:v>2.0932872295379599</c:v>
                </c:pt>
                <c:pt idx="1574">
                  <c:v>3.0560622215270898</c:v>
                </c:pt>
                <c:pt idx="1575">
                  <c:v>16.7974033355712</c:v>
                </c:pt>
                <c:pt idx="1576">
                  <c:v>5.0103178024291903</c:v>
                </c:pt>
                <c:pt idx="1577">
                  <c:v>1.5272458791732699</c:v>
                </c:pt>
                <c:pt idx="1578">
                  <c:v>6.7242407798767001</c:v>
                </c:pt>
                <c:pt idx="1579">
                  <c:v>12.9362840652465</c:v>
                </c:pt>
                <c:pt idx="1580">
                  <c:v>5.8928799629211399</c:v>
                </c:pt>
                <c:pt idx="1581">
                  <c:v>12.8861856460571</c:v>
                </c:pt>
                <c:pt idx="1582">
                  <c:v>11.989104270935</c:v>
                </c:pt>
                <c:pt idx="1583">
                  <c:v>5.63494873046875</c:v>
                </c:pt>
                <c:pt idx="1584">
                  <c:v>5.93933010101318</c:v>
                </c:pt>
                <c:pt idx="1585">
                  <c:v>7.8162055015563903</c:v>
                </c:pt>
                <c:pt idx="1586">
                  <c:v>6.0633397102355904</c:v>
                </c:pt>
                <c:pt idx="1587">
                  <c:v>3.71670293807983</c:v>
                </c:pt>
                <c:pt idx="1588">
                  <c:v>2.31406497955322</c:v>
                </c:pt>
                <c:pt idx="1589">
                  <c:v>34.467201232910099</c:v>
                </c:pt>
                <c:pt idx="1590">
                  <c:v>3.0777332782745299</c:v>
                </c:pt>
                <c:pt idx="1591">
                  <c:v>0.75875198841094904</c:v>
                </c:pt>
                <c:pt idx="1592">
                  <c:v>12.5423154830932</c:v>
                </c:pt>
                <c:pt idx="1593">
                  <c:v>3.9880075454711901</c:v>
                </c:pt>
                <c:pt idx="1594">
                  <c:v>13.2010946273803</c:v>
                </c:pt>
                <c:pt idx="1595">
                  <c:v>2.7773904800414999</c:v>
                </c:pt>
                <c:pt idx="1596">
                  <c:v>10.1645402908325</c:v>
                </c:pt>
                <c:pt idx="1597">
                  <c:v>1.99909031391143</c:v>
                </c:pt>
                <c:pt idx="1598">
                  <c:v>3.6002795696258501</c:v>
                </c:pt>
                <c:pt idx="1599">
                  <c:v>3.93978548049926</c:v>
                </c:pt>
                <c:pt idx="1600">
                  <c:v>0.90443998575210505</c:v>
                </c:pt>
                <c:pt idx="1601">
                  <c:v>4.9070696830749503</c:v>
                </c:pt>
                <c:pt idx="1602">
                  <c:v>6.28370904922485</c:v>
                </c:pt>
                <c:pt idx="1603">
                  <c:v>3.73593878746032</c:v>
                </c:pt>
                <c:pt idx="1604">
                  <c:v>7.7697525024414</c:v>
                </c:pt>
                <c:pt idx="1605">
                  <c:v>3.82689332962036</c:v>
                </c:pt>
                <c:pt idx="1606">
                  <c:v>2.9180114269256499</c:v>
                </c:pt>
                <c:pt idx="1607">
                  <c:v>2.3735601902007999</c:v>
                </c:pt>
                <c:pt idx="1608">
                  <c:v>5.3445577621459899</c:v>
                </c:pt>
                <c:pt idx="1609">
                  <c:v>0.61671161651611295</c:v>
                </c:pt>
                <c:pt idx="1610">
                  <c:v>3.04915070533752</c:v>
                </c:pt>
                <c:pt idx="1611">
                  <c:v>4.5034155845642001</c:v>
                </c:pt>
                <c:pt idx="1612">
                  <c:v>3.7622923851013099</c:v>
                </c:pt>
                <c:pt idx="1613">
                  <c:v>6.2210421562194798</c:v>
                </c:pt>
                <c:pt idx="1614">
                  <c:v>35.552585601806598</c:v>
                </c:pt>
                <c:pt idx="1615">
                  <c:v>1.0011410713195801</c:v>
                </c:pt>
                <c:pt idx="1616">
                  <c:v>0.90342646837234497</c:v>
                </c:pt>
                <c:pt idx="1617">
                  <c:v>5.5698828697204501</c:v>
                </c:pt>
                <c:pt idx="1618">
                  <c:v>6.8746657371520996</c:v>
                </c:pt>
                <c:pt idx="1619">
                  <c:v>9.1221075057983398</c:v>
                </c:pt>
                <c:pt idx="1620">
                  <c:v>2.62246071361005E-3</c:v>
                </c:pt>
                <c:pt idx="1621">
                  <c:v>5.7217106819152797</c:v>
                </c:pt>
                <c:pt idx="1622">
                  <c:v>11.976181983947701</c:v>
                </c:pt>
                <c:pt idx="1623">
                  <c:v>7.4174485206604004</c:v>
                </c:pt>
                <c:pt idx="1624">
                  <c:v>1.166437625885</c:v>
                </c:pt>
                <c:pt idx="1625">
                  <c:v>5.3090362548828098</c:v>
                </c:pt>
                <c:pt idx="1626">
                  <c:v>9.01942539215087</c:v>
                </c:pt>
                <c:pt idx="1627">
                  <c:v>8.0504455566406197</c:v>
                </c:pt>
              </c:numCache>
            </c:numRef>
          </c:yVal>
          <c:smooth val="0"/>
          <c:extLst xmlns:c16r2="http://schemas.microsoft.com/office/drawing/2015/06/chart">
            <c:ext xmlns:c16="http://schemas.microsoft.com/office/drawing/2014/chart" uri="{C3380CC4-5D6E-409C-BE32-E72D297353CC}">
              <c16:uniqueId val="{00000001-1733-1249-8B21-BEB35A1E97F4}"/>
            </c:ext>
          </c:extLst>
        </c:ser>
        <c:dLbls>
          <c:showLegendKey val="0"/>
          <c:showVal val="0"/>
          <c:showCatName val="0"/>
          <c:showSerName val="0"/>
          <c:showPercent val="0"/>
          <c:showBubbleSize val="0"/>
        </c:dLbls>
        <c:axId val="273727872"/>
        <c:axId val="273729408"/>
      </c:scatterChart>
      <c:valAx>
        <c:axId val="273727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729408"/>
        <c:crosses val="autoZero"/>
        <c:crossBetween val="midCat"/>
      </c:valAx>
      <c:valAx>
        <c:axId val="27372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7278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Гос.инвестиции</a:t>
            </a:r>
            <a:r>
              <a:rPr lang="ru-RU" sz="1200" baseline="0">
                <a:solidFill>
                  <a:sysClr val="windowText" lastClr="000000"/>
                </a:solidFill>
                <a:latin typeface="Times New Roman" panose="02020603050405020304" pitchFamily="18" charset="0"/>
                <a:cs typeface="Times New Roman" panose="02020603050405020304" pitchFamily="18" charset="0"/>
              </a:rPr>
              <a:t> и расходы на обслуживание долга,</a:t>
            </a:r>
            <a:br>
              <a:rPr lang="ru-RU" sz="1200" baseline="0">
                <a:solidFill>
                  <a:sysClr val="windowText" lastClr="000000"/>
                </a:solidFill>
                <a:latin typeface="Times New Roman" panose="02020603050405020304" pitchFamily="18" charset="0"/>
                <a:cs typeface="Times New Roman" panose="02020603050405020304" pitchFamily="18" charset="0"/>
              </a:rPr>
            </a:br>
            <a:r>
              <a:rPr lang="ru-RU" sz="1200" baseline="0">
                <a:solidFill>
                  <a:sysClr val="windowText" lastClr="000000"/>
                </a:solidFill>
                <a:latin typeface="Times New Roman" panose="02020603050405020304" pitchFamily="18" charset="0"/>
                <a:cs typeface="Times New Roman" panose="02020603050405020304" pitchFamily="18" charset="0"/>
              </a:rPr>
              <a:t> 33 страны, 1995-2020 гг.</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5.4987689511969987E-2"/>
          <c:y val="0.16944444444444445"/>
          <c:w val="0.90931604987779835"/>
          <c:h val="0.72315616797900262"/>
        </c:manualLayout>
      </c:layout>
      <c:scatterChart>
        <c:scatterStyle val="lineMarker"/>
        <c:varyColors val="0"/>
        <c:ser>
          <c:idx val="0"/>
          <c:order val="0"/>
          <c:tx>
            <c:strRef>
              <c:f>data!$I$1</c:f>
              <c:strCache>
                <c:ptCount val="1"/>
                <c:pt idx="0">
                  <c:v>OECD_GCF_to_total</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data!$H$2:$H$2545</c:f>
              <c:numCache>
                <c:formatCode>General</c:formatCode>
                <c:ptCount val="2544"/>
                <c:pt idx="5">
                  <c:v>6.5747938286706402</c:v>
                </c:pt>
                <c:pt idx="11">
                  <c:v>0.570421419840074</c:v>
                </c:pt>
                <c:pt idx="12">
                  <c:v>2.9510034829509402</c:v>
                </c:pt>
                <c:pt idx="14">
                  <c:v>3.4434026828599702</c:v>
                </c:pt>
                <c:pt idx="20">
                  <c:v>2.4822260357930901</c:v>
                </c:pt>
                <c:pt idx="37">
                  <c:v>5.7817123282200198</c:v>
                </c:pt>
                <c:pt idx="43">
                  <c:v>0.59334706279900196</c:v>
                </c:pt>
                <c:pt idx="44">
                  <c:v>2.5039853913228098</c:v>
                </c:pt>
                <c:pt idx="45">
                  <c:v>2.3939114676430799</c:v>
                </c:pt>
                <c:pt idx="47">
                  <c:v>3.2055556444629398</c:v>
                </c:pt>
                <c:pt idx="53">
                  <c:v>2.8846456345506799</c:v>
                </c:pt>
                <c:pt idx="71">
                  <c:v>5.5120462285722702</c:v>
                </c:pt>
                <c:pt idx="78">
                  <c:v>0.65954799532024699</c:v>
                </c:pt>
                <c:pt idx="79">
                  <c:v>2.2669695909674701</c:v>
                </c:pt>
                <c:pt idx="80">
                  <c:v>2.2391513387600201</c:v>
                </c:pt>
                <c:pt idx="82">
                  <c:v>3.08877708448304</c:v>
                </c:pt>
                <c:pt idx="89">
                  <c:v>2.8774471985529799</c:v>
                </c:pt>
                <c:pt idx="107">
                  <c:v>5.2402123879908498</c:v>
                </c:pt>
                <c:pt idx="114">
                  <c:v>0.88150147307743099</c:v>
                </c:pt>
                <c:pt idx="115">
                  <c:v>2.16613550213849</c:v>
                </c:pt>
                <c:pt idx="116">
                  <c:v>1.67833521264242</c:v>
                </c:pt>
                <c:pt idx="117">
                  <c:v>2.9020203815010599</c:v>
                </c:pt>
                <c:pt idx="125">
                  <c:v>2.85473054898454</c:v>
                </c:pt>
                <c:pt idx="143">
                  <c:v>4.93606710092787</c:v>
                </c:pt>
                <c:pt idx="150">
                  <c:v>1.2175478741353101</c:v>
                </c:pt>
                <c:pt idx="151">
                  <c:v>1.9486411140873201</c:v>
                </c:pt>
                <c:pt idx="152">
                  <c:v>1.38753639772856</c:v>
                </c:pt>
                <c:pt idx="153">
                  <c:v>3.1713961343321602</c:v>
                </c:pt>
                <c:pt idx="161">
                  <c:v>2.9676098237322899</c:v>
                </c:pt>
                <c:pt idx="165">
                  <c:v>4.2386277014508602</c:v>
                </c:pt>
                <c:pt idx="179">
                  <c:v>5.5689857010778798</c:v>
                </c:pt>
                <c:pt idx="186">
                  <c:v>1.30747532327011</c:v>
                </c:pt>
                <c:pt idx="187">
                  <c:v>2.9185507076164199</c:v>
                </c:pt>
                <c:pt idx="188">
                  <c:v>1.1442701053855799</c:v>
                </c:pt>
                <c:pt idx="190">
                  <c:v>4.3254430847617096</c:v>
                </c:pt>
                <c:pt idx="197">
                  <c:v>2.6325759868301599</c:v>
                </c:pt>
                <c:pt idx="198">
                  <c:v>6.9376024104631497</c:v>
                </c:pt>
                <c:pt idx="201">
                  <c:v>3.8340644652171099</c:v>
                </c:pt>
                <c:pt idx="215">
                  <c:v>5.5909835101715899</c:v>
                </c:pt>
                <c:pt idx="222">
                  <c:v>1.4900862037515701</c:v>
                </c:pt>
                <c:pt idx="223">
                  <c:v>4.5708418199875398</c:v>
                </c:pt>
                <c:pt idx="224">
                  <c:v>1.5114739746802499</c:v>
                </c:pt>
                <c:pt idx="226">
                  <c:v>4.4074352974100499</c:v>
                </c:pt>
                <c:pt idx="234">
                  <c:v>3.0015951800250198</c:v>
                </c:pt>
                <c:pt idx="235">
                  <c:v>7.5653065536695703</c:v>
                </c:pt>
                <c:pt idx="238">
                  <c:v>2.9926694701921699</c:v>
                </c:pt>
                <c:pt idx="252">
                  <c:v>5.9156325673535202</c:v>
                </c:pt>
                <c:pt idx="259">
                  <c:v>1.75180402324503</c:v>
                </c:pt>
                <c:pt idx="260">
                  <c:v>4.5511638051092902</c:v>
                </c:pt>
                <c:pt idx="261">
                  <c:v>3.4083796534167901</c:v>
                </c:pt>
                <c:pt idx="263">
                  <c:v>7.1500485904577902</c:v>
                </c:pt>
                <c:pt idx="270">
                  <c:v>3.2322114426989699</c:v>
                </c:pt>
                <c:pt idx="271">
                  <c:v>7.8309522025393701</c:v>
                </c:pt>
                <c:pt idx="274">
                  <c:v>2.2640022019879402</c:v>
                </c:pt>
                <c:pt idx="288">
                  <c:v>6.40313632327201</c:v>
                </c:pt>
                <c:pt idx="295">
                  <c:v>1.6380347284335199</c:v>
                </c:pt>
                <c:pt idx="296">
                  <c:v>5.8188408974156403</c:v>
                </c:pt>
                <c:pt idx="297">
                  <c:v>3.77921390131121</c:v>
                </c:pt>
                <c:pt idx="299">
                  <c:v>9.8178790795141104</c:v>
                </c:pt>
                <c:pt idx="305">
                  <c:v>6.4004085526483303</c:v>
                </c:pt>
                <c:pt idx="308">
                  <c:v>3.2532651779332502</c:v>
                </c:pt>
                <c:pt idx="309">
                  <c:v>8.3152749996348092</c:v>
                </c:pt>
                <c:pt idx="312">
                  <c:v>1.8504182342550199</c:v>
                </c:pt>
                <c:pt idx="326">
                  <c:v>6.0817923497885502</c:v>
                </c:pt>
                <c:pt idx="334">
                  <c:v>1.72963531743817</c:v>
                </c:pt>
                <c:pt idx="335">
                  <c:v>5.3669756799509498</c:v>
                </c:pt>
                <c:pt idx="337">
                  <c:v>10.7023564332611</c:v>
                </c:pt>
                <c:pt idx="343">
                  <c:v>6.5965037875150196</c:v>
                </c:pt>
                <c:pt idx="346">
                  <c:v>3.3085439789787698</c:v>
                </c:pt>
                <c:pt idx="347">
                  <c:v>8.3501338585236091</c:v>
                </c:pt>
                <c:pt idx="350">
                  <c:v>1.9249324763454601</c:v>
                </c:pt>
                <c:pt idx="364">
                  <c:v>4.7879861158516901</c:v>
                </c:pt>
                <c:pt idx="372">
                  <c:v>1.50495851735196</c:v>
                </c:pt>
                <c:pt idx="373">
                  <c:v>5.2924913811144503</c:v>
                </c:pt>
                <c:pt idx="375">
                  <c:v>10.409736977418</c:v>
                </c:pt>
                <c:pt idx="381">
                  <c:v>6.5775643053406103</c:v>
                </c:pt>
                <c:pt idx="384">
                  <c:v>3.3514892615155398</c:v>
                </c:pt>
                <c:pt idx="385">
                  <c:v>8.9911673143009896</c:v>
                </c:pt>
                <c:pt idx="388">
                  <c:v>2.13460714040116</c:v>
                </c:pt>
                <c:pt idx="401">
                  <c:v>4.3485524408950296</c:v>
                </c:pt>
                <c:pt idx="409">
                  <c:v>1.40425783013599</c:v>
                </c:pt>
                <c:pt idx="410">
                  <c:v>4.99680575405905</c:v>
                </c:pt>
                <c:pt idx="412">
                  <c:v>9.1378902317433504</c:v>
                </c:pt>
                <c:pt idx="418">
                  <c:v>6.5044172957289002</c:v>
                </c:pt>
                <c:pt idx="421">
                  <c:v>3.1793678516187001</c:v>
                </c:pt>
                <c:pt idx="422">
                  <c:v>10.178817977726199</c:v>
                </c:pt>
                <c:pt idx="425">
                  <c:v>2.3246104662395801</c:v>
                </c:pt>
                <c:pt idx="439">
                  <c:v>4.3037741686607296</c:v>
                </c:pt>
                <c:pt idx="447">
                  <c:v>1.35302090705178</c:v>
                </c:pt>
                <c:pt idx="448">
                  <c:v>4.6087953731804001</c:v>
                </c:pt>
                <c:pt idx="450">
                  <c:v>8.3160039271044806</c:v>
                </c:pt>
                <c:pt idx="456">
                  <c:v>5.9326366897449603</c:v>
                </c:pt>
                <c:pt idx="457">
                  <c:v>3.44362001263486</c:v>
                </c:pt>
                <c:pt idx="460">
                  <c:v>2.6585213950006499</c:v>
                </c:pt>
                <c:pt idx="461">
                  <c:v>11.736735493733001</c:v>
                </c:pt>
                <c:pt idx="464">
                  <c:v>2.0185100930334499</c:v>
                </c:pt>
                <c:pt idx="478">
                  <c:v>3.9545383627283401</c:v>
                </c:pt>
                <c:pt idx="486">
                  <c:v>1.36206735702957</c:v>
                </c:pt>
                <c:pt idx="487">
                  <c:v>3.99593380473293</c:v>
                </c:pt>
                <c:pt idx="489">
                  <c:v>7.6425177475610004</c:v>
                </c:pt>
                <c:pt idx="493">
                  <c:v>13.8823798365434</c:v>
                </c:pt>
                <c:pt idx="495">
                  <c:v>5.8155825926643701</c:v>
                </c:pt>
                <c:pt idx="496">
                  <c:v>3.33770499693181</c:v>
                </c:pt>
                <c:pt idx="499">
                  <c:v>2.4311335290532998</c:v>
                </c:pt>
                <c:pt idx="517">
                  <c:v>3.6055420462429</c:v>
                </c:pt>
                <c:pt idx="525">
                  <c:v>1.21494812519173</c:v>
                </c:pt>
                <c:pt idx="526">
                  <c:v>3.2386617753890099</c:v>
                </c:pt>
                <c:pt idx="527">
                  <c:v>4.2248279097375798</c:v>
                </c:pt>
                <c:pt idx="529">
                  <c:v>6.4884149458665101</c:v>
                </c:pt>
                <c:pt idx="533">
                  <c:v>12.6048624098317</c:v>
                </c:pt>
                <c:pt idx="535">
                  <c:v>5.9734869244731801</c:v>
                </c:pt>
                <c:pt idx="536">
                  <c:v>3.2977880829669801</c:v>
                </c:pt>
                <c:pt idx="539">
                  <c:v>1.9884327256883401</c:v>
                </c:pt>
                <c:pt idx="557">
                  <c:v>3.4281968541405901</c:v>
                </c:pt>
                <c:pt idx="565">
                  <c:v>1.06036926587932</c:v>
                </c:pt>
                <c:pt idx="566">
                  <c:v>2.9862116876847198</c:v>
                </c:pt>
                <c:pt idx="567">
                  <c:v>4.65972272005585</c:v>
                </c:pt>
                <c:pt idx="569">
                  <c:v>5.4154336974612596</c:v>
                </c:pt>
                <c:pt idx="573">
                  <c:v>10.918361226081201</c:v>
                </c:pt>
                <c:pt idx="575">
                  <c:v>5.7983029880817902</c:v>
                </c:pt>
                <c:pt idx="576">
                  <c:v>3.21592155344816</c:v>
                </c:pt>
                <c:pt idx="579">
                  <c:v>1.9429286339312299</c:v>
                </c:pt>
                <c:pt idx="607">
                  <c:v>4.3560943111245001</c:v>
                </c:pt>
                <c:pt idx="613">
                  <c:v>10.376530025911499</c:v>
                </c:pt>
                <c:pt idx="615">
                  <c:v>5.47046329712835</c:v>
                </c:pt>
                <c:pt idx="616">
                  <c:v>2.7464144034177602</c:v>
                </c:pt>
                <c:pt idx="619">
                  <c:v>1.85268056170078</c:v>
                </c:pt>
                <c:pt idx="647">
                  <c:v>4.2227927719254703</c:v>
                </c:pt>
                <c:pt idx="654">
                  <c:v>5.3635450390032702</c:v>
                </c:pt>
                <c:pt idx="672">
                  <c:v>5.2591985630133102</c:v>
                </c:pt>
                <c:pt idx="673">
                  <c:v>1.85123936803601</c:v>
                </c:pt>
                <c:pt idx="691">
                  <c:v>3.84798094758585</c:v>
                </c:pt>
                <c:pt idx="696">
                  <c:v>8.0041820555174095</c:v>
                </c:pt>
                <c:pt idx="699">
                  <c:v>5.1940075845558997</c:v>
                </c:pt>
                <c:pt idx="707">
                  <c:v>1.9934410778785301</c:v>
                </c:pt>
                <c:pt idx="711">
                  <c:v>8.0353264627544192</c:v>
                </c:pt>
                <c:pt idx="716">
                  <c:v>8.0356595796826191</c:v>
                </c:pt>
                <c:pt idx="719">
                  <c:v>5.0548399999771698</c:v>
                </c:pt>
                <c:pt idx="720">
                  <c:v>1.5076566129875399</c:v>
                </c:pt>
                <c:pt idx="724">
                  <c:v>4.84420951051138</c:v>
                </c:pt>
                <c:pt idx="731">
                  <c:v>10.259206110665399</c:v>
                </c:pt>
                <c:pt idx="738">
                  <c:v>3.3833452191562898</c:v>
                </c:pt>
                <c:pt idx="744">
                  <c:v>8.4523796221656404</c:v>
                </c:pt>
                <c:pt idx="747">
                  <c:v>5.0445957119350302</c:v>
                </c:pt>
                <c:pt idx="755">
                  <c:v>2.2769456351722899</c:v>
                </c:pt>
                <c:pt idx="759">
                  <c:v>7.9867429946405899</c:v>
                </c:pt>
                <c:pt idx="764">
                  <c:v>8.3686761360400705</c:v>
                </c:pt>
                <c:pt idx="768">
                  <c:v>4.53930673895242</c:v>
                </c:pt>
                <c:pt idx="769">
                  <c:v>1.2806000558603099</c:v>
                </c:pt>
                <c:pt idx="773">
                  <c:v>4.3274222420196899</c:v>
                </c:pt>
                <c:pt idx="779">
                  <c:v>10.947723523487699</c:v>
                </c:pt>
                <c:pt idx="786">
                  <c:v>2.9772305758648701</c:v>
                </c:pt>
                <c:pt idx="792">
                  <c:v>9.0627406374062005</c:v>
                </c:pt>
                <c:pt idx="795">
                  <c:v>5.2345749663885002</c:v>
                </c:pt>
                <c:pt idx="804">
                  <c:v>2.5380992365675499</c:v>
                </c:pt>
                <c:pt idx="808">
                  <c:v>7.7278241263117504</c:v>
                </c:pt>
                <c:pt idx="813">
                  <c:v>8.7297062177445</c:v>
                </c:pt>
                <c:pt idx="817">
                  <c:v>4.1468994419872098</c:v>
                </c:pt>
                <c:pt idx="818">
                  <c:v>1.1224562337312001</c:v>
                </c:pt>
                <c:pt idx="822">
                  <c:v>3.7873759826490199</c:v>
                </c:pt>
                <c:pt idx="829">
                  <c:v>10.4516744130616</c:v>
                </c:pt>
                <c:pt idx="836">
                  <c:v>2.31147709619546</c:v>
                </c:pt>
                <c:pt idx="843">
                  <c:v>8.4408470631140702</c:v>
                </c:pt>
                <c:pt idx="846">
                  <c:v>5.5297048118169396</c:v>
                </c:pt>
                <c:pt idx="855">
                  <c:v>2.3235412506389101</c:v>
                </c:pt>
                <c:pt idx="859">
                  <c:v>7.6074601915944804</c:v>
                </c:pt>
                <c:pt idx="864">
                  <c:v>8.6752817072963495</c:v>
                </c:pt>
                <c:pt idx="869">
                  <c:v>4.0326673630511998</c:v>
                </c:pt>
                <c:pt idx="870">
                  <c:v>1.0358880025159301</c:v>
                </c:pt>
                <c:pt idx="874">
                  <c:v>3.47393842832457</c:v>
                </c:pt>
                <c:pt idx="881">
                  <c:v>10.003776089344599</c:v>
                </c:pt>
                <c:pt idx="888">
                  <c:v>2.1768680747375102</c:v>
                </c:pt>
                <c:pt idx="890">
                  <c:v>10.65144337089</c:v>
                </c:pt>
                <c:pt idx="896">
                  <c:v>7.6603903936159803</c:v>
                </c:pt>
                <c:pt idx="899">
                  <c:v>4.5871426996607898</c:v>
                </c:pt>
                <c:pt idx="900">
                  <c:v>2.6690461635542602</c:v>
                </c:pt>
                <c:pt idx="909">
                  <c:v>1.7884986054663701</c:v>
                </c:pt>
                <c:pt idx="911">
                  <c:v>13.4682273120085</c:v>
                </c:pt>
                <c:pt idx="913">
                  <c:v>7.3445575471813704</c:v>
                </c:pt>
                <c:pt idx="914">
                  <c:v>0.152782453323666</c:v>
                </c:pt>
                <c:pt idx="919">
                  <c:v>7.2959799448812603</c:v>
                </c:pt>
                <c:pt idx="925">
                  <c:v>1.0655936623709901</c:v>
                </c:pt>
                <c:pt idx="928">
                  <c:v>3.2098949781980899</c:v>
                </c:pt>
                <c:pt idx="935">
                  <c:v>1.7051984289007101</c:v>
                </c:pt>
                <c:pt idx="937">
                  <c:v>9.5232865278060004</c:v>
                </c:pt>
                <c:pt idx="946">
                  <c:v>10.319428002385299</c:v>
                </c:pt>
                <c:pt idx="951">
                  <c:v>8.2549961547214501</c:v>
                </c:pt>
                <c:pt idx="954">
                  <c:v>4.6720712767091603</c:v>
                </c:pt>
                <c:pt idx="955">
                  <c:v>2.7484681055336502</c:v>
                </c:pt>
                <c:pt idx="961">
                  <c:v>1.5714350227915299</c:v>
                </c:pt>
                <c:pt idx="963">
                  <c:v>11.995303752744499</c:v>
                </c:pt>
                <c:pt idx="965">
                  <c:v>7.6237386795697297</c:v>
                </c:pt>
                <c:pt idx="966">
                  <c:v>0.121759590624512</c:v>
                </c:pt>
                <c:pt idx="971">
                  <c:v>6.8759033656824302</c:v>
                </c:pt>
                <c:pt idx="977">
                  <c:v>0.96452833657261705</c:v>
                </c:pt>
                <c:pt idx="980">
                  <c:v>2.92630767280578</c:v>
                </c:pt>
                <c:pt idx="987">
                  <c:v>1.47288540480548</c:v>
                </c:pt>
                <c:pt idx="989">
                  <c:v>8.3710478510600304</c:v>
                </c:pt>
                <c:pt idx="998">
                  <c:v>10.030327938550499</c:v>
                </c:pt>
                <c:pt idx="1006">
                  <c:v>5.0125531751463503</c:v>
                </c:pt>
                <c:pt idx="1007">
                  <c:v>2.7795722078667802</c:v>
                </c:pt>
                <c:pt idx="1015">
                  <c:v>10.760226910947299</c:v>
                </c:pt>
                <c:pt idx="1017">
                  <c:v>7.5432252012366696</c:v>
                </c:pt>
                <c:pt idx="1018">
                  <c:v>0.12911286963765101</c:v>
                </c:pt>
                <c:pt idx="1023">
                  <c:v>5.809308997474</c:v>
                </c:pt>
                <c:pt idx="1032">
                  <c:v>2.5060720451818699</c:v>
                </c:pt>
                <c:pt idx="1039">
                  <c:v>1.3118138391821199</c:v>
                </c:pt>
                <c:pt idx="1042">
                  <c:v>7.0502132609538597</c:v>
                </c:pt>
                <c:pt idx="1052">
                  <c:v>9.6540153755971296</c:v>
                </c:pt>
                <c:pt idx="1057">
                  <c:v>15.583859799920599</c:v>
                </c:pt>
                <c:pt idx="1059">
                  <c:v>8.4886960075151698</c:v>
                </c:pt>
                <c:pt idx="1062">
                  <c:v>4.7925194847002004</c:v>
                </c:pt>
                <c:pt idx="1063">
                  <c:v>2.4125338064805102</c:v>
                </c:pt>
                <c:pt idx="1071">
                  <c:v>9.9780515246095494</c:v>
                </c:pt>
                <c:pt idx="1074">
                  <c:v>7.2409280422646898</c:v>
                </c:pt>
                <c:pt idx="1075">
                  <c:v>0.18636107725967299</c:v>
                </c:pt>
                <c:pt idx="1080">
                  <c:v>4.83748868960698</c:v>
                </c:pt>
                <c:pt idx="1090">
                  <c:v>2.95086327614667</c:v>
                </c:pt>
                <c:pt idx="1097">
                  <c:v>1.3536925121577601</c:v>
                </c:pt>
                <c:pt idx="1100">
                  <c:v>6.2928263066042103</c:v>
                </c:pt>
                <c:pt idx="1110">
                  <c:v>10.389539909011599</c:v>
                </c:pt>
                <c:pt idx="1116">
                  <c:v>16.0904090718827</c:v>
                </c:pt>
                <c:pt idx="1118">
                  <c:v>9.0838607230303392</c:v>
                </c:pt>
                <c:pt idx="1121">
                  <c:v>4.2835966993006096</c:v>
                </c:pt>
                <c:pt idx="1122">
                  <c:v>2.36532100182272</c:v>
                </c:pt>
                <c:pt idx="1130">
                  <c:v>8.7376454988942207</c:v>
                </c:pt>
                <c:pt idx="1133">
                  <c:v>6.6535585711727299</c:v>
                </c:pt>
                <c:pt idx="1134">
                  <c:v>2.6606994228328899E-2</c:v>
                </c:pt>
                <c:pt idx="1138">
                  <c:v>4.6183675981780103</c:v>
                </c:pt>
                <c:pt idx="1148">
                  <c:v>3.4776503704385702</c:v>
                </c:pt>
                <c:pt idx="1155">
                  <c:v>1.3726801965964199</c:v>
                </c:pt>
                <c:pt idx="1158">
                  <c:v>5.7572793817733698</c:v>
                </c:pt>
                <c:pt idx="1167">
                  <c:v>10.4640074753852</c:v>
                </c:pt>
                <c:pt idx="1173">
                  <c:v>19.5055810973763</c:v>
                </c:pt>
                <c:pt idx="1175">
                  <c:v>8.5219379931457908</c:v>
                </c:pt>
                <c:pt idx="1178">
                  <c:v>4.0732252050678097</c:v>
                </c:pt>
                <c:pt idx="1179">
                  <c:v>2.24427416991165</c:v>
                </c:pt>
                <c:pt idx="1180">
                  <c:v>0.79574800312293603</c:v>
                </c:pt>
                <c:pt idx="1188">
                  <c:v>8.8359289409089001</c:v>
                </c:pt>
                <c:pt idx="1191">
                  <c:v>6.0035077067900096</c:v>
                </c:pt>
                <c:pt idx="1192">
                  <c:v>5.9940378453346897E-2</c:v>
                </c:pt>
                <c:pt idx="1196">
                  <c:v>4.6092974251301797</c:v>
                </c:pt>
                <c:pt idx="1205">
                  <c:v>3.9728503762203098</c:v>
                </c:pt>
                <c:pt idx="1212">
                  <c:v>5.4566657853692302</c:v>
                </c:pt>
                <c:pt idx="1214">
                  <c:v>5.7258520872328402</c:v>
                </c:pt>
                <c:pt idx="1222">
                  <c:v>9.0030391366370992</c:v>
                </c:pt>
                <c:pt idx="1228">
                  <c:v>23.206839914770601</c:v>
                </c:pt>
                <c:pt idx="1232">
                  <c:v>3.7866313860663001</c:v>
                </c:pt>
                <c:pt idx="1233">
                  <c:v>2.11658570437196</c:v>
                </c:pt>
                <c:pt idx="1234">
                  <c:v>0.69547938400397402</c:v>
                </c:pt>
                <c:pt idx="1242">
                  <c:v>8.5252169327388696</c:v>
                </c:pt>
                <c:pt idx="1244">
                  <c:v>6.7264450474908699</c:v>
                </c:pt>
                <c:pt idx="1245">
                  <c:v>2.2007565844257799E-2</c:v>
                </c:pt>
                <c:pt idx="1249">
                  <c:v>4.7388984727745296</c:v>
                </c:pt>
                <c:pt idx="1259">
                  <c:v>4.3365340925286002</c:v>
                </c:pt>
                <c:pt idx="1267">
                  <c:v>5.0710429322498802</c:v>
                </c:pt>
                <c:pt idx="1269">
                  <c:v>5.4950431311960903</c:v>
                </c:pt>
                <c:pt idx="1278">
                  <c:v>8.9700625003107604</c:v>
                </c:pt>
                <c:pt idx="1283">
                  <c:v>17.740181102988998</c:v>
                </c:pt>
                <c:pt idx="1286">
                  <c:v>10.6964242437595</c:v>
                </c:pt>
                <c:pt idx="1288">
                  <c:v>3.5467276251840798</c:v>
                </c:pt>
                <c:pt idx="1289">
                  <c:v>2.0210092687950598</c:v>
                </c:pt>
                <c:pt idx="1290">
                  <c:v>0.62155609433546399</c:v>
                </c:pt>
                <c:pt idx="1298">
                  <c:v>8.0574783887730792</c:v>
                </c:pt>
                <c:pt idx="1300">
                  <c:v>6.5127950256792797</c:v>
                </c:pt>
                <c:pt idx="1301">
                  <c:v>0.13012759733850099</c:v>
                </c:pt>
                <c:pt idx="1306">
                  <c:v>4.8180827632626801</c:v>
                </c:pt>
                <c:pt idx="1316">
                  <c:v>4.5840153226848903</c:v>
                </c:pt>
                <c:pt idx="1324">
                  <c:v>4.4170928740874</c:v>
                </c:pt>
                <c:pt idx="1326">
                  <c:v>4.9368646759847499</c:v>
                </c:pt>
                <c:pt idx="1336">
                  <c:v>9.7554658187442502</c:v>
                </c:pt>
                <c:pt idx="1342">
                  <c:v>8.5615084736005596</c:v>
                </c:pt>
                <c:pt idx="1344">
                  <c:v>10.243966955601699</c:v>
                </c:pt>
                <c:pt idx="1346">
                  <c:v>3.3496324795477399</c:v>
                </c:pt>
                <c:pt idx="1347">
                  <c:v>1.81619554827257</c:v>
                </c:pt>
                <c:pt idx="1348">
                  <c:v>0.55119817833520102</c:v>
                </c:pt>
                <c:pt idx="1357">
                  <c:v>7.3499713386588201</c:v>
                </c:pt>
                <c:pt idx="1359">
                  <c:v>6.6161736571281704</c:v>
                </c:pt>
                <c:pt idx="1360">
                  <c:v>5.5340484895378302E-2</c:v>
                </c:pt>
                <c:pt idx="1365">
                  <c:v>5.2448374509070597</c:v>
                </c:pt>
                <c:pt idx="1376">
                  <c:v>6.6392392229169701</c:v>
                </c:pt>
                <c:pt idx="1384">
                  <c:v>4.1785839223841696</c:v>
                </c:pt>
                <c:pt idx="1386">
                  <c:v>4.8213117497603797</c:v>
                </c:pt>
                <c:pt idx="1396">
                  <c:v>10.5420777741541</c:v>
                </c:pt>
                <c:pt idx="1401">
                  <c:v>19.160639343238898</c:v>
                </c:pt>
                <c:pt idx="1403">
                  <c:v>9.3181349336024404</c:v>
                </c:pt>
                <c:pt idx="1405">
                  <c:v>10.0403549777226</c:v>
                </c:pt>
                <c:pt idx="1407">
                  <c:v>3.3244338052288498</c:v>
                </c:pt>
                <c:pt idx="1408">
                  <c:v>1.6501185362533199</c:v>
                </c:pt>
                <c:pt idx="1409">
                  <c:v>0.475907198096371</c:v>
                </c:pt>
                <c:pt idx="1418">
                  <c:v>6.9033300724648798</c:v>
                </c:pt>
                <c:pt idx="1420">
                  <c:v>6.1130318269435104</c:v>
                </c:pt>
                <c:pt idx="1421">
                  <c:v>6.4059058165148494E-2</c:v>
                </c:pt>
                <c:pt idx="1427">
                  <c:v>4.9035679845708797</c:v>
                </c:pt>
                <c:pt idx="1437">
                  <c:v>6.8729161492816502</c:v>
                </c:pt>
                <c:pt idx="1445">
                  <c:v>3.8773807822558402</c:v>
                </c:pt>
                <c:pt idx="1447">
                  <c:v>4.9261277496495897</c:v>
                </c:pt>
                <c:pt idx="1457">
                  <c:v>9.8496935091107591</c:v>
                </c:pt>
                <c:pt idx="1463">
                  <c:v>20.362165393248699</c:v>
                </c:pt>
                <c:pt idx="1464">
                  <c:v>9.1121144123145896</c:v>
                </c:pt>
                <c:pt idx="1466">
                  <c:v>9.9796002958363506</c:v>
                </c:pt>
                <c:pt idx="1468">
                  <c:v>2.8412190205146399</c:v>
                </c:pt>
                <c:pt idx="1470">
                  <c:v>0.31328127411339901</c:v>
                </c:pt>
                <c:pt idx="1479">
                  <c:v>6.7318305309889901</c:v>
                </c:pt>
                <c:pt idx="1481">
                  <c:v>6.2482223101645298</c:v>
                </c:pt>
                <c:pt idx="1482">
                  <c:v>3.7139626321413398E-2</c:v>
                </c:pt>
                <c:pt idx="1486">
                  <c:v>3.90432915891917</c:v>
                </c:pt>
                <c:pt idx="1492">
                  <c:v>4.1493069610162898</c:v>
                </c:pt>
                <c:pt idx="1497">
                  <c:v>6.7766560540941301</c:v>
                </c:pt>
                <c:pt idx="1505">
                  <c:v>4.0661315217850298</c:v>
                </c:pt>
                <c:pt idx="1507">
                  <c:v>4.5232507780474798</c:v>
                </c:pt>
                <c:pt idx="1515">
                  <c:v>9.3753813623319697</c:v>
                </c:pt>
                <c:pt idx="1521">
                  <c:v>18.679325098448999</c:v>
                </c:pt>
                <c:pt idx="1522">
                  <c:v>8.0951929920629908</c:v>
                </c:pt>
                <c:pt idx="1524">
                  <c:v>9.7120706162576198</c:v>
                </c:pt>
                <c:pt idx="1525">
                  <c:v>3.42067497187056</c:v>
                </c:pt>
                <c:pt idx="1526">
                  <c:v>7.0707090763600799</c:v>
                </c:pt>
                <c:pt idx="1530">
                  <c:v>0.338560528221799</c:v>
                </c:pt>
                <c:pt idx="1539">
                  <c:v>6.5843902537434298</c:v>
                </c:pt>
                <c:pt idx="1541">
                  <c:v>5.8737975384255297</c:v>
                </c:pt>
                <c:pt idx="1542">
                  <c:v>0.13314721357242601</c:v>
                </c:pt>
                <c:pt idx="1546">
                  <c:v>5.9990700749867303</c:v>
                </c:pt>
                <c:pt idx="1552">
                  <c:v>4.2762231890326499</c:v>
                </c:pt>
                <c:pt idx="1557">
                  <c:v>5.8882368209472098</c:v>
                </c:pt>
                <c:pt idx="1565">
                  <c:v>4.7464655057668796</c:v>
                </c:pt>
                <c:pt idx="1567">
                  <c:v>4.0583891106201504</c:v>
                </c:pt>
                <c:pt idx="1575">
                  <c:v>8.5601739408135398</c:v>
                </c:pt>
                <c:pt idx="1581">
                  <c:v>15.537472040152</c:v>
                </c:pt>
                <c:pt idx="1583">
                  <c:v>6.9802045622425704</c:v>
                </c:pt>
                <c:pt idx="1585">
                  <c:v>11.702755076249099</c:v>
                </c:pt>
                <c:pt idx="1586">
                  <c:v>2.9074910779401799</c:v>
                </c:pt>
                <c:pt idx="1587">
                  <c:v>6.7823988459787401</c:v>
                </c:pt>
                <c:pt idx="1591">
                  <c:v>0.40695997692825298</c:v>
                </c:pt>
                <c:pt idx="1600">
                  <c:v>6.2300511497931002</c:v>
                </c:pt>
                <c:pt idx="1602">
                  <c:v>5.8913084354666898</c:v>
                </c:pt>
                <c:pt idx="1603">
                  <c:v>0.17712979036540499</c:v>
                </c:pt>
                <c:pt idx="1607">
                  <c:v>6.84296759335417</c:v>
                </c:pt>
                <c:pt idx="1613">
                  <c:v>3.8611998359425801</c:v>
                </c:pt>
                <c:pt idx="1618">
                  <c:v>4.7521268998007802</c:v>
                </c:pt>
                <c:pt idx="1623">
                  <c:v>6.1324954760771702</c:v>
                </c:pt>
                <c:pt idx="1626">
                  <c:v>4.3180540581642601</c:v>
                </c:pt>
                <c:pt idx="1628">
                  <c:v>4.1691289445692004</c:v>
                </c:pt>
                <c:pt idx="1635">
                  <c:v>8.3942013661514103</c:v>
                </c:pt>
                <c:pt idx="1641">
                  <c:v>15.9051142711577</c:v>
                </c:pt>
                <c:pt idx="1643">
                  <c:v>6.8117623541705701</c:v>
                </c:pt>
                <c:pt idx="1645">
                  <c:v>14.0446530553969</c:v>
                </c:pt>
                <c:pt idx="1646">
                  <c:v>2.5329927186332699</c:v>
                </c:pt>
                <c:pt idx="1647">
                  <c:v>6.6560610639434197</c:v>
                </c:pt>
                <c:pt idx="1652">
                  <c:v>0.473583161487591</c:v>
                </c:pt>
                <c:pt idx="1653">
                  <c:v>5.2148536846148303</c:v>
                </c:pt>
                <c:pt idx="1662">
                  <c:v>6.1558633869075301</c:v>
                </c:pt>
                <c:pt idx="1664">
                  <c:v>5.7218104234107701</c:v>
                </c:pt>
                <c:pt idx="1665">
                  <c:v>0.15742619453850901</c:v>
                </c:pt>
                <c:pt idx="1669">
                  <c:v>6.2296144236716602</c:v>
                </c:pt>
                <c:pt idx="1675">
                  <c:v>3.4030200034491598</c:v>
                </c:pt>
                <c:pt idx="1677">
                  <c:v>5.1481659482955298</c:v>
                </c:pt>
                <c:pt idx="1681">
                  <c:v>4.1003449895454098</c:v>
                </c:pt>
                <c:pt idx="1686">
                  <c:v>9.0610382201939501</c:v>
                </c:pt>
                <c:pt idx="1689">
                  <c:v>4.4383331374763104</c:v>
                </c:pt>
                <c:pt idx="1691">
                  <c:v>4.0594253587421996</c:v>
                </c:pt>
                <c:pt idx="1699">
                  <c:v>8.1383196685013708</c:v>
                </c:pt>
                <c:pt idx="1706">
                  <c:v>13.311941276481701</c:v>
                </c:pt>
                <c:pt idx="1708">
                  <c:v>5.8989904531167898</c:v>
                </c:pt>
                <c:pt idx="1710">
                  <c:v>9.6093369772752801</c:v>
                </c:pt>
                <c:pt idx="1711">
                  <c:v>2.2458941608895402</c:v>
                </c:pt>
                <c:pt idx="1712">
                  <c:v>6.3538525912189803</c:v>
                </c:pt>
                <c:pt idx="1717">
                  <c:v>0.41836973425264601</c:v>
                </c:pt>
                <c:pt idx="1718">
                  <c:v>4.78537000354574</c:v>
                </c:pt>
                <c:pt idx="1727">
                  <c:v>5.7689893647674397</c:v>
                </c:pt>
                <c:pt idx="1730">
                  <c:v>5.4200779164295101</c:v>
                </c:pt>
                <c:pt idx="1731">
                  <c:v>0.13282922855301199</c:v>
                </c:pt>
                <c:pt idx="1735">
                  <c:v>6.36344103623974</c:v>
                </c:pt>
                <c:pt idx="1741">
                  <c:v>2.90998323354557</c:v>
                </c:pt>
                <c:pt idx="1743">
                  <c:v>5.5078020975472102</c:v>
                </c:pt>
                <c:pt idx="1752">
                  <c:v>10.4132379863966</c:v>
                </c:pt>
                <c:pt idx="1755">
                  <c:v>3.8791076262576998</c:v>
                </c:pt>
                <c:pt idx="1757">
                  <c:v>3.8288954234562098</c:v>
                </c:pt>
                <c:pt idx="1765">
                  <c:v>7.9296443960238099</c:v>
                </c:pt>
                <c:pt idx="1772">
                  <c:v>13.1420995997892</c:v>
                </c:pt>
                <c:pt idx="1774">
                  <c:v>5.2744451427340904</c:v>
                </c:pt>
                <c:pt idx="1776">
                  <c:v>6.8770699396064696</c:v>
                </c:pt>
                <c:pt idx="1777">
                  <c:v>1.9043986745999499</c:v>
                </c:pt>
                <c:pt idx="1778">
                  <c:v>6.2959363048059496</c:v>
                </c:pt>
                <c:pt idx="1783">
                  <c:v>0.47020908454517801</c:v>
                </c:pt>
                <c:pt idx="1784">
                  <c:v>4.0491852901873102</c:v>
                </c:pt>
                <c:pt idx="1793">
                  <c:v>5.4535402684857504</c:v>
                </c:pt>
                <c:pt idx="1796">
                  <c:v>5.03426545225794</c:v>
                </c:pt>
                <c:pt idx="1797">
                  <c:v>6.6808499597851706E-2</c:v>
                </c:pt>
                <c:pt idx="1801">
                  <c:v>6.1226294647027704</c:v>
                </c:pt>
                <c:pt idx="1808">
                  <c:v>2.72412870315907</c:v>
                </c:pt>
                <c:pt idx="1810">
                  <c:v>3.9793717729712199</c:v>
                </c:pt>
                <c:pt idx="1812">
                  <c:v>6.4679910777687697</c:v>
                </c:pt>
                <c:pt idx="1819">
                  <c:v>10.1377768770065</c:v>
                </c:pt>
                <c:pt idx="1822">
                  <c:v>4.2013357887055198</c:v>
                </c:pt>
                <c:pt idx="1824">
                  <c:v>3.6808261886204199</c:v>
                </c:pt>
                <c:pt idx="1833">
                  <c:v>7.3287922085228203</c:v>
                </c:pt>
                <c:pt idx="1835">
                  <c:v>8.5026400473921093</c:v>
                </c:pt>
                <c:pt idx="1840">
                  <c:v>11.5741245478967</c:v>
                </c:pt>
                <c:pt idx="1842">
                  <c:v>5.1106569297612499</c:v>
                </c:pt>
                <c:pt idx="1844">
                  <c:v>8.3002457931556108</c:v>
                </c:pt>
                <c:pt idx="1846">
                  <c:v>6.1784292587770304</c:v>
                </c:pt>
                <c:pt idx="1852">
                  <c:v>0.393647679195536</c:v>
                </c:pt>
                <c:pt idx="1854">
                  <c:v>3.6183025435840199</c:v>
                </c:pt>
                <c:pt idx="1863">
                  <c:v>4.9070439322683903</c:v>
                </c:pt>
                <c:pt idx="1866">
                  <c:v>4.9545824497953399</c:v>
                </c:pt>
                <c:pt idx="1867">
                  <c:v>7.7964497859906001E-2</c:v>
                </c:pt>
                <c:pt idx="1872">
                  <c:v>5.4337617003862899</c:v>
                </c:pt>
                <c:pt idx="1879">
                  <c:v>2.5011570970620598</c:v>
                </c:pt>
                <c:pt idx="1881">
                  <c:v>3.6708234129322701</c:v>
                </c:pt>
                <c:pt idx="1883">
                  <c:v>6.1473890636023398</c:v>
                </c:pt>
                <c:pt idx="1890">
                  <c:v>9.8829951734419996</c:v>
                </c:pt>
                <c:pt idx="1893">
                  <c:v>6.0540872098754601</c:v>
                </c:pt>
                <c:pt idx="1895">
                  <c:v>3.39235382454729</c:v>
                </c:pt>
                <c:pt idx="1901">
                  <c:v>1.60213194587649</c:v>
                </c:pt>
                <c:pt idx="1906">
                  <c:v>6.1396653601481299</c:v>
                </c:pt>
                <c:pt idx="1908">
                  <c:v>12.795263296521901</c:v>
                </c:pt>
                <c:pt idx="1911">
                  <c:v>10.2676627668097</c:v>
                </c:pt>
                <c:pt idx="1912">
                  <c:v>9.8897560964533202</c:v>
                </c:pt>
                <c:pt idx="1915">
                  <c:v>7.0309222119661001</c:v>
                </c:pt>
                <c:pt idx="1917">
                  <c:v>6.2038302045235003</c:v>
                </c:pt>
                <c:pt idx="1923">
                  <c:v>0.36997700773800501</c:v>
                </c:pt>
                <c:pt idx="1924">
                  <c:v>1.64598186779333</c:v>
                </c:pt>
                <c:pt idx="1925">
                  <c:v>3.4403781435618899</c:v>
                </c:pt>
                <c:pt idx="1934">
                  <c:v>4.4309602119896701</c:v>
                </c:pt>
                <c:pt idx="1938">
                  <c:v>4.5230670578300396</c:v>
                </c:pt>
                <c:pt idx="1939">
                  <c:v>1.7363411636227399E-2</c:v>
                </c:pt>
                <c:pt idx="1945">
                  <c:v>5.8471021523282696</c:v>
                </c:pt>
                <c:pt idx="1952">
                  <c:v>2.27461121944072</c:v>
                </c:pt>
                <c:pt idx="1954">
                  <c:v>3.5623429591888001</c:v>
                </c:pt>
                <c:pt idx="1956">
                  <c:v>5.6030394800367196</c:v>
                </c:pt>
                <c:pt idx="1963">
                  <c:v>9.85664543702676</c:v>
                </c:pt>
                <c:pt idx="1967">
                  <c:v>6.4292187543006403</c:v>
                </c:pt>
                <c:pt idx="1969">
                  <c:v>3.11847282265507</c:v>
                </c:pt>
                <c:pt idx="1975">
                  <c:v>1.8827759755569999</c:v>
                </c:pt>
                <c:pt idx="1980">
                  <c:v>5.3797624407222999</c:v>
                </c:pt>
                <c:pt idx="1982">
                  <c:v>11.4580144443247</c:v>
                </c:pt>
                <c:pt idx="1986">
                  <c:v>17.1282758032354</c:v>
                </c:pt>
                <c:pt idx="1989">
                  <c:v>6.9715675700484203</c:v>
                </c:pt>
                <c:pt idx="1991">
                  <c:v>6.2992510702946696</c:v>
                </c:pt>
                <c:pt idx="1997">
                  <c:v>0.29835104904078502</c:v>
                </c:pt>
                <c:pt idx="1998">
                  <c:v>1.8844221105527601</c:v>
                </c:pt>
                <c:pt idx="1999">
                  <c:v>3.0369933985585802</c:v>
                </c:pt>
                <c:pt idx="2000">
                  <c:v>10.1456944471919</c:v>
                </c:pt>
                <c:pt idx="2001">
                  <c:v>2.0767527310357998</c:v>
                </c:pt>
                <c:pt idx="2008">
                  <c:v>4.1132543709403802</c:v>
                </c:pt>
                <c:pt idx="2012">
                  <c:v>4.0589862403076102</c:v>
                </c:pt>
                <c:pt idx="2013">
                  <c:v>1.41646575730539E-2</c:v>
                </c:pt>
                <c:pt idx="2019">
                  <c:v>6.5202626747105299</c:v>
                </c:pt>
                <c:pt idx="2026">
                  <c:v>1.98522043519223</c:v>
                </c:pt>
                <c:pt idx="2028">
                  <c:v>3.5895910706028</c:v>
                </c:pt>
                <c:pt idx="2037">
                  <c:v>9.5577994137478601</c:v>
                </c:pt>
                <c:pt idx="2041">
                  <c:v>5.1602010536694598</c:v>
                </c:pt>
                <c:pt idx="2043">
                  <c:v>2.7833961203081499</c:v>
                </c:pt>
                <c:pt idx="2049">
                  <c:v>1.62580190361476</c:v>
                </c:pt>
                <c:pt idx="2054">
                  <c:v>5.3847600761056897</c:v>
                </c:pt>
                <c:pt idx="2056">
                  <c:v>10.3149395056494</c:v>
                </c:pt>
                <c:pt idx="2060">
                  <c:v>15.9718140260198</c:v>
                </c:pt>
                <c:pt idx="2062">
                  <c:v>16.308901035185901</c:v>
                </c:pt>
                <c:pt idx="2063">
                  <c:v>7.00003493612512</c:v>
                </c:pt>
                <c:pt idx="2065">
                  <c:v>6.1462272197424204</c:v>
                </c:pt>
                <c:pt idx="2071">
                  <c:v>0.239584458431115</c:v>
                </c:pt>
                <c:pt idx="2072">
                  <c:v>1.50577312224735</c:v>
                </c:pt>
                <c:pt idx="2073">
                  <c:v>3.5607763065457698</c:v>
                </c:pt>
                <c:pt idx="2074">
                  <c:v>9.8174908919762203</c:v>
                </c:pt>
                <c:pt idx="2075">
                  <c:v>2.9079371738731399</c:v>
                </c:pt>
                <c:pt idx="2085">
                  <c:v>3.61686951495542</c:v>
                </c:pt>
                <c:pt idx="2093">
                  <c:v>5.9966121092634603</c:v>
                </c:pt>
                <c:pt idx="2100">
                  <c:v>1.85338142245088</c:v>
                </c:pt>
                <c:pt idx="2102">
                  <c:v>3.5194584828059901</c:v>
                </c:pt>
                <c:pt idx="2111">
                  <c:v>8.5968122566505603</c:v>
                </c:pt>
                <c:pt idx="2115">
                  <c:v>3.2635964737501602</c:v>
                </c:pt>
                <c:pt idx="2117">
                  <c:v>2.46790862406983</c:v>
                </c:pt>
                <c:pt idx="2123">
                  <c:v>1.34977992575618</c:v>
                </c:pt>
                <c:pt idx="2129">
                  <c:v>5.5087970614216504</c:v>
                </c:pt>
                <c:pt idx="2131">
                  <c:v>9.8445347045759206</c:v>
                </c:pt>
                <c:pt idx="2135">
                  <c:v>19.9837679551487</c:v>
                </c:pt>
                <c:pt idx="2137">
                  <c:v>18.114292734719101</c:v>
                </c:pt>
                <c:pt idx="2138">
                  <c:v>7.4870606057128404</c:v>
                </c:pt>
                <c:pt idx="2140">
                  <c:v>5.7038639351910803</c:v>
                </c:pt>
                <c:pt idx="2146">
                  <c:v>0.18471104608632</c:v>
                </c:pt>
                <c:pt idx="2147">
                  <c:v>1.79117956951483</c:v>
                </c:pt>
                <c:pt idx="2148">
                  <c:v>3.50683516676248</c:v>
                </c:pt>
                <c:pt idx="2149">
                  <c:v>9.0871636088967698</c:v>
                </c:pt>
                <c:pt idx="2150">
                  <c:v>2.73064224793485</c:v>
                </c:pt>
                <c:pt idx="2160">
                  <c:v>3.2342055420081399</c:v>
                </c:pt>
                <c:pt idx="2161">
                  <c:v>1.1063316413483499E-2</c:v>
                </c:pt>
                <c:pt idx="2168">
                  <c:v>5.2445323661940897</c:v>
                </c:pt>
                <c:pt idx="2175">
                  <c:v>1.7627880964106399</c:v>
                </c:pt>
                <c:pt idx="2176">
                  <c:v>5.9333065774599802</c:v>
                </c:pt>
                <c:pt idx="2177">
                  <c:v>3.28429962150889</c:v>
                </c:pt>
                <c:pt idx="2186">
                  <c:v>8.0356193870617005</c:v>
                </c:pt>
                <c:pt idx="2190">
                  <c:v>2.7849614293171201</c:v>
                </c:pt>
                <c:pt idx="2192">
                  <c:v>2.1860179167398601</c:v>
                </c:pt>
                <c:pt idx="2198">
                  <c:v>1.14128505717328</c:v>
                </c:pt>
                <c:pt idx="2204">
                  <c:v>5.9492172276609399</c:v>
                </c:pt>
                <c:pt idx="2206">
                  <c:v>7.3819077752170097</c:v>
                </c:pt>
                <c:pt idx="2210">
                  <c:v>12.788562018900199</c:v>
                </c:pt>
                <c:pt idx="2212">
                  <c:v>17.294718468075299</c:v>
                </c:pt>
                <c:pt idx="2213">
                  <c:v>6.7093598304428097</c:v>
                </c:pt>
                <c:pt idx="2215">
                  <c:v>5.3268251273344696</c:v>
                </c:pt>
                <c:pt idx="2222">
                  <c:v>1.19442907212691</c:v>
                </c:pt>
                <c:pt idx="2223">
                  <c:v>2.67839142827955</c:v>
                </c:pt>
                <c:pt idx="2224">
                  <c:v>3.6615053057715299</c:v>
                </c:pt>
                <c:pt idx="2225">
                  <c:v>8.2536633479507007</c:v>
                </c:pt>
                <c:pt idx="2226">
                  <c:v>2.6565593045449898</c:v>
                </c:pt>
                <c:pt idx="2237">
                  <c:v>4.8042551974606098E-3</c:v>
                </c:pt>
                <c:pt idx="2251">
                  <c:v>1.56816980859529</c:v>
                </c:pt>
                <c:pt idx="2252">
                  <c:v>5.6664418451056502</c:v>
                </c:pt>
                <c:pt idx="2253">
                  <c:v>2.6221318557733202</c:v>
                </c:pt>
                <c:pt idx="2262">
                  <c:v>7.2141089798412503</c:v>
                </c:pt>
                <c:pt idx="2266">
                  <c:v>2.6315853455926201</c:v>
                </c:pt>
                <c:pt idx="2274">
                  <c:v>1.56039709202368</c:v>
                </c:pt>
                <c:pt idx="2280">
                  <c:v>5.29019333296909</c:v>
                </c:pt>
                <c:pt idx="2282">
                  <c:v>6.4851824290178604</c:v>
                </c:pt>
                <c:pt idx="2286">
                  <c:v>13.740501684333401</c:v>
                </c:pt>
                <c:pt idx="2288">
                  <c:v>14.114347873628001</c:v>
                </c:pt>
                <c:pt idx="2291">
                  <c:v>5.8170376619582402</c:v>
                </c:pt>
                <c:pt idx="2295">
                  <c:v>5.6598806598806597</c:v>
                </c:pt>
                <c:pt idx="2298">
                  <c:v>0.92675102477276805</c:v>
                </c:pt>
                <c:pt idx="2299">
                  <c:v>1.68087315555451</c:v>
                </c:pt>
                <c:pt idx="2300">
                  <c:v>3.28141119438523</c:v>
                </c:pt>
                <c:pt idx="2301">
                  <c:v>7.7070551014560396</c:v>
                </c:pt>
                <c:pt idx="2302">
                  <c:v>2.2788284684832298</c:v>
                </c:pt>
                <c:pt idx="2326">
                  <c:v>1.3764502593236401</c:v>
                </c:pt>
                <c:pt idx="2327">
                  <c:v>5.6893931327298803</c:v>
                </c:pt>
                <c:pt idx="2328">
                  <c:v>2.3587072803703899</c:v>
                </c:pt>
                <c:pt idx="2338">
                  <c:v>7.2694433427398302</c:v>
                </c:pt>
                <c:pt idx="2341">
                  <c:v>2.15297587239963</c:v>
                </c:pt>
                <c:pt idx="2349">
                  <c:v>1.0393800397303401</c:v>
                </c:pt>
                <c:pt idx="2357">
                  <c:v>4.5933603430165304</c:v>
                </c:pt>
                <c:pt idx="2361">
                  <c:v>14.291802175718599</c:v>
                </c:pt>
                <c:pt idx="2363">
                  <c:v>13.8263636849666</c:v>
                </c:pt>
                <c:pt idx="2366">
                  <c:v>5.4526743965395603</c:v>
                </c:pt>
                <c:pt idx="2370">
                  <c:v>4.45318253185311</c:v>
                </c:pt>
                <c:pt idx="2373">
                  <c:v>0.83500470713437802</c:v>
                </c:pt>
                <c:pt idx="2374">
                  <c:v>1.6970833519898401</c:v>
                </c:pt>
                <c:pt idx="2375">
                  <c:v>3.1388298598249298</c:v>
                </c:pt>
                <c:pt idx="2376">
                  <c:v>7.2103411924068803</c:v>
                </c:pt>
                <c:pt idx="2377">
                  <c:v>1.91540810914235</c:v>
                </c:pt>
                <c:pt idx="2402">
                  <c:v>1.1634588824190499</c:v>
                </c:pt>
                <c:pt idx="2403">
                  <c:v>5.66211233080816</c:v>
                </c:pt>
                <c:pt idx="2404">
                  <c:v>2.6556412370467402</c:v>
                </c:pt>
                <c:pt idx="2414">
                  <c:v>6.7141619961110504</c:v>
                </c:pt>
                <c:pt idx="2417">
                  <c:v>1.9747570138958099</c:v>
                </c:pt>
                <c:pt idx="2425">
                  <c:v>1.01267446781214</c:v>
                </c:pt>
                <c:pt idx="2427">
                  <c:v>2.7845344823592102</c:v>
                </c:pt>
                <c:pt idx="2430">
                  <c:v>12.981314345321801</c:v>
                </c:pt>
                <c:pt idx="2433">
                  <c:v>4.1251432939333696</c:v>
                </c:pt>
                <c:pt idx="2437">
                  <c:v>13.649395446435699</c:v>
                </c:pt>
                <c:pt idx="2439">
                  <c:v>11.3431457447927</c:v>
                </c:pt>
                <c:pt idx="2442">
                  <c:v>4.3402524961536804</c:v>
                </c:pt>
                <c:pt idx="2446">
                  <c:v>3.92664912585311</c:v>
                </c:pt>
                <c:pt idx="2449">
                  <c:v>0.96924776395966195</c:v>
                </c:pt>
                <c:pt idx="2450">
                  <c:v>1.5854374633000601</c:v>
                </c:pt>
                <c:pt idx="2451">
                  <c:v>2.8258043756867299</c:v>
                </c:pt>
                <c:pt idx="2452">
                  <c:v>6.4767986929385302</c:v>
                </c:pt>
                <c:pt idx="2453">
                  <c:v>2.2215438274832202</c:v>
                </c:pt>
                <c:pt idx="2478">
                  <c:v>1.0598723595570501</c:v>
                </c:pt>
                <c:pt idx="2479">
                  <c:v>5.47480021375093</c:v>
                </c:pt>
                <c:pt idx="2480">
                  <c:v>2.1351082409644602</c:v>
                </c:pt>
                <c:pt idx="2490">
                  <c:v>6.7944156197031802</c:v>
                </c:pt>
                <c:pt idx="2493">
                  <c:v>1.83305992552936</c:v>
                </c:pt>
                <c:pt idx="2500">
                  <c:v>0.77052338931754405</c:v>
                </c:pt>
                <c:pt idx="2502">
                  <c:v>2.2884601660441999</c:v>
                </c:pt>
                <c:pt idx="2505">
                  <c:v>11.8279075373314</c:v>
                </c:pt>
                <c:pt idx="2508">
                  <c:v>3.8438389811617499</c:v>
                </c:pt>
                <c:pt idx="2513">
                  <c:v>10.131030425154499</c:v>
                </c:pt>
                <c:pt idx="2516">
                  <c:v>3.9257791416719399</c:v>
                </c:pt>
                <c:pt idx="2520">
                  <c:v>3.6300921948529901</c:v>
                </c:pt>
                <c:pt idx="2523">
                  <c:v>0.87802330515389904</c:v>
                </c:pt>
                <c:pt idx="2524">
                  <c:v>2.9819601810916501</c:v>
                </c:pt>
                <c:pt idx="2525">
                  <c:v>5.8692865499569598</c:v>
                </c:pt>
                <c:pt idx="2526">
                  <c:v>3.0256027906109799</c:v>
                </c:pt>
              </c:numCache>
            </c:numRef>
          </c:xVal>
          <c:yVal>
            <c:numRef>
              <c:f>data!$I$2:$I$2545</c:f>
              <c:numCache>
                <c:formatCode>General</c:formatCode>
                <c:ptCount val="2544"/>
                <c:pt idx="5">
                  <c:v>6.8658012074340098</c:v>
                </c:pt>
                <c:pt idx="11">
                  <c:v>11.760119233752601</c:v>
                </c:pt>
                <c:pt idx="12">
                  <c:v>10.719498403513199</c:v>
                </c:pt>
                <c:pt idx="14">
                  <c:v>10.737172300381401</c:v>
                </c:pt>
                <c:pt idx="20">
                  <c:v>15.375812987612299</c:v>
                </c:pt>
                <c:pt idx="37">
                  <c:v>7.6760249172979904</c:v>
                </c:pt>
                <c:pt idx="43">
                  <c:v>12.5668703280096</c:v>
                </c:pt>
                <c:pt idx="44">
                  <c:v>10.7167556888754</c:v>
                </c:pt>
                <c:pt idx="45">
                  <c:v>9.3870028018134501</c:v>
                </c:pt>
                <c:pt idx="47">
                  <c:v>10.7067603394839</c:v>
                </c:pt>
                <c:pt idx="53">
                  <c:v>11.5390429274618</c:v>
                </c:pt>
                <c:pt idx="71">
                  <c:v>8.7465317001032901</c:v>
                </c:pt>
                <c:pt idx="78">
                  <c:v>9.2497168006833892</c:v>
                </c:pt>
                <c:pt idx="79">
                  <c:v>12.7257256081988</c:v>
                </c:pt>
                <c:pt idx="80">
                  <c:v>11.6657496490479</c:v>
                </c:pt>
                <c:pt idx="82">
                  <c:v>11.394902739566</c:v>
                </c:pt>
                <c:pt idx="89">
                  <c:v>12.227695959060499</c:v>
                </c:pt>
                <c:pt idx="107">
                  <c:v>10.407404135873399</c:v>
                </c:pt>
                <c:pt idx="114">
                  <c:v>10.1343890032958</c:v>
                </c:pt>
                <c:pt idx="115">
                  <c:v>15.559783601324799</c:v>
                </c:pt>
                <c:pt idx="116">
                  <c:v>10.7812736666723</c:v>
                </c:pt>
                <c:pt idx="117">
                  <c:v>13.108916422633101</c:v>
                </c:pt>
                <c:pt idx="125">
                  <c:v>12.527042101315599</c:v>
                </c:pt>
                <c:pt idx="143">
                  <c:v>10.6011858535804</c:v>
                </c:pt>
                <c:pt idx="150">
                  <c:v>9.7685907710477498</c:v>
                </c:pt>
                <c:pt idx="151">
                  <c:v>14.4007059397864</c:v>
                </c:pt>
                <c:pt idx="152">
                  <c:v>14.7836536545949</c:v>
                </c:pt>
                <c:pt idx="153">
                  <c:v>13.041194011133999</c:v>
                </c:pt>
                <c:pt idx="161">
                  <c:v>11.4477581625769</c:v>
                </c:pt>
                <c:pt idx="165">
                  <c:v>9.8869093474728995</c:v>
                </c:pt>
                <c:pt idx="179">
                  <c:v>11.2281593720197</c:v>
                </c:pt>
                <c:pt idx="186">
                  <c:v>9.9448855876621405</c:v>
                </c:pt>
                <c:pt idx="187">
                  <c:v>9.9030733818614305</c:v>
                </c:pt>
                <c:pt idx="188">
                  <c:v>19.285280705154999</c:v>
                </c:pt>
                <c:pt idx="190">
                  <c:v>8.0629590565278093</c:v>
                </c:pt>
                <c:pt idx="197">
                  <c:v>12.7938096909687</c:v>
                </c:pt>
                <c:pt idx="198">
                  <c:v>5.9591802008862196</c:v>
                </c:pt>
                <c:pt idx="201">
                  <c:v>12.462455140126799</c:v>
                </c:pt>
                <c:pt idx="215">
                  <c:v>12.567275424457</c:v>
                </c:pt>
                <c:pt idx="222">
                  <c:v>11.061514534640599</c:v>
                </c:pt>
                <c:pt idx="223">
                  <c:v>11.755937852441599</c:v>
                </c:pt>
                <c:pt idx="224">
                  <c:v>13.895187288793601</c:v>
                </c:pt>
                <c:pt idx="226">
                  <c:v>5.16620975477732</c:v>
                </c:pt>
                <c:pt idx="234">
                  <c:v>13.559885384205799</c:v>
                </c:pt>
                <c:pt idx="235">
                  <c:v>6.3642160187463297</c:v>
                </c:pt>
                <c:pt idx="238">
                  <c:v>14.2147935063497</c:v>
                </c:pt>
                <c:pt idx="252">
                  <c:v>13.8582108910475</c:v>
                </c:pt>
                <c:pt idx="259">
                  <c:v>10.078391354388801</c:v>
                </c:pt>
                <c:pt idx="260">
                  <c:v>11.1788054809166</c:v>
                </c:pt>
                <c:pt idx="261">
                  <c:v>11.3887850903825</c:v>
                </c:pt>
                <c:pt idx="263">
                  <c:v>5.3597733110672801</c:v>
                </c:pt>
                <c:pt idx="270">
                  <c:v>11.580349798431699</c:v>
                </c:pt>
                <c:pt idx="271">
                  <c:v>6.5944815041734097</c:v>
                </c:pt>
                <c:pt idx="274">
                  <c:v>14.955328614470201</c:v>
                </c:pt>
                <c:pt idx="288">
                  <c:v>11.3598919533206</c:v>
                </c:pt>
                <c:pt idx="295">
                  <c:v>9.3488675734303808</c:v>
                </c:pt>
                <c:pt idx="296">
                  <c:v>11.023295713525799</c:v>
                </c:pt>
                <c:pt idx="297">
                  <c:v>11.0021485555458</c:v>
                </c:pt>
                <c:pt idx="299">
                  <c:v>4.8934133396126098</c:v>
                </c:pt>
                <c:pt idx="305">
                  <c:v>7.8680830224509304</c:v>
                </c:pt>
                <c:pt idx="308">
                  <c:v>10.3812537690476</c:v>
                </c:pt>
                <c:pt idx="309">
                  <c:v>6.47880505872548</c:v>
                </c:pt>
                <c:pt idx="312">
                  <c:v>12.5294917690956</c:v>
                </c:pt>
                <c:pt idx="326">
                  <c:v>9.9878624143198103</c:v>
                </c:pt>
                <c:pt idx="334">
                  <c:v>8.4138439979194608</c:v>
                </c:pt>
                <c:pt idx="335">
                  <c:v>10.615091865307599</c:v>
                </c:pt>
                <c:pt idx="337">
                  <c:v>5.0766625042370501</c:v>
                </c:pt>
                <c:pt idx="341">
                  <c:v>10.0845699696825</c:v>
                </c:pt>
                <c:pt idx="343">
                  <c:v>7.6744104833992504</c:v>
                </c:pt>
                <c:pt idx="346">
                  <c:v>9.3418002162339704</c:v>
                </c:pt>
                <c:pt idx="347">
                  <c:v>7.6082342650037402</c:v>
                </c:pt>
                <c:pt idx="350">
                  <c:v>12.7296044551934</c:v>
                </c:pt>
                <c:pt idx="364">
                  <c:v>11.110717474707601</c:v>
                </c:pt>
                <c:pt idx="372">
                  <c:v>9.0012686348576008</c:v>
                </c:pt>
                <c:pt idx="373">
                  <c:v>10.261469687170999</c:v>
                </c:pt>
                <c:pt idx="375">
                  <c:v>5.8763036645011404</c:v>
                </c:pt>
                <c:pt idx="379">
                  <c:v>12.234108390062801</c:v>
                </c:pt>
                <c:pt idx="381">
                  <c:v>6.7825413464934696</c:v>
                </c:pt>
                <c:pt idx="384">
                  <c:v>8.6747757108996701</c:v>
                </c:pt>
                <c:pt idx="385">
                  <c:v>8.0732866008895208</c:v>
                </c:pt>
                <c:pt idx="388">
                  <c:v>10.2403129357405</c:v>
                </c:pt>
                <c:pt idx="401">
                  <c:v>11.0191784895251</c:v>
                </c:pt>
                <c:pt idx="409">
                  <c:v>9.5430432767937194</c:v>
                </c:pt>
                <c:pt idx="410">
                  <c:v>10.858913316769399</c:v>
                </c:pt>
                <c:pt idx="412">
                  <c:v>6.0889320611627804</c:v>
                </c:pt>
                <c:pt idx="416">
                  <c:v>13.2018332280685</c:v>
                </c:pt>
                <c:pt idx="418">
                  <c:v>7.2156850686878702</c:v>
                </c:pt>
                <c:pt idx="421">
                  <c:v>9.6369020464244901</c:v>
                </c:pt>
                <c:pt idx="422">
                  <c:v>6.9428919315217099</c:v>
                </c:pt>
                <c:pt idx="425">
                  <c:v>10.126094037704201</c:v>
                </c:pt>
                <c:pt idx="439">
                  <c:v>8.2163329299511894</c:v>
                </c:pt>
                <c:pt idx="447">
                  <c:v>9.5150830999887592</c:v>
                </c:pt>
                <c:pt idx="448">
                  <c:v>9.1839455187636005</c:v>
                </c:pt>
                <c:pt idx="450">
                  <c:v>7.1259978564796604</c:v>
                </c:pt>
                <c:pt idx="454">
                  <c:v>12.344643537933701</c:v>
                </c:pt>
                <c:pt idx="456">
                  <c:v>7.3648020939994199</c:v>
                </c:pt>
                <c:pt idx="457">
                  <c:v>7.4099765883387603</c:v>
                </c:pt>
                <c:pt idx="460">
                  <c:v>12.409543764423001</c:v>
                </c:pt>
                <c:pt idx="461">
                  <c:v>6.0514265178162097</c:v>
                </c:pt>
                <c:pt idx="464">
                  <c:v>10.988399556036001</c:v>
                </c:pt>
                <c:pt idx="478">
                  <c:v>9.4082006306090502</c:v>
                </c:pt>
                <c:pt idx="486">
                  <c:v>9.78806824997001</c:v>
                </c:pt>
                <c:pt idx="487">
                  <c:v>9.9809717437869807</c:v>
                </c:pt>
                <c:pt idx="489">
                  <c:v>7.2083143107447798</c:v>
                </c:pt>
                <c:pt idx="493">
                  <c:v>12.4521346516546</c:v>
                </c:pt>
                <c:pt idx="495">
                  <c:v>7.6146618411886999</c:v>
                </c:pt>
                <c:pt idx="496">
                  <c:v>6.99305747734957</c:v>
                </c:pt>
                <c:pt idx="499">
                  <c:v>8.2705319786071598</c:v>
                </c:pt>
                <c:pt idx="517">
                  <c:v>11.4464205241517</c:v>
                </c:pt>
                <c:pt idx="525">
                  <c:v>9.26222931890225</c:v>
                </c:pt>
                <c:pt idx="526">
                  <c:v>9.4955934552016394</c:v>
                </c:pt>
                <c:pt idx="527">
                  <c:v>12.455840537668401</c:v>
                </c:pt>
                <c:pt idx="529">
                  <c:v>8.48783180027554</c:v>
                </c:pt>
                <c:pt idx="533">
                  <c:v>12.670317926796701</c:v>
                </c:pt>
                <c:pt idx="535">
                  <c:v>7.5707828220612097</c:v>
                </c:pt>
                <c:pt idx="536">
                  <c:v>7.4748332740274801</c:v>
                </c:pt>
                <c:pt idx="539">
                  <c:v>8.8799561483647</c:v>
                </c:pt>
                <c:pt idx="557">
                  <c:v>10.455923676188499</c:v>
                </c:pt>
                <c:pt idx="565">
                  <c:v>9.5775780436986704</c:v>
                </c:pt>
                <c:pt idx="566">
                  <c:v>9.1718770237969096</c:v>
                </c:pt>
                <c:pt idx="567">
                  <c:v>13.4728860547955</c:v>
                </c:pt>
                <c:pt idx="569">
                  <c:v>9.8727238527953904</c:v>
                </c:pt>
                <c:pt idx="573">
                  <c:v>13.946373942774899</c:v>
                </c:pt>
                <c:pt idx="575">
                  <c:v>7.3858071781242201</c:v>
                </c:pt>
                <c:pt idx="576">
                  <c:v>7.4855385674042498</c:v>
                </c:pt>
                <c:pt idx="579">
                  <c:v>10.449501429106</c:v>
                </c:pt>
                <c:pt idx="607">
                  <c:v>12.212350613971401</c:v>
                </c:pt>
                <c:pt idx="613">
                  <c:v>12.645684486702701</c:v>
                </c:pt>
                <c:pt idx="615">
                  <c:v>7.3903058140940399</c:v>
                </c:pt>
                <c:pt idx="616">
                  <c:v>7.2301902146271999</c:v>
                </c:pt>
                <c:pt idx="619">
                  <c:v>10.960718966233699</c:v>
                </c:pt>
                <c:pt idx="624">
                  <c:v>4.2398317856530499</c:v>
                </c:pt>
                <c:pt idx="647">
                  <c:v>12.013732341142299</c:v>
                </c:pt>
                <c:pt idx="654">
                  <c:v>7.5171148101670999</c:v>
                </c:pt>
                <c:pt idx="662">
                  <c:v>3.9317723410749599</c:v>
                </c:pt>
                <c:pt idx="672">
                  <c:v>8.8160386749346191</c:v>
                </c:pt>
                <c:pt idx="673">
                  <c:v>8.5857493568779208</c:v>
                </c:pt>
                <c:pt idx="691">
                  <c:v>12.6449760422844</c:v>
                </c:pt>
                <c:pt idx="696">
                  <c:v>10.0677868681432</c:v>
                </c:pt>
                <c:pt idx="699">
                  <c:v>7.5974128780191297</c:v>
                </c:pt>
                <c:pt idx="707">
                  <c:v>12.135905226493101</c:v>
                </c:pt>
                <c:pt idx="709">
                  <c:v>4.0706256534247904</c:v>
                </c:pt>
                <c:pt idx="711">
                  <c:v>7.0204257556508898</c:v>
                </c:pt>
                <c:pt idx="715">
                  <c:v>10.0741668010106</c:v>
                </c:pt>
                <c:pt idx="716">
                  <c:v>5.8158201090619404</c:v>
                </c:pt>
                <c:pt idx="719">
                  <c:v>9.1730293784558992</c:v>
                </c:pt>
                <c:pt idx="720">
                  <c:v>8.6499420455118106</c:v>
                </c:pt>
                <c:pt idx="724">
                  <c:v>8.0442109481488995</c:v>
                </c:pt>
                <c:pt idx="731">
                  <c:v>6.8908825888973002</c:v>
                </c:pt>
                <c:pt idx="738">
                  <c:v>10.0506589247058</c:v>
                </c:pt>
                <c:pt idx="740">
                  <c:v>5.69112569826369</c:v>
                </c:pt>
                <c:pt idx="744">
                  <c:v>7.7170685247114097</c:v>
                </c:pt>
                <c:pt idx="747">
                  <c:v>7.4534600050756001</c:v>
                </c:pt>
                <c:pt idx="755">
                  <c:v>16.3245977250448</c:v>
                </c:pt>
                <c:pt idx="757">
                  <c:v>4.0495478054158696</c:v>
                </c:pt>
                <c:pt idx="759">
                  <c:v>6.6414338933313699</c:v>
                </c:pt>
                <c:pt idx="763">
                  <c:v>10.098359623020499</c:v>
                </c:pt>
                <c:pt idx="764">
                  <c:v>4.9604810018073504</c:v>
                </c:pt>
                <c:pt idx="768">
                  <c:v>8.7640478427595507</c:v>
                </c:pt>
                <c:pt idx="769">
                  <c:v>8.6066277738047496</c:v>
                </c:pt>
                <c:pt idx="773">
                  <c:v>8.2666962524818093</c:v>
                </c:pt>
                <c:pt idx="779">
                  <c:v>8.1921026128970507</c:v>
                </c:pt>
                <c:pt idx="786">
                  <c:v>12.247857942091599</c:v>
                </c:pt>
                <c:pt idx="792">
                  <c:v>7.7906822085049701</c:v>
                </c:pt>
                <c:pt idx="795">
                  <c:v>7.5284864828845901</c:v>
                </c:pt>
                <c:pt idx="804">
                  <c:v>7.7137381648666699</c:v>
                </c:pt>
                <c:pt idx="806">
                  <c:v>4.6802901000181398</c:v>
                </c:pt>
                <c:pt idx="808">
                  <c:v>5.6486834399916699</c:v>
                </c:pt>
                <c:pt idx="812">
                  <c:v>9.9868199364003001</c:v>
                </c:pt>
                <c:pt idx="813">
                  <c:v>4.5436911465619598</c:v>
                </c:pt>
                <c:pt idx="817">
                  <c:v>8.9169573320520801</c:v>
                </c:pt>
                <c:pt idx="818">
                  <c:v>8.8335952139643794</c:v>
                </c:pt>
                <c:pt idx="822">
                  <c:v>8.8432395843279199</c:v>
                </c:pt>
                <c:pt idx="829">
                  <c:v>7.9638898820164501</c:v>
                </c:pt>
                <c:pt idx="836">
                  <c:v>15.2248012818389</c:v>
                </c:pt>
                <c:pt idx="838">
                  <c:v>5.6659073199629404</c:v>
                </c:pt>
                <c:pt idx="843">
                  <c:v>8.4404522154454007</c:v>
                </c:pt>
                <c:pt idx="846">
                  <c:v>7.4431307181233004</c:v>
                </c:pt>
                <c:pt idx="855">
                  <c:v>6.6091659626735302</c:v>
                </c:pt>
                <c:pt idx="857">
                  <c:v>4.8541795800087604</c:v>
                </c:pt>
                <c:pt idx="859">
                  <c:v>5.5530822787828402</c:v>
                </c:pt>
                <c:pt idx="863">
                  <c:v>10.1499648441227</c:v>
                </c:pt>
                <c:pt idx="864">
                  <c:v>4.8472350478435002</c:v>
                </c:pt>
                <c:pt idx="869">
                  <c:v>8.7361266134357507</c:v>
                </c:pt>
                <c:pt idx="870">
                  <c:v>9.3851435458607995</c:v>
                </c:pt>
                <c:pt idx="874">
                  <c:v>8.1236497601959297</c:v>
                </c:pt>
                <c:pt idx="881">
                  <c:v>7.9320761625778102</c:v>
                </c:pt>
                <c:pt idx="888">
                  <c:v>13.019343957800601</c:v>
                </c:pt>
                <c:pt idx="890">
                  <c:v>6.5753816083253902</c:v>
                </c:pt>
                <c:pt idx="891">
                  <c:v>5.5981705750777904</c:v>
                </c:pt>
                <c:pt idx="896">
                  <c:v>10.0604987816345</c:v>
                </c:pt>
                <c:pt idx="899">
                  <c:v>7.4881042954652699</c:v>
                </c:pt>
                <c:pt idx="900">
                  <c:v>6.8032576758494203</c:v>
                </c:pt>
                <c:pt idx="909">
                  <c:v>8.3561734883526295</c:v>
                </c:pt>
                <c:pt idx="911">
                  <c:v>4.32775697325921</c:v>
                </c:pt>
                <c:pt idx="913">
                  <c:v>5.46599050012391</c:v>
                </c:pt>
                <c:pt idx="914">
                  <c:v>6.3279557362474197</c:v>
                </c:pt>
                <c:pt idx="918">
                  <c:v>10.358541824636401</c:v>
                </c:pt>
                <c:pt idx="919">
                  <c:v>4.8402678759582196</c:v>
                </c:pt>
                <c:pt idx="925">
                  <c:v>9.8230506987049804</c:v>
                </c:pt>
                <c:pt idx="928">
                  <c:v>9.6441986112923406</c:v>
                </c:pt>
                <c:pt idx="935">
                  <c:v>9.9132921208927307</c:v>
                </c:pt>
                <c:pt idx="937">
                  <c:v>8.7083541551117207</c:v>
                </c:pt>
                <c:pt idx="946">
                  <c:v>6.7970248603934502</c:v>
                </c:pt>
                <c:pt idx="951">
                  <c:v>8.5710951139836205</c:v>
                </c:pt>
                <c:pt idx="954">
                  <c:v>7.3279428207412298</c:v>
                </c:pt>
                <c:pt idx="955">
                  <c:v>7.2307301324347497</c:v>
                </c:pt>
                <c:pt idx="961">
                  <c:v>9.5737524325900196</c:v>
                </c:pt>
                <c:pt idx="963">
                  <c:v>4.1732360839575202</c:v>
                </c:pt>
                <c:pt idx="965">
                  <c:v>5.1998366751897596</c:v>
                </c:pt>
                <c:pt idx="966">
                  <c:v>6.9999424110044304</c:v>
                </c:pt>
                <c:pt idx="970">
                  <c:v>10.460788318927801</c:v>
                </c:pt>
                <c:pt idx="971">
                  <c:v>4.7199566384472398</c:v>
                </c:pt>
                <c:pt idx="977">
                  <c:v>10.063749578207799</c:v>
                </c:pt>
                <c:pt idx="980">
                  <c:v>10.7497834201295</c:v>
                </c:pt>
                <c:pt idx="987">
                  <c:v>10.345084598839801</c:v>
                </c:pt>
                <c:pt idx="989">
                  <c:v>8.9181271198009107</c:v>
                </c:pt>
                <c:pt idx="998">
                  <c:v>6.82222726113205</c:v>
                </c:pt>
                <c:pt idx="1006">
                  <c:v>7.00440418375881</c:v>
                </c:pt>
                <c:pt idx="1007">
                  <c:v>7.42355727820844</c:v>
                </c:pt>
                <c:pt idx="1015">
                  <c:v>4.1217650455988499</c:v>
                </c:pt>
                <c:pt idx="1017">
                  <c:v>4.7049585429760201</c:v>
                </c:pt>
                <c:pt idx="1018">
                  <c:v>6.2773086971337699</c:v>
                </c:pt>
                <c:pt idx="1022">
                  <c:v>10.330727447336701</c:v>
                </c:pt>
                <c:pt idx="1023">
                  <c:v>5.2637806874767596</c:v>
                </c:pt>
                <c:pt idx="1032">
                  <c:v>10.9396307026015</c:v>
                </c:pt>
                <c:pt idx="1039">
                  <c:v>10.4508657454332</c:v>
                </c:pt>
                <c:pt idx="1042">
                  <c:v>9.1198138813493603</c:v>
                </c:pt>
                <c:pt idx="1052">
                  <c:v>6.6825228915824999</c:v>
                </c:pt>
                <c:pt idx="1057">
                  <c:v>9.9716698778383996</c:v>
                </c:pt>
                <c:pt idx="1059">
                  <c:v>6.7470646328097699</c:v>
                </c:pt>
                <c:pt idx="1062">
                  <c:v>7.16061160623343</c:v>
                </c:pt>
                <c:pt idx="1063">
                  <c:v>7.3986666896349798</c:v>
                </c:pt>
                <c:pt idx="1071">
                  <c:v>4.1045630012781098</c:v>
                </c:pt>
                <c:pt idx="1074">
                  <c:v>5.1531344375153401</c:v>
                </c:pt>
                <c:pt idx="1075">
                  <c:v>6.4246466978812604</c:v>
                </c:pt>
                <c:pt idx="1079">
                  <c:v>10.4408256490036</c:v>
                </c:pt>
                <c:pt idx="1080">
                  <c:v>5.3315624916011899</c:v>
                </c:pt>
                <c:pt idx="1090">
                  <c:v>10.502252486340399</c:v>
                </c:pt>
                <c:pt idx="1097">
                  <c:v>11.177069297207201</c:v>
                </c:pt>
                <c:pt idx="1100">
                  <c:v>9.6638192339487503</c:v>
                </c:pt>
                <c:pt idx="1110">
                  <c:v>6.7865373186089402</c:v>
                </c:pt>
                <c:pt idx="1116">
                  <c:v>10.556259528978799</c:v>
                </c:pt>
                <c:pt idx="1118">
                  <c:v>7.1704464782395299</c:v>
                </c:pt>
                <c:pt idx="1121">
                  <c:v>6.9932701783229403</c:v>
                </c:pt>
                <c:pt idx="1122">
                  <c:v>7.3313980962667902</c:v>
                </c:pt>
                <c:pt idx="1130">
                  <c:v>4.0041270812654401</c:v>
                </c:pt>
                <c:pt idx="1133">
                  <c:v>4.8457332669684803</c:v>
                </c:pt>
                <c:pt idx="1134">
                  <c:v>6.5565773854193701</c:v>
                </c:pt>
                <c:pt idx="1137">
                  <c:v>10.2427687345198</c:v>
                </c:pt>
                <c:pt idx="1138">
                  <c:v>5.3664491772333696</c:v>
                </c:pt>
                <c:pt idx="1148">
                  <c:v>10.307334124742299</c:v>
                </c:pt>
                <c:pt idx="1155">
                  <c:v>11.6581739439529</c:v>
                </c:pt>
                <c:pt idx="1158">
                  <c:v>9.5795304530124099</c:v>
                </c:pt>
                <c:pt idx="1167">
                  <c:v>6.60440583069835</c:v>
                </c:pt>
                <c:pt idx="1173">
                  <c:v>7.5401531021881603</c:v>
                </c:pt>
                <c:pt idx="1175">
                  <c:v>7.3965598987082197</c:v>
                </c:pt>
                <c:pt idx="1178">
                  <c:v>6.5021679584441401</c:v>
                </c:pt>
                <c:pt idx="1179">
                  <c:v>6.4556379014361696</c:v>
                </c:pt>
                <c:pt idx="1180">
                  <c:v>12.855083778752</c:v>
                </c:pt>
                <c:pt idx="1188">
                  <c:v>3.96004029253693</c:v>
                </c:pt>
                <c:pt idx="1191">
                  <c:v>4.4821030812792397</c:v>
                </c:pt>
                <c:pt idx="1192">
                  <c:v>6.0010521449409397</c:v>
                </c:pt>
                <c:pt idx="1195">
                  <c:v>10.203744089210099</c:v>
                </c:pt>
                <c:pt idx="1196">
                  <c:v>6.0576143228554704</c:v>
                </c:pt>
                <c:pt idx="1205">
                  <c:v>8.1979999649805499</c:v>
                </c:pt>
                <c:pt idx="1212">
                  <c:v>8.1899175474517207</c:v>
                </c:pt>
                <c:pt idx="1214">
                  <c:v>9.0780481434727704</c:v>
                </c:pt>
                <c:pt idx="1222">
                  <c:v>7.1729826955281304</c:v>
                </c:pt>
                <c:pt idx="1228">
                  <c:v>7.3994483459185503</c:v>
                </c:pt>
                <c:pt idx="1231">
                  <c:v>4.7691507709338596</c:v>
                </c:pt>
                <c:pt idx="1232">
                  <c:v>5.9946854858343697</c:v>
                </c:pt>
                <c:pt idx="1233">
                  <c:v>7.6096295561944398</c:v>
                </c:pt>
                <c:pt idx="1234">
                  <c:v>13.859910581222101</c:v>
                </c:pt>
                <c:pt idx="1242">
                  <c:v>4.1166283139172499</c:v>
                </c:pt>
                <c:pt idx="1244">
                  <c:v>5.7468215998949299</c:v>
                </c:pt>
                <c:pt idx="1245">
                  <c:v>6.4443505983678699</c:v>
                </c:pt>
                <c:pt idx="1248">
                  <c:v>10.0550277987338</c:v>
                </c:pt>
                <c:pt idx="1249">
                  <c:v>7.3736273472557397</c:v>
                </c:pt>
                <c:pt idx="1259">
                  <c:v>8.2442324018324893</c:v>
                </c:pt>
                <c:pt idx="1267">
                  <c:v>8.2475421817410197</c:v>
                </c:pt>
                <c:pt idx="1269">
                  <c:v>8.9013347066649509</c:v>
                </c:pt>
                <c:pt idx="1278">
                  <c:v>6.2240514322366396</c:v>
                </c:pt>
                <c:pt idx="1283">
                  <c:v>6.8035066791360004</c:v>
                </c:pt>
                <c:pt idx="1286">
                  <c:v>10.0916521624182</c:v>
                </c:pt>
                <c:pt idx="1287">
                  <c:v>5.0907398202054104</c:v>
                </c:pt>
                <c:pt idx="1288">
                  <c:v>5.94258686786136</c:v>
                </c:pt>
                <c:pt idx="1289">
                  <c:v>7.6086508753861999</c:v>
                </c:pt>
                <c:pt idx="1290">
                  <c:v>16.455807802512702</c:v>
                </c:pt>
                <c:pt idx="1298">
                  <c:v>4.2002404264742399</c:v>
                </c:pt>
                <c:pt idx="1300">
                  <c:v>5.5174180229153302</c:v>
                </c:pt>
                <c:pt idx="1301">
                  <c:v>6.9949144577877798</c:v>
                </c:pt>
                <c:pt idx="1305">
                  <c:v>10.263771000863599</c:v>
                </c:pt>
                <c:pt idx="1306">
                  <c:v>6.0681285799492803</c:v>
                </c:pt>
                <c:pt idx="1313">
                  <c:v>7.9427969521438699</c:v>
                </c:pt>
                <c:pt idx="1316">
                  <c:v>7.4943878117654803</c:v>
                </c:pt>
                <c:pt idx="1324">
                  <c:v>9.2288071764376607</c:v>
                </c:pt>
                <c:pt idx="1326">
                  <c:v>9.1184879288437095</c:v>
                </c:pt>
                <c:pt idx="1336">
                  <c:v>5.9378414980401297</c:v>
                </c:pt>
                <c:pt idx="1342">
                  <c:v>6.5305555726178097</c:v>
                </c:pt>
                <c:pt idx="1344">
                  <c:v>10.516623936841199</c:v>
                </c:pt>
                <c:pt idx="1345">
                  <c:v>4.8338159240229404</c:v>
                </c:pt>
                <c:pt idx="1346">
                  <c:v>5.8936551971729303</c:v>
                </c:pt>
                <c:pt idx="1347">
                  <c:v>8.1315115148886292</c:v>
                </c:pt>
                <c:pt idx="1348">
                  <c:v>18.187732677919499</c:v>
                </c:pt>
                <c:pt idx="1357">
                  <c:v>4.4070374941014601</c:v>
                </c:pt>
                <c:pt idx="1359">
                  <c:v>6.2863096086839398</c:v>
                </c:pt>
                <c:pt idx="1360">
                  <c:v>7.5485958632987504</c:v>
                </c:pt>
                <c:pt idx="1364">
                  <c:v>10.3371023344192</c:v>
                </c:pt>
                <c:pt idx="1365">
                  <c:v>6.0461035712989597</c:v>
                </c:pt>
                <c:pt idx="1372">
                  <c:v>7.8879573049325504</c:v>
                </c:pt>
                <c:pt idx="1376">
                  <c:v>10.056694533116801</c:v>
                </c:pt>
                <c:pt idx="1384">
                  <c:v>9.4377633588993994</c:v>
                </c:pt>
                <c:pt idx="1386">
                  <c:v>9.0591671864778096</c:v>
                </c:pt>
                <c:pt idx="1396">
                  <c:v>5.2102550123879796</c:v>
                </c:pt>
                <c:pt idx="1401">
                  <c:v>8.2400291080213108</c:v>
                </c:pt>
                <c:pt idx="1403">
                  <c:v>7.5377452141695898</c:v>
                </c:pt>
                <c:pt idx="1405">
                  <c:v>10.491381199328</c:v>
                </c:pt>
                <c:pt idx="1406">
                  <c:v>4.8903539523719202</c:v>
                </c:pt>
                <c:pt idx="1407">
                  <c:v>6.1194584848800497</c:v>
                </c:pt>
                <c:pt idx="1408">
                  <c:v>8.3593487156616497</c:v>
                </c:pt>
                <c:pt idx="1409">
                  <c:v>16.566756661938101</c:v>
                </c:pt>
                <c:pt idx="1418">
                  <c:v>4.38556140603741</c:v>
                </c:pt>
                <c:pt idx="1420">
                  <c:v>6.4999521878152704</c:v>
                </c:pt>
                <c:pt idx="1421">
                  <c:v>7.6949455259867801</c:v>
                </c:pt>
                <c:pt idx="1426">
                  <c:v>10.1060648001567</c:v>
                </c:pt>
                <c:pt idx="1427">
                  <c:v>6.7059958023710902</c:v>
                </c:pt>
                <c:pt idx="1434">
                  <c:v>7.28444935254144</c:v>
                </c:pt>
                <c:pt idx="1437">
                  <c:v>9.6740870686329892</c:v>
                </c:pt>
                <c:pt idx="1445">
                  <c:v>9.0909241971558608</c:v>
                </c:pt>
                <c:pt idx="1447">
                  <c:v>9.2919562916559393</c:v>
                </c:pt>
                <c:pt idx="1457">
                  <c:v>4.9376856621651397</c:v>
                </c:pt>
                <c:pt idx="1459">
                  <c:v>5.7850718395749103</c:v>
                </c:pt>
                <c:pt idx="1463">
                  <c:v>5.2756765709970601</c:v>
                </c:pt>
                <c:pt idx="1464">
                  <c:v>8.5397250941247496</c:v>
                </c:pt>
                <c:pt idx="1466">
                  <c:v>10.992270869059899</c:v>
                </c:pt>
                <c:pt idx="1467">
                  <c:v>4.8794563095844801</c:v>
                </c:pt>
                <c:pt idx="1468">
                  <c:v>6.5947764733783902</c:v>
                </c:pt>
                <c:pt idx="1470">
                  <c:v>14.1485848328652</c:v>
                </c:pt>
                <c:pt idx="1479">
                  <c:v>4.6550449652786998</c:v>
                </c:pt>
                <c:pt idx="1481">
                  <c:v>6.2434711174933399</c:v>
                </c:pt>
                <c:pt idx="1482">
                  <c:v>8.2111771601672299</c:v>
                </c:pt>
                <c:pt idx="1485">
                  <c:v>9.6699400200366004</c:v>
                </c:pt>
                <c:pt idx="1486">
                  <c:v>6.9501054207182804</c:v>
                </c:pt>
                <c:pt idx="1492">
                  <c:v>8.5221396804154992</c:v>
                </c:pt>
                <c:pt idx="1494">
                  <c:v>7.5918778014537098</c:v>
                </c:pt>
                <c:pt idx="1497">
                  <c:v>6.71404116192672</c:v>
                </c:pt>
                <c:pt idx="1505">
                  <c:v>8.0437498924862307</c:v>
                </c:pt>
                <c:pt idx="1507">
                  <c:v>9.0911532560489601</c:v>
                </c:pt>
                <c:pt idx="1515">
                  <c:v>4.5823893671650797</c:v>
                </c:pt>
                <c:pt idx="1517">
                  <c:v>6.3660934379098704</c:v>
                </c:pt>
                <c:pt idx="1521">
                  <c:v>6.6742222912590599</c:v>
                </c:pt>
                <c:pt idx="1522">
                  <c:v>10.8815563501739</c:v>
                </c:pt>
                <c:pt idx="1524">
                  <c:v>9.4886704185445492</c:v>
                </c:pt>
                <c:pt idx="1525">
                  <c:v>4.8295052586898102</c:v>
                </c:pt>
                <c:pt idx="1526">
                  <c:v>4.9822586954233996</c:v>
                </c:pt>
                <c:pt idx="1530">
                  <c:v>12.055112937728399</c:v>
                </c:pt>
                <c:pt idx="1539">
                  <c:v>4.7009154423935202</c:v>
                </c:pt>
                <c:pt idx="1541">
                  <c:v>6.15839410199413</c:v>
                </c:pt>
                <c:pt idx="1542">
                  <c:v>9.5789853869957007</c:v>
                </c:pt>
                <c:pt idx="1545">
                  <c:v>9.3575394051451095</c:v>
                </c:pt>
                <c:pt idx="1546">
                  <c:v>6.6606866956181596</c:v>
                </c:pt>
                <c:pt idx="1552">
                  <c:v>8.6480937577902299</c:v>
                </c:pt>
                <c:pt idx="1554">
                  <c:v>7.7912026418871498</c:v>
                </c:pt>
                <c:pt idx="1557">
                  <c:v>7.0765726127243997</c:v>
                </c:pt>
                <c:pt idx="1565">
                  <c:v>7.6491490014294197</c:v>
                </c:pt>
                <c:pt idx="1567">
                  <c:v>8.7772944290157202</c:v>
                </c:pt>
                <c:pt idx="1575">
                  <c:v>4.8066637292343701</c:v>
                </c:pt>
                <c:pt idx="1577">
                  <c:v>6.39971897692923</c:v>
                </c:pt>
                <c:pt idx="1581">
                  <c:v>6.3992830230297697</c:v>
                </c:pt>
                <c:pt idx="1583">
                  <c:v>12.964063432779099</c:v>
                </c:pt>
                <c:pt idx="1585">
                  <c:v>6.9828966214508403</c:v>
                </c:pt>
                <c:pt idx="1586">
                  <c:v>4.8992573221305902</c:v>
                </c:pt>
                <c:pt idx="1587">
                  <c:v>4.7293709477477304</c:v>
                </c:pt>
                <c:pt idx="1591">
                  <c:v>13.402441759861601</c:v>
                </c:pt>
                <c:pt idx="1600">
                  <c:v>4.2980884936324699</c:v>
                </c:pt>
                <c:pt idx="1602">
                  <c:v>5.9524440036207498</c:v>
                </c:pt>
                <c:pt idx="1603">
                  <c:v>8.9139822758573199</c:v>
                </c:pt>
                <c:pt idx="1606">
                  <c:v>9.1857585143487093</c:v>
                </c:pt>
                <c:pt idx="1607">
                  <c:v>6.3505181773318</c:v>
                </c:pt>
                <c:pt idx="1613">
                  <c:v>8.7678618866244697</c:v>
                </c:pt>
                <c:pt idx="1615">
                  <c:v>7.3359659662401997</c:v>
                </c:pt>
                <c:pt idx="1618">
                  <c:v>8.7196000551302504</c:v>
                </c:pt>
                <c:pt idx="1623">
                  <c:v>10.1757474825018</c:v>
                </c:pt>
                <c:pt idx="1626">
                  <c:v>7.7392574809970904</c:v>
                </c:pt>
                <c:pt idx="1628">
                  <c:v>8.7427280725945202</c:v>
                </c:pt>
                <c:pt idx="1635">
                  <c:v>4.7191699759091197</c:v>
                </c:pt>
                <c:pt idx="1637">
                  <c:v>6.6832310057053501</c:v>
                </c:pt>
                <c:pt idx="1641">
                  <c:v>6.3025341620275901</c:v>
                </c:pt>
                <c:pt idx="1643">
                  <c:v>6.8442106998921703</c:v>
                </c:pt>
                <c:pt idx="1645">
                  <c:v>4.4849371787549996</c:v>
                </c:pt>
                <c:pt idx="1646">
                  <c:v>4.9580363520969399</c:v>
                </c:pt>
                <c:pt idx="1647">
                  <c:v>4.4978779291325299</c:v>
                </c:pt>
                <c:pt idx="1652">
                  <c:v>16.322264097276499</c:v>
                </c:pt>
                <c:pt idx="1653">
                  <c:v>4.9033041636822299</c:v>
                </c:pt>
                <c:pt idx="1662">
                  <c:v>4.5898300213371499</c:v>
                </c:pt>
                <c:pt idx="1664">
                  <c:v>5.7378896548039</c:v>
                </c:pt>
                <c:pt idx="1665">
                  <c:v>8.0495640839166693</c:v>
                </c:pt>
                <c:pt idx="1668">
                  <c:v>8.9821063716061609</c:v>
                </c:pt>
                <c:pt idx="1669">
                  <c:v>5.9061344657266197</c:v>
                </c:pt>
                <c:pt idx="1675">
                  <c:v>8.8484268693105701</c:v>
                </c:pt>
                <c:pt idx="1677">
                  <c:v>7.8295863459801103</c:v>
                </c:pt>
                <c:pt idx="1681">
                  <c:v>9.0335285969392007</c:v>
                </c:pt>
                <c:pt idx="1686">
                  <c:v>6.94786194526512</c:v>
                </c:pt>
                <c:pt idx="1689">
                  <c:v>8.1328779231661397</c:v>
                </c:pt>
                <c:pt idx="1691">
                  <c:v>8.2175661098944204</c:v>
                </c:pt>
                <c:pt idx="1699">
                  <c:v>4.5563348098358496</c:v>
                </c:pt>
                <c:pt idx="1701">
                  <c:v>7.2746530281594204</c:v>
                </c:pt>
                <c:pt idx="1706">
                  <c:v>5.58434541513033</c:v>
                </c:pt>
                <c:pt idx="1707">
                  <c:v>0</c:v>
                </c:pt>
                <c:pt idx="1708">
                  <c:v>9.9862743174601505</c:v>
                </c:pt>
                <c:pt idx="1710">
                  <c:v>4.5627269664183299</c:v>
                </c:pt>
                <c:pt idx="1711">
                  <c:v>5.2492174170509003</c:v>
                </c:pt>
                <c:pt idx="1712">
                  <c:v>4.4110117094659502</c:v>
                </c:pt>
                <c:pt idx="1717">
                  <c:v>14.159888801728499</c:v>
                </c:pt>
                <c:pt idx="1718">
                  <c:v>5.3338946376642697</c:v>
                </c:pt>
                <c:pt idx="1727">
                  <c:v>4.64471121995369</c:v>
                </c:pt>
                <c:pt idx="1730">
                  <c:v>5.8915049524765299</c:v>
                </c:pt>
                <c:pt idx="1731">
                  <c:v>7.8331828162177501</c:v>
                </c:pt>
                <c:pt idx="1734">
                  <c:v>8.6216052362180893</c:v>
                </c:pt>
                <c:pt idx="1735">
                  <c:v>5.8435562421985301</c:v>
                </c:pt>
                <c:pt idx="1741">
                  <c:v>9.0202175479420497</c:v>
                </c:pt>
                <c:pt idx="1743">
                  <c:v>8.0144219829724097</c:v>
                </c:pt>
                <c:pt idx="1752">
                  <c:v>5.2304164296139799</c:v>
                </c:pt>
                <c:pt idx="1755">
                  <c:v>8.4536772212134395</c:v>
                </c:pt>
                <c:pt idx="1757">
                  <c:v>7.8244764674345699</c:v>
                </c:pt>
                <c:pt idx="1765">
                  <c:v>4.43635964922513</c:v>
                </c:pt>
                <c:pt idx="1767">
                  <c:v>6.7855394170476799</c:v>
                </c:pt>
                <c:pt idx="1772">
                  <c:v>6.76093977250006</c:v>
                </c:pt>
                <c:pt idx="1773">
                  <c:v>0</c:v>
                </c:pt>
                <c:pt idx="1774">
                  <c:v>12.771950077928301</c:v>
                </c:pt>
                <c:pt idx="1776">
                  <c:v>7.5792997183996604</c:v>
                </c:pt>
                <c:pt idx="1777">
                  <c:v>5.3551613939481602</c:v>
                </c:pt>
                <c:pt idx="1778">
                  <c:v>4.0557606877327803</c:v>
                </c:pt>
                <c:pt idx="1783">
                  <c:v>13.7073873017131</c:v>
                </c:pt>
                <c:pt idx="1784">
                  <c:v>5.2491626491050596</c:v>
                </c:pt>
                <c:pt idx="1793">
                  <c:v>4.5561510621943597</c:v>
                </c:pt>
                <c:pt idx="1796">
                  <c:v>5.6425671128144703</c:v>
                </c:pt>
                <c:pt idx="1797">
                  <c:v>7.5130373868147302</c:v>
                </c:pt>
                <c:pt idx="1800">
                  <c:v>8.4188735660140708</c:v>
                </c:pt>
                <c:pt idx="1801">
                  <c:v>6.3440974060349404</c:v>
                </c:pt>
                <c:pt idx="1808">
                  <c:v>9.0461529723554008</c:v>
                </c:pt>
                <c:pt idx="1810">
                  <c:v>7.7329031086757398</c:v>
                </c:pt>
                <c:pt idx="1812">
                  <c:v>4.8316221251284404</c:v>
                </c:pt>
                <c:pt idx="1819">
                  <c:v>4.3979098190918497</c:v>
                </c:pt>
                <c:pt idx="1822">
                  <c:v>8.2094115504208798</c:v>
                </c:pt>
                <c:pt idx="1824">
                  <c:v>7.5457911145752101</c:v>
                </c:pt>
                <c:pt idx="1833">
                  <c:v>4.7851729557762699</c:v>
                </c:pt>
                <c:pt idx="1835">
                  <c:v>7.6217016073224499</c:v>
                </c:pt>
                <c:pt idx="1840">
                  <c:v>9.3204045754954095</c:v>
                </c:pt>
                <c:pt idx="1841">
                  <c:v>0</c:v>
                </c:pt>
                <c:pt idx="1842">
                  <c:v>13.713177536347899</c:v>
                </c:pt>
                <c:pt idx="1844">
                  <c:v>7.8898490763293401</c:v>
                </c:pt>
                <c:pt idx="1846">
                  <c:v>4.19710566965807</c:v>
                </c:pt>
                <c:pt idx="1850">
                  <c:v>6.2079281974569902</c:v>
                </c:pt>
                <c:pt idx="1852">
                  <c:v>13.1779998773683</c:v>
                </c:pt>
                <c:pt idx="1854">
                  <c:v>5.90433108345084</c:v>
                </c:pt>
                <c:pt idx="1863">
                  <c:v>4.6316089496936002</c:v>
                </c:pt>
                <c:pt idx="1866">
                  <c:v>5.8280189447285604</c:v>
                </c:pt>
                <c:pt idx="1867">
                  <c:v>7.3539698233381099</c:v>
                </c:pt>
                <c:pt idx="1871">
                  <c:v>8.46725484397078</c:v>
                </c:pt>
                <c:pt idx="1872">
                  <c:v>6.2874554109587404</c:v>
                </c:pt>
                <c:pt idx="1879">
                  <c:v>9.1864782631242896</c:v>
                </c:pt>
                <c:pt idx="1881">
                  <c:v>7.7722287142149904</c:v>
                </c:pt>
                <c:pt idx="1883">
                  <c:v>5.1640778517818804</c:v>
                </c:pt>
                <c:pt idx="1890">
                  <c:v>3.8493620660152299</c:v>
                </c:pt>
                <c:pt idx="1891">
                  <c:v>5.8173053631122498</c:v>
                </c:pt>
                <c:pt idx="1893">
                  <c:v>8.6084975409925892</c:v>
                </c:pt>
                <c:pt idx="1895">
                  <c:v>7.91960066296694</c:v>
                </c:pt>
                <c:pt idx="1901">
                  <c:v>9.2333560698592994</c:v>
                </c:pt>
                <c:pt idx="1906">
                  <c:v>6.8909888924335299</c:v>
                </c:pt>
                <c:pt idx="1907">
                  <c:v>6.69027513494611</c:v>
                </c:pt>
                <c:pt idx="1908">
                  <c:v>5.8205461709112498</c:v>
                </c:pt>
                <c:pt idx="1911">
                  <c:v>8.2731172181222696</c:v>
                </c:pt>
                <c:pt idx="1912">
                  <c:v>12.3330491179077</c:v>
                </c:pt>
                <c:pt idx="1915">
                  <c:v>8.5927666358983004</c:v>
                </c:pt>
                <c:pt idx="1917">
                  <c:v>4.50255723896049</c:v>
                </c:pt>
                <c:pt idx="1921">
                  <c:v>6.7225368809272901</c:v>
                </c:pt>
                <c:pt idx="1923">
                  <c:v>11.8474340869037</c:v>
                </c:pt>
                <c:pt idx="1924">
                  <c:v>13.546342751518401</c:v>
                </c:pt>
                <c:pt idx="1925">
                  <c:v>6.1288295037329599</c:v>
                </c:pt>
                <c:pt idx="1934">
                  <c:v>5.0333813816613002</c:v>
                </c:pt>
                <c:pt idx="1938">
                  <c:v>5.9983794171117797</c:v>
                </c:pt>
                <c:pt idx="1939">
                  <c:v>7.4348910141298603</c:v>
                </c:pt>
                <c:pt idx="1944">
                  <c:v>8.4170399812940495</c:v>
                </c:pt>
                <c:pt idx="1945">
                  <c:v>6.2921451361435699</c:v>
                </c:pt>
                <c:pt idx="1952">
                  <c:v>9.0975038225614799</c:v>
                </c:pt>
                <c:pt idx="1954">
                  <c:v>7.82524045064637</c:v>
                </c:pt>
                <c:pt idx="1956">
                  <c:v>5.0027001910170501</c:v>
                </c:pt>
                <c:pt idx="1963">
                  <c:v>4.7807920409090903</c:v>
                </c:pt>
                <c:pt idx="1964">
                  <c:v>6.0289582021820598</c:v>
                </c:pt>
                <c:pt idx="1967">
                  <c:v>9.1722487891950593</c:v>
                </c:pt>
                <c:pt idx="1969">
                  <c:v>7.9697543757387299</c:v>
                </c:pt>
                <c:pt idx="1975">
                  <c:v>9.9978592910510908</c:v>
                </c:pt>
                <c:pt idx="1977">
                  <c:v>5.8469903772318803</c:v>
                </c:pt>
                <c:pt idx="1979">
                  <c:v>5.0411766666209301</c:v>
                </c:pt>
                <c:pt idx="1980">
                  <c:v>7.5004725530342702</c:v>
                </c:pt>
                <c:pt idx="1981">
                  <c:v>6.9115043528689197</c:v>
                </c:pt>
                <c:pt idx="1982">
                  <c:v>6.4200495849951498</c:v>
                </c:pt>
                <c:pt idx="1986">
                  <c:v>11.6117614959352</c:v>
                </c:pt>
                <c:pt idx="1989">
                  <c:v>7.0587695343874097</c:v>
                </c:pt>
                <c:pt idx="1991">
                  <c:v>4.42102681913219</c:v>
                </c:pt>
                <c:pt idx="1995">
                  <c:v>7.8069667117378101</c:v>
                </c:pt>
                <c:pt idx="1997">
                  <c:v>14.601022306820401</c:v>
                </c:pt>
                <c:pt idx="1998">
                  <c:v>12.625628140703499</c:v>
                </c:pt>
                <c:pt idx="1999">
                  <c:v>5.94944584230318</c:v>
                </c:pt>
                <c:pt idx="2000">
                  <c:v>4.85021727232564</c:v>
                </c:pt>
                <c:pt idx="2001">
                  <c:v>9.7085835580990398</c:v>
                </c:pt>
                <c:pt idx="2008">
                  <c:v>5.0385923922119797</c:v>
                </c:pt>
                <c:pt idx="2012">
                  <c:v>6.3284963453494303</c:v>
                </c:pt>
                <c:pt idx="2013">
                  <c:v>8.5145655027796305</c:v>
                </c:pt>
                <c:pt idx="2018">
                  <c:v>8.5071182081521908</c:v>
                </c:pt>
                <c:pt idx="2019">
                  <c:v>6.44321205081126</c:v>
                </c:pt>
                <c:pt idx="2026">
                  <c:v>8.8272740569941792</c:v>
                </c:pt>
                <c:pt idx="2028">
                  <c:v>8.0527210404160794</c:v>
                </c:pt>
                <c:pt idx="2037">
                  <c:v>3.4257120954268299</c:v>
                </c:pt>
                <c:pt idx="2038">
                  <c:v>7.32731779386806</c:v>
                </c:pt>
                <c:pt idx="2041">
                  <c:v>9.5381380887423006</c:v>
                </c:pt>
                <c:pt idx="2043">
                  <c:v>8.1095848391023893</c:v>
                </c:pt>
                <c:pt idx="2049">
                  <c:v>9.7134586590325895</c:v>
                </c:pt>
                <c:pt idx="2051">
                  <c:v>7.5019456191895397</c:v>
                </c:pt>
                <c:pt idx="2053">
                  <c:v>5.2219917513291296</c:v>
                </c:pt>
                <c:pt idx="2054">
                  <c:v>8.2384912866261502</c:v>
                </c:pt>
                <c:pt idx="2055">
                  <c:v>6.6324617351134103</c:v>
                </c:pt>
                <c:pt idx="2056">
                  <c:v>7.1067388143538501</c:v>
                </c:pt>
                <c:pt idx="2060">
                  <c:v>10.395141259990099</c:v>
                </c:pt>
                <c:pt idx="2062">
                  <c:v>0.96851879599649904</c:v>
                </c:pt>
                <c:pt idx="2063">
                  <c:v>6.0357978828708196</c:v>
                </c:pt>
                <c:pt idx="2065">
                  <c:v>4.7584439769141103</c:v>
                </c:pt>
                <c:pt idx="2069">
                  <c:v>7.9289283731260403</c:v>
                </c:pt>
                <c:pt idx="2071">
                  <c:v>13.562051392830099</c:v>
                </c:pt>
                <c:pt idx="2072">
                  <c:v>12.7127722890132</c:v>
                </c:pt>
                <c:pt idx="2073">
                  <c:v>5.5380039357624398</c:v>
                </c:pt>
                <c:pt idx="2074">
                  <c:v>5.24644355243829</c:v>
                </c:pt>
                <c:pt idx="2075">
                  <c:v>11.2464273540132</c:v>
                </c:pt>
                <c:pt idx="2085">
                  <c:v>6.3007474504868402</c:v>
                </c:pt>
                <c:pt idx="2086">
                  <c:v>8.9605769672214404</c:v>
                </c:pt>
                <c:pt idx="2092">
                  <c:v>8.5256940372102896</c:v>
                </c:pt>
                <c:pt idx="2093">
                  <c:v>6.4869347779839401</c:v>
                </c:pt>
                <c:pt idx="2100">
                  <c:v>9.0493029671761107</c:v>
                </c:pt>
                <c:pt idx="2102">
                  <c:v>8.2915237625619707</c:v>
                </c:pt>
                <c:pt idx="2111">
                  <c:v>3.9323435552705299</c:v>
                </c:pt>
                <c:pt idx="2112">
                  <c:v>7.6781407586055703</c:v>
                </c:pt>
                <c:pt idx="2115">
                  <c:v>9.8225805737461798</c:v>
                </c:pt>
                <c:pt idx="2117">
                  <c:v>8.0720094691350806</c:v>
                </c:pt>
                <c:pt idx="2123">
                  <c:v>11.563434789357499</c:v>
                </c:pt>
                <c:pt idx="2125">
                  <c:v>4.2817264106636799</c:v>
                </c:pt>
                <c:pt idx="2128">
                  <c:v>5.4545824485598198</c:v>
                </c:pt>
                <c:pt idx="2129">
                  <c:v>8.0441458131993908</c:v>
                </c:pt>
                <c:pt idx="2130">
                  <c:v>6.8644712330267099</c:v>
                </c:pt>
                <c:pt idx="2131">
                  <c:v>7.9749858576966002</c:v>
                </c:pt>
                <c:pt idx="2135">
                  <c:v>10.6896342706223</c:v>
                </c:pt>
                <c:pt idx="2137">
                  <c:v>3.8456348040421502</c:v>
                </c:pt>
                <c:pt idx="2138">
                  <c:v>5.2698624005875798</c:v>
                </c:pt>
                <c:pt idx="2140">
                  <c:v>4.9946133944098099</c:v>
                </c:pt>
                <c:pt idx="2144">
                  <c:v>7.7045531822818498</c:v>
                </c:pt>
                <c:pt idx="2146">
                  <c:v>12.597841989758599</c:v>
                </c:pt>
                <c:pt idx="2147">
                  <c:v>13.616978576087501</c:v>
                </c:pt>
                <c:pt idx="2148">
                  <c:v>5.8064327542360497</c:v>
                </c:pt>
                <c:pt idx="2149">
                  <c:v>5.24788848451555</c:v>
                </c:pt>
                <c:pt idx="2150">
                  <c:v>10.2560381111747</c:v>
                </c:pt>
                <c:pt idx="2160">
                  <c:v>6.4190426385696302</c:v>
                </c:pt>
                <c:pt idx="2161">
                  <c:v>9.5186667123247997</c:v>
                </c:pt>
                <c:pt idx="2167">
                  <c:v>8.5637788825006105</c:v>
                </c:pt>
                <c:pt idx="2168">
                  <c:v>6.8087701945268702</c:v>
                </c:pt>
                <c:pt idx="2175">
                  <c:v>9.0149362689442292</c:v>
                </c:pt>
                <c:pt idx="2176">
                  <c:v>10.928169104786001</c:v>
                </c:pt>
                <c:pt idx="2177">
                  <c:v>8.5195952213666093</c:v>
                </c:pt>
                <c:pt idx="2186">
                  <c:v>4.3031714513809201</c:v>
                </c:pt>
                <c:pt idx="2187">
                  <c:v>7.0204014591046899</c:v>
                </c:pt>
                <c:pt idx="2190">
                  <c:v>9.1348843219568092</c:v>
                </c:pt>
                <c:pt idx="2192">
                  <c:v>8.0856607529714903</c:v>
                </c:pt>
                <c:pt idx="2198">
                  <c:v>11.591778289538199</c:v>
                </c:pt>
                <c:pt idx="2200">
                  <c:v>4.2538097740409899</c:v>
                </c:pt>
                <c:pt idx="2203">
                  <c:v>5.7998289448009599</c:v>
                </c:pt>
                <c:pt idx="2204">
                  <c:v>8.5275388464193806</c:v>
                </c:pt>
                <c:pt idx="2205">
                  <c:v>6.3832001202057098</c:v>
                </c:pt>
                <c:pt idx="2206">
                  <c:v>9.5853544689529695</c:v>
                </c:pt>
                <c:pt idx="2210">
                  <c:v>9.8865163712951603</c:v>
                </c:pt>
                <c:pt idx="2212">
                  <c:v>6.0591372562980297</c:v>
                </c:pt>
                <c:pt idx="2213">
                  <c:v>5.1642015542742499</c:v>
                </c:pt>
                <c:pt idx="2215">
                  <c:v>4.8492398812840998</c:v>
                </c:pt>
                <c:pt idx="2219">
                  <c:v>7.3344849198220698</c:v>
                </c:pt>
                <c:pt idx="2222">
                  <c:v>11.709094263051099</c:v>
                </c:pt>
                <c:pt idx="2223">
                  <c:v>7.1941483471033303</c:v>
                </c:pt>
                <c:pt idx="2224">
                  <c:v>5.8874441428293203</c:v>
                </c:pt>
                <c:pt idx="2225">
                  <c:v>4.88278960883191</c:v>
                </c:pt>
                <c:pt idx="2226">
                  <c:v>10.7411573497956</c:v>
                </c:pt>
                <c:pt idx="2237">
                  <c:v>8.4806542938030791</c:v>
                </c:pt>
                <c:pt idx="2243">
                  <c:v>7.3979540894798799</c:v>
                </c:pt>
                <c:pt idx="2251">
                  <c:v>8.8653108849503308</c:v>
                </c:pt>
                <c:pt idx="2252">
                  <c:v>10.121305589932501</c:v>
                </c:pt>
                <c:pt idx="2253">
                  <c:v>8.4923127562986007</c:v>
                </c:pt>
                <c:pt idx="2262">
                  <c:v>4.31201119684955</c:v>
                </c:pt>
                <c:pt idx="2263">
                  <c:v>6.7611669176667899</c:v>
                </c:pt>
                <c:pt idx="2266">
                  <c:v>9.1656907597485997</c:v>
                </c:pt>
                <c:pt idx="2274">
                  <c:v>10.7759376070246</c:v>
                </c:pt>
                <c:pt idx="2276">
                  <c:v>4.3866394469664698</c:v>
                </c:pt>
                <c:pt idx="2279">
                  <c:v>6.1445516038159198</c:v>
                </c:pt>
                <c:pt idx="2280">
                  <c:v>8.4928115541334002</c:v>
                </c:pt>
                <c:pt idx="2281">
                  <c:v>6.0632448843849502</c:v>
                </c:pt>
                <c:pt idx="2282">
                  <c:v>11.457339555213601</c:v>
                </c:pt>
                <c:pt idx="2286">
                  <c:v>8.8322575795001796</c:v>
                </c:pt>
                <c:pt idx="2288">
                  <c:v>6.9078151098911498</c:v>
                </c:pt>
                <c:pt idx="2291">
                  <c:v>5.0275579307424403</c:v>
                </c:pt>
                <c:pt idx="2295">
                  <c:v>7.3022698022697998</c:v>
                </c:pt>
                <c:pt idx="2298">
                  <c:v>12.221529139190899</c:v>
                </c:pt>
                <c:pt idx="2299">
                  <c:v>6.7089688966749703</c:v>
                </c:pt>
                <c:pt idx="2300">
                  <c:v>6.5384198636554398</c:v>
                </c:pt>
                <c:pt idx="2301">
                  <c:v>5.0225835324839503</c:v>
                </c:pt>
                <c:pt idx="2302">
                  <c:v>8.8590440499472791</c:v>
                </c:pt>
                <c:pt idx="2326">
                  <c:v>9.0241280870213494</c:v>
                </c:pt>
                <c:pt idx="2327">
                  <c:v>9.7439140200529994</c:v>
                </c:pt>
                <c:pt idx="2328">
                  <c:v>8.8710232291800803</c:v>
                </c:pt>
                <c:pt idx="2338">
                  <c:v>6.3615119255165196</c:v>
                </c:pt>
                <c:pt idx="2341">
                  <c:v>8.9640726679015792</c:v>
                </c:pt>
                <c:pt idx="2349">
                  <c:v>12.086238344722799</c:v>
                </c:pt>
                <c:pt idx="2351">
                  <c:v>4.8987884421538999</c:v>
                </c:pt>
                <c:pt idx="2354">
                  <c:v>6.1102976048297997</c:v>
                </c:pt>
                <c:pt idx="2356">
                  <c:v>6.4579395161870696</c:v>
                </c:pt>
                <c:pt idx="2357">
                  <c:v>13.229491844905301</c:v>
                </c:pt>
                <c:pt idx="2361">
                  <c:v>9.5464118967366307</c:v>
                </c:pt>
                <c:pt idx="2363">
                  <c:v>7.1811115269362702</c:v>
                </c:pt>
                <c:pt idx="2366">
                  <c:v>4.8960456980483897</c:v>
                </c:pt>
                <c:pt idx="2370">
                  <c:v>7.6475246974475803</c:v>
                </c:pt>
                <c:pt idx="2373">
                  <c:v>13.3600753141501</c:v>
                </c:pt>
                <c:pt idx="2374">
                  <c:v>6.7810463971877404</c:v>
                </c:pt>
                <c:pt idx="2375">
                  <c:v>6.56257746114062</c:v>
                </c:pt>
                <c:pt idx="2376">
                  <c:v>5.2355361911695901</c:v>
                </c:pt>
                <c:pt idx="2377">
                  <c:v>11.1317322696509</c:v>
                </c:pt>
                <c:pt idx="2402">
                  <c:v>9.17245034609331</c:v>
                </c:pt>
                <c:pt idx="2403">
                  <c:v>9.8195212869932007</c:v>
                </c:pt>
                <c:pt idx="2404">
                  <c:v>8.7669409552139097</c:v>
                </c:pt>
                <c:pt idx="2414">
                  <c:v>6.3971633523423597</c:v>
                </c:pt>
                <c:pt idx="2417">
                  <c:v>9.6637934574121793</c:v>
                </c:pt>
                <c:pt idx="2425">
                  <c:v>12.282208447985701</c:v>
                </c:pt>
                <c:pt idx="2427">
                  <c:v>4.6497710442390403</c:v>
                </c:pt>
                <c:pt idx="2430">
                  <c:v>6.38237561794186</c:v>
                </c:pt>
                <c:pt idx="2432">
                  <c:v>6.1544240330860802</c:v>
                </c:pt>
                <c:pt idx="2433">
                  <c:v>12.8726369080445</c:v>
                </c:pt>
                <c:pt idx="2437">
                  <c:v>8.4081920743084702</c:v>
                </c:pt>
                <c:pt idx="2439">
                  <c:v>7.5490830605681998</c:v>
                </c:pt>
                <c:pt idx="2442">
                  <c:v>4.8271370051220996</c:v>
                </c:pt>
                <c:pt idx="2446">
                  <c:v>7.8199083781870602</c:v>
                </c:pt>
                <c:pt idx="2449">
                  <c:v>16.544916794355601</c:v>
                </c:pt>
                <c:pt idx="2450">
                  <c:v>6.5284512755462103</c:v>
                </c:pt>
                <c:pt idx="2451">
                  <c:v>6.98841084725683</c:v>
                </c:pt>
                <c:pt idx="2452">
                  <c:v>5.6872077154160703</c:v>
                </c:pt>
                <c:pt idx="2453">
                  <c:v>9.8039777406948492</c:v>
                </c:pt>
                <c:pt idx="2478">
                  <c:v>9.45103144192875</c:v>
                </c:pt>
                <c:pt idx="2479">
                  <c:v>9.3344675591438406</c:v>
                </c:pt>
                <c:pt idx="2480">
                  <c:v>8.8706605232393301</c:v>
                </c:pt>
                <c:pt idx="2490">
                  <c:v>6.2587498544386504</c:v>
                </c:pt>
                <c:pt idx="2493">
                  <c:v>9.9583314115621597</c:v>
                </c:pt>
                <c:pt idx="2500">
                  <c:v>11.924724844496501</c:v>
                </c:pt>
                <c:pt idx="2502">
                  <c:v>4.9748690779211504</c:v>
                </c:pt>
                <c:pt idx="2505">
                  <c:v>5.3746780680275599</c:v>
                </c:pt>
                <c:pt idx="2507">
                  <c:v>6.8947568298246997</c:v>
                </c:pt>
                <c:pt idx="2508">
                  <c:v>11.280045928474401</c:v>
                </c:pt>
                <c:pt idx="2513">
                  <c:v>8.1620213931656291</c:v>
                </c:pt>
                <c:pt idx="2516">
                  <c:v>4.66698536555276</c:v>
                </c:pt>
                <c:pt idx="2520">
                  <c:v>8.0833985151371408</c:v>
                </c:pt>
                <c:pt idx="2523">
                  <c:v>14.991676730750401</c:v>
                </c:pt>
                <c:pt idx="2524">
                  <c:v>6.6516147218467196</c:v>
                </c:pt>
                <c:pt idx="2525">
                  <c:v>5.1489341289278903</c:v>
                </c:pt>
                <c:pt idx="2526">
                  <c:v>9.3129651573047205</c:v>
                </c:pt>
              </c:numCache>
            </c:numRef>
          </c:yVal>
          <c:smooth val="0"/>
          <c:extLst xmlns:c16r2="http://schemas.microsoft.com/office/drawing/2015/06/chart">
            <c:ext xmlns:c16="http://schemas.microsoft.com/office/drawing/2014/chart" uri="{C3380CC4-5D6E-409C-BE32-E72D297353CC}">
              <c16:uniqueId val="{00000001-A881-444A-B986-8EB04C5E4D27}"/>
            </c:ext>
          </c:extLst>
        </c:ser>
        <c:dLbls>
          <c:showLegendKey val="0"/>
          <c:showVal val="0"/>
          <c:showCatName val="0"/>
          <c:showSerName val="0"/>
          <c:showPercent val="0"/>
          <c:showBubbleSize val="0"/>
        </c:dLbls>
        <c:axId val="274091008"/>
        <c:axId val="274100992"/>
      </c:scatterChart>
      <c:valAx>
        <c:axId val="274091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100992"/>
        <c:crosses val="autoZero"/>
        <c:crossBetween val="midCat"/>
      </c:valAx>
      <c:valAx>
        <c:axId val="27410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091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94869575435502"/>
          <c:y val="5.9213463186756195E-2"/>
          <c:w val="0.79814131430769319"/>
          <c:h val="0.62584425232304564"/>
        </c:manualLayout>
      </c:layout>
      <c:lineChart>
        <c:grouping val="standard"/>
        <c:varyColors val="0"/>
        <c:ser>
          <c:idx val="1"/>
          <c:order val="0"/>
          <c:tx>
            <c:strRef>
              <c:f>'[Таблицы АД.xlsx]Лист1'!$A$27</c:f>
              <c:strCache>
                <c:ptCount val="1"/>
                <c:pt idx="0">
                  <c:v>Расходы в ценах 2021 г., трлн руб.</c:v>
                </c:pt>
              </c:strCache>
            </c:strRef>
          </c:tx>
          <c:marker>
            <c:symbol val="none"/>
          </c:marker>
          <c:cat>
            <c:numRef>
              <c:f>[1]Лист1!$D$24:$J$24</c:f>
              <c:numCache>
                <c:formatCode>General</c:formatCode>
                <c:ptCount val="7"/>
                <c:pt idx="0">
                  <c:v>2019</c:v>
                </c:pt>
                <c:pt idx="1">
                  <c:v>2020</c:v>
                </c:pt>
                <c:pt idx="2">
                  <c:v>2021</c:v>
                </c:pt>
                <c:pt idx="3">
                  <c:v>2022</c:v>
                </c:pt>
                <c:pt idx="4">
                  <c:v>2023</c:v>
                </c:pt>
                <c:pt idx="5">
                  <c:v>2024</c:v>
                </c:pt>
                <c:pt idx="6">
                  <c:v>2025</c:v>
                </c:pt>
              </c:numCache>
            </c:numRef>
          </c:cat>
          <c:val>
            <c:numRef>
              <c:f>[1]Лист1!$D$27:$J$27</c:f>
              <c:numCache>
                <c:formatCode>#,##0.00</c:formatCode>
                <c:ptCount val="7"/>
                <c:pt idx="0">
                  <c:v>15427.982392524</c:v>
                </c:pt>
                <c:pt idx="1">
                  <c:v>16884.669030000001</c:v>
                </c:pt>
                <c:pt idx="2">
                  <c:v>16882</c:v>
                </c:pt>
                <c:pt idx="3">
                  <c:v>16967.704626334518</c:v>
                </c:pt>
                <c:pt idx="4">
                  <c:v>16326.676898686141</c:v>
                </c:pt>
                <c:pt idx="5">
                  <c:v>16554.107965536346</c:v>
                </c:pt>
                <c:pt idx="6">
                  <c:v>16595.340387631797</c:v>
                </c:pt>
              </c:numCache>
            </c:numRef>
          </c:val>
          <c:smooth val="0"/>
          <c:extLst xmlns:c16r2="http://schemas.microsoft.com/office/drawing/2015/06/chart">
            <c:ext xmlns:c16="http://schemas.microsoft.com/office/drawing/2014/chart" uri="{C3380CC4-5D6E-409C-BE32-E72D297353CC}">
              <c16:uniqueId val="{00000000-A657-094F-AAAE-2FA1133856F1}"/>
            </c:ext>
          </c:extLst>
        </c:ser>
        <c:ser>
          <c:idx val="0"/>
          <c:order val="1"/>
          <c:tx>
            <c:strRef>
              <c:f>'[Таблицы АД.xlsx]Лист1'!$A$25</c:f>
              <c:strCache>
                <c:ptCount val="1"/>
                <c:pt idx="0">
                  <c:v>Доходы в ценах 2021 г., трлн руб.</c:v>
                </c:pt>
              </c:strCache>
            </c:strRef>
          </c:tx>
          <c:marker>
            <c:symbol val="none"/>
          </c:marker>
          <c:val>
            <c:numRef>
              <c:f>[1]Лист1!$D$25:$J$25</c:f>
              <c:numCache>
                <c:formatCode>#,##0.00</c:formatCode>
                <c:ptCount val="7"/>
                <c:pt idx="0">
                  <c:v>15433.326854126999</c:v>
                </c:pt>
                <c:pt idx="1">
                  <c:v>16151.410680000001</c:v>
                </c:pt>
                <c:pt idx="2">
                  <c:v>17542.7</c:v>
                </c:pt>
                <c:pt idx="3">
                  <c:v>17058.807829181493</c:v>
                </c:pt>
                <c:pt idx="4">
                  <c:v>16261.405609620344</c:v>
                </c:pt>
                <c:pt idx="5">
                  <c:v>16496.455552340929</c:v>
                </c:pt>
                <c:pt idx="6">
                  <c:v>16558.07184183037</c:v>
                </c:pt>
              </c:numCache>
            </c:numRef>
          </c:val>
          <c:smooth val="0"/>
          <c:extLst xmlns:c16r2="http://schemas.microsoft.com/office/drawing/2015/06/chart">
            <c:ext xmlns:c16="http://schemas.microsoft.com/office/drawing/2014/chart" uri="{C3380CC4-5D6E-409C-BE32-E72D297353CC}">
              <c16:uniqueId val="{00000001-A657-094F-AAAE-2FA1133856F1}"/>
            </c:ext>
          </c:extLst>
        </c:ser>
        <c:dLbls>
          <c:showLegendKey val="0"/>
          <c:showVal val="0"/>
          <c:showCatName val="0"/>
          <c:showSerName val="0"/>
          <c:showPercent val="0"/>
          <c:showBubbleSize val="0"/>
        </c:dLbls>
        <c:marker val="1"/>
        <c:smooth val="0"/>
        <c:axId val="274136064"/>
        <c:axId val="274256640"/>
      </c:lineChart>
      <c:catAx>
        <c:axId val="274136064"/>
        <c:scaling>
          <c:orientation val="minMax"/>
        </c:scaling>
        <c:delete val="0"/>
        <c:axPos val="b"/>
        <c:numFmt formatCode="General" sourceLinked="1"/>
        <c:majorTickMark val="out"/>
        <c:minorTickMark val="none"/>
        <c:tickLblPos val="nextTo"/>
        <c:crossAx val="274256640"/>
        <c:crosses val="autoZero"/>
        <c:auto val="1"/>
        <c:lblAlgn val="ctr"/>
        <c:lblOffset val="100"/>
        <c:noMultiLvlLbl val="0"/>
      </c:catAx>
      <c:valAx>
        <c:axId val="274256640"/>
        <c:scaling>
          <c:orientation val="minMax"/>
        </c:scaling>
        <c:delete val="0"/>
        <c:axPos val="l"/>
        <c:majorGridlines/>
        <c:numFmt formatCode="#,##0.00" sourceLinked="1"/>
        <c:majorTickMark val="out"/>
        <c:minorTickMark val="none"/>
        <c:tickLblPos val="nextTo"/>
        <c:crossAx val="274136064"/>
        <c:crosses val="autoZero"/>
        <c:crossBetween val="between"/>
        <c:dispUnits>
          <c:builtInUnit val="thousands"/>
        </c:dispUnits>
      </c:valAx>
    </c:plotArea>
    <c:legend>
      <c:legendPos val="b"/>
      <c:layout>
        <c:manualLayout>
          <c:xMode val="edge"/>
          <c:yMode val="edge"/>
          <c:x val="7.4268494216000791E-2"/>
          <c:y val="0.79911550619023897"/>
          <c:w val="0.86082845413554077"/>
          <c:h val="0.18488448709059827"/>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'[Таблицы АД.xlsx]Лист1'!$Q$7</c:f>
              <c:strCache>
                <c:ptCount val="1"/>
                <c:pt idx="0">
                  <c:v>доходы, % ВВП</c:v>
                </c:pt>
              </c:strCache>
            </c:strRef>
          </c:tx>
          <c:marker>
            <c:symbol val="none"/>
          </c:marker>
          <c:cat>
            <c:numRef>
              <c:f>[1]Лист1!$R$6:$X$6</c:f>
              <c:numCache>
                <c:formatCode>General</c:formatCode>
                <c:ptCount val="7"/>
                <c:pt idx="0">
                  <c:v>2019</c:v>
                </c:pt>
                <c:pt idx="1">
                  <c:v>2020</c:v>
                </c:pt>
                <c:pt idx="2">
                  <c:v>2021</c:v>
                </c:pt>
                <c:pt idx="3">
                  <c:v>2022</c:v>
                </c:pt>
                <c:pt idx="4">
                  <c:v>2023</c:v>
                </c:pt>
                <c:pt idx="5">
                  <c:v>2024</c:v>
                </c:pt>
                <c:pt idx="6">
                  <c:v>2025</c:v>
                </c:pt>
              </c:numCache>
            </c:numRef>
          </c:cat>
          <c:val>
            <c:numRef>
              <c:f>[1]Лист1!$R$7:$X$7</c:f>
              <c:numCache>
                <c:formatCode>General</c:formatCode>
                <c:ptCount val="7"/>
                <c:pt idx="0">
                  <c:v>12.3</c:v>
                </c:pt>
                <c:pt idx="1">
                  <c:v>13.9</c:v>
                </c:pt>
                <c:pt idx="2">
                  <c:v>13.4</c:v>
                </c:pt>
                <c:pt idx="3">
                  <c:v>13.1</c:v>
                </c:pt>
                <c:pt idx="4">
                  <c:v>12.9</c:v>
                </c:pt>
                <c:pt idx="5">
                  <c:v>12.7</c:v>
                </c:pt>
                <c:pt idx="6">
                  <c:v>12.4</c:v>
                </c:pt>
              </c:numCache>
            </c:numRef>
          </c:val>
          <c:smooth val="0"/>
          <c:extLst xmlns:c16r2="http://schemas.microsoft.com/office/drawing/2015/06/chart">
            <c:ext xmlns:c16="http://schemas.microsoft.com/office/drawing/2014/chart" uri="{C3380CC4-5D6E-409C-BE32-E72D297353CC}">
              <c16:uniqueId val="{00000000-ACE1-1A41-97E3-9331172BBBFD}"/>
            </c:ext>
          </c:extLst>
        </c:ser>
        <c:ser>
          <c:idx val="1"/>
          <c:order val="1"/>
          <c:tx>
            <c:strRef>
              <c:f>'[Таблицы АД.xlsx]Лист1'!$Q$8</c:f>
              <c:strCache>
                <c:ptCount val="1"/>
                <c:pt idx="0">
                  <c:v>расходы, % ВВП</c:v>
                </c:pt>
              </c:strCache>
            </c:strRef>
          </c:tx>
          <c:marker>
            <c:symbol val="none"/>
          </c:marker>
          <c:cat>
            <c:numRef>
              <c:f>[1]Лист1!$R$6:$X$6</c:f>
              <c:numCache>
                <c:formatCode>General</c:formatCode>
                <c:ptCount val="7"/>
                <c:pt idx="0">
                  <c:v>2019</c:v>
                </c:pt>
                <c:pt idx="1">
                  <c:v>2020</c:v>
                </c:pt>
                <c:pt idx="2">
                  <c:v>2021</c:v>
                </c:pt>
                <c:pt idx="3">
                  <c:v>2022</c:v>
                </c:pt>
                <c:pt idx="4">
                  <c:v>2023</c:v>
                </c:pt>
                <c:pt idx="5">
                  <c:v>2024</c:v>
                </c:pt>
                <c:pt idx="6">
                  <c:v>2025</c:v>
                </c:pt>
              </c:numCache>
            </c:numRef>
          </c:cat>
          <c:val>
            <c:numRef>
              <c:f>[1]Лист1!$R$8:$X$8</c:f>
              <c:numCache>
                <c:formatCode>General</c:formatCode>
                <c:ptCount val="7"/>
                <c:pt idx="0">
                  <c:v>12.3</c:v>
                </c:pt>
                <c:pt idx="1">
                  <c:v>14.6</c:v>
                </c:pt>
                <c:pt idx="2">
                  <c:v>12.9</c:v>
                </c:pt>
                <c:pt idx="3">
                  <c:v>13.1</c:v>
                </c:pt>
                <c:pt idx="4">
                  <c:v>12.9</c:v>
                </c:pt>
                <c:pt idx="5">
                  <c:v>12.8</c:v>
                </c:pt>
                <c:pt idx="6">
                  <c:v>12.5</c:v>
                </c:pt>
              </c:numCache>
            </c:numRef>
          </c:val>
          <c:smooth val="0"/>
          <c:extLst xmlns:c16r2="http://schemas.microsoft.com/office/drawing/2015/06/chart">
            <c:ext xmlns:c16="http://schemas.microsoft.com/office/drawing/2014/chart" uri="{C3380CC4-5D6E-409C-BE32-E72D297353CC}">
              <c16:uniqueId val="{00000001-ACE1-1A41-97E3-9331172BBBFD}"/>
            </c:ext>
          </c:extLst>
        </c:ser>
        <c:dLbls>
          <c:showLegendKey val="0"/>
          <c:showVal val="0"/>
          <c:showCatName val="0"/>
          <c:showSerName val="0"/>
          <c:showPercent val="0"/>
          <c:showBubbleSize val="0"/>
        </c:dLbls>
        <c:marker val="1"/>
        <c:smooth val="0"/>
        <c:axId val="274570624"/>
        <c:axId val="275563648"/>
      </c:lineChart>
      <c:catAx>
        <c:axId val="274570624"/>
        <c:scaling>
          <c:orientation val="minMax"/>
        </c:scaling>
        <c:delete val="0"/>
        <c:axPos val="b"/>
        <c:numFmt formatCode="General" sourceLinked="1"/>
        <c:majorTickMark val="out"/>
        <c:minorTickMark val="none"/>
        <c:tickLblPos val="nextTo"/>
        <c:crossAx val="275563648"/>
        <c:crosses val="autoZero"/>
        <c:auto val="1"/>
        <c:lblAlgn val="ctr"/>
        <c:lblOffset val="100"/>
        <c:noMultiLvlLbl val="0"/>
      </c:catAx>
      <c:valAx>
        <c:axId val="275563648"/>
        <c:scaling>
          <c:orientation val="minMax"/>
        </c:scaling>
        <c:delete val="0"/>
        <c:axPos val="l"/>
        <c:majorGridlines/>
        <c:numFmt formatCode="#,##0.0" sourceLinked="0"/>
        <c:majorTickMark val="out"/>
        <c:minorTickMark val="none"/>
        <c:tickLblPos val="nextTo"/>
        <c:crossAx val="27457062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28018372703411"/>
          <c:y val="5.1400554097404488E-2"/>
          <c:w val="0.81490179352580938"/>
          <c:h val="0.76293963254593178"/>
        </c:manualLayout>
      </c:layout>
      <c:barChart>
        <c:barDir val="col"/>
        <c:grouping val="clustered"/>
        <c:varyColors val="0"/>
        <c:ser>
          <c:idx val="0"/>
          <c:order val="0"/>
          <c:tx>
            <c:strRef>
              <c:f>[Книга1.xlsx]Лист1!$A$35</c:f>
              <c:strCache>
                <c:ptCount val="1"/>
                <c:pt idx="0">
                  <c:v>Темп роста доходов, % г/г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[Книга1.xlsx]Лист1!$B$34:$D$34</c:f>
              <c:numCache>
                <c:formatCode>General</c:formatCode>
                <c:ptCount val="3"/>
                <c:pt idx="0">
                  <c:v>2023</c:v>
                </c:pt>
                <c:pt idx="1">
                  <c:v>2024</c:v>
                </c:pt>
                <c:pt idx="2">
                  <c:v>2025</c:v>
                </c:pt>
              </c:numCache>
            </c:numRef>
          </c:cat>
          <c:val>
            <c:numRef>
              <c:f>[Книга1.xlsx]Лист1!$B$35:$D$35</c:f>
              <c:numCache>
                <c:formatCode>0.0%</c:formatCode>
                <c:ptCount val="3"/>
                <c:pt idx="0">
                  <c:v>-4.6744311064755628E-2</c:v>
                </c:pt>
                <c:pt idx="1">
                  <c:v>1.4454466505744445E-2</c:v>
                </c:pt>
                <c:pt idx="2">
                  <c:v>3.7351229355870874E-3</c:v>
                </c:pt>
              </c:numCache>
            </c:numRef>
          </c:val>
          <c:extLst xmlns:c16r2="http://schemas.microsoft.com/office/drawing/2015/06/chart">
            <c:ext xmlns:c16="http://schemas.microsoft.com/office/drawing/2014/chart" uri="{C3380CC4-5D6E-409C-BE32-E72D297353CC}">
              <c16:uniqueId val="{00000000-8392-4644-9C79-7860D34A66A9}"/>
            </c:ext>
          </c:extLst>
        </c:ser>
        <c:ser>
          <c:idx val="1"/>
          <c:order val="1"/>
          <c:tx>
            <c:strRef>
              <c:f>[Книга1.xlsx]Лист1!$A$36</c:f>
              <c:strCache>
                <c:ptCount val="1"/>
                <c:pt idx="0">
                  <c:v>Темп роста ВВП, % г/г</c:v>
                </c:pt>
              </c:strCache>
            </c:strRef>
          </c:tx>
          <c:invertIfNegative val="0"/>
          <c:dLbls>
            <c:dLbl>
              <c:idx val="0"/>
              <c:layout>
                <c:manualLayout>
                  <c:x val="3.0555555555555555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392-4644-9C79-7860D34A66A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[Книга1.xlsx]Лист1!$B$34:$D$34</c:f>
              <c:numCache>
                <c:formatCode>General</c:formatCode>
                <c:ptCount val="3"/>
                <c:pt idx="0">
                  <c:v>2023</c:v>
                </c:pt>
                <c:pt idx="1">
                  <c:v>2024</c:v>
                </c:pt>
                <c:pt idx="2">
                  <c:v>2025</c:v>
                </c:pt>
              </c:numCache>
            </c:numRef>
          </c:cat>
          <c:val>
            <c:numRef>
              <c:f>[Книга1.xlsx]Лист1!$B$36:$D$36</c:f>
              <c:numCache>
                <c:formatCode>0.00%</c:formatCode>
                <c:ptCount val="3"/>
                <c:pt idx="0">
                  <c:v>-8.0000000000000002E-3</c:v>
                </c:pt>
                <c:pt idx="1">
                  <c:v>2.5999999999999999E-2</c:v>
                </c:pt>
                <c:pt idx="2">
                  <c:v>2.5999999999999999E-2</c:v>
                </c:pt>
              </c:numCache>
            </c:numRef>
          </c:val>
          <c:extLst xmlns:c16r2="http://schemas.microsoft.com/office/drawing/2015/06/chart">
            <c:ext xmlns:c16="http://schemas.microsoft.com/office/drawing/2014/chart" uri="{C3380CC4-5D6E-409C-BE32-E72D297353CC}">
              <c16:uniqueId val="{00000002-8392-4644-9C79-7860D34A66A9}"/>
            </c:ext>
          </c:extLst>
        </c:ser>
        <c:dLbls>
          <c:showLegendKey val="0"/>
          <c:showVal val="0"/>
          <c:showCatName val="0"/>
          <c:showSerName val="0"/>
          <c:showPercent val="0"/>
          <c:showBubbleSize val="0"/>
        </c:dLbls>
        <c:gapWidth val="150"/>
        <c:axId val="275775488"/>
        <c:axId val="275777024"/>
      </c:barChart>
      <c:catAx>
        <c:axId val="275775488"/>
        <c:scaling>
          <c:orientation val="minMax"/>
        </c:scaling>
        <c:delete val="0"/>
        <c:axPos val="b"/>
        <c:numFmt formatCode="General" sourceLinked="1"/>
        <c:majorTickMark val="out"/>
        <c:minorTickMark val="none"/>
        <c:tickLblPos val="nextTo"/>
        <c:txPr>
          <a:bodyPr/>
          <a:lstStyle/>
          <a:p>
            <a:pPr>
              <a:defRPr b="1"/>
            </a:pPr>
            <a:endParaRPr lang="ru-RU"/>
          </a:p>
        </c:txPr>
        <c:crossAx val="275777024"/>
        <c:crosses val="autoZero"/>
        <c:auto val="1"/>
        <c:lblAlgn val="ctr"/>
        <c:lblOffset val="100"/>
        <c:noMultiLvlLbl val="0"/>
      </c:catAx>
      <c:valAx>
        <c:axId val="275777024"/>
        <c:scaling>
          <c:orientation val="minMax"/>
        </c:scaling>
        <c:delete val="0"/>
        <c:axPos val="l"/>
        <c:majorGridlines/>
        <c:numFmt formatCode="0.0%" sourceLinked="1"/>
        <c:majorTickMark val="out"/>
        <c:minorTickMark val="none"/>
        <c:tickLblPos val="nextTo"/>
        <c:crossAx val="275775488"/>
        <c:crosses val="autoZero"/>
        <c:crossBetween val="between"/>
      </c:valAx>
    </c:plotArea>
    <c:legend>
      <c:legendPos val="r"/>
      <c:layout>
        <c:manualLayout>
          <c:xMode val="edge"/>
          <c:yMode val="edge"/>
          <c:x val="0.23884864391951005"/>
          <c:y val="0.83256561679790031"/>
          <c:w val="0.55837357830271217"/>
          <c:h val="0.13579469233012537"/>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B35E-D82D-4160-8309-89B5560E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102</Pages>
  <Words>32568</Words>
  <Characters>209018</Characters>
  <Application>Microsoft Office Word</Application>
  <DocSecurity>0</DocSecurity>
  <Lines>1741</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ane</Company>
  <LinksUpToDate>false</LinksUpToDate>
  <CharactersWithSpaces>241104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МИХАЙЛОВ Данила Михайлович</cp:lastModifiedBy>
  <cp:revision>44</cp:revision>
  <cp:lastPrinted>2013-10-09T09:06:00Z</cp:lastPrinted>
  <dcterms:created xsi:type="dcterms:W3CDTF">2022-10-13T23:29:00Z</dcterms:created>
  <dcterms:modified xsi:type="dcterms:W3CDTF">2022-10-16T11:45:00Z</dcterms:modified>
</cp:coreProperties>
</file>