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CF8A7" w14:textId="5CE7D647" w:rsidR="006E4553" w:rsidRPr="00A00E56" w:rsidRDefault="006E4553" w:rsidP="006E4553">
      <w:pPr>
        <w:jc w:val="center"/>
        <w:rPr>
          <w:b/>
          <w:sz w:val="28"/>
          <w:szCs w:val="28"/>
        </w:rPr>
      </w:pPr>
      <w:r w:rsidRPr="00A00E56">
        <w:rPr>
          <w:b/>
          <w:sz w:val="28"/>
          <w:szCs w:val="28"/>
        </w:rPr>
        <w:t xml:space="preserve">ФГБУН Институт экономики Российской </w:t>
      </w:r>
      <w:r>
        <w:rPr>
          <w:b/>
          <w:sz w:val="28"/>
          <w:szCs w:val="28"/>
        </w:rPr>
        <w:t>а</w:t>
      </w:r>
      <w:r w:rsidRPr="00A00E56">
        <w:rPr>
          <w:b/>
          <w:sz w:val="28"/>
          <w:szCs w:val="28"/>
        </w:rPr>
        <w:t xml:space="preserve">кадемии наук </w:t>
      </w:r>
    </w:p>
    <w:p w14:paraId="50DBE40D" w14:textId="77777777" w:rsidR="006E4553" w:rsidRPr="00A00E56" w:rsidRDefault="006E4553" w:rsidP="006E4553">
      <w:pPr>
        <w:jc w:val="center"/>
        <w:rPr>
          <w:b/>
          <w:sz w:val="28"/>
          <w:szCs w:val="28"/>
        </w:rPr>
      </w:pPr>
    </w:p>
    <w:p w14:paraId="1EC8A835" w14:textId="77777777" w:rsidR="006E4553" w:rsidRPr="00A00E56" w:rsidRDefault="006E4553" w:rsidP="006E4553">
      <w:pPr>
        <w:jc w:val="center"/>
        <w:rPr>
          <w:b/>
          <w:sz w:val="28"/>
          <w:szCs w:val="28"/>
        </w:rPr>
      </w:pPr>
    </w:p>
    <w:p w14:paraId="12E9B8CC" w14:textId="77777777" w:rsidR="006E4553" w:rsidRPr="00A00E56" w:rsidRDefault="006E4553" w:rsidP="006E4553">
      <w:pPr>
        <w:jc w:val="center"/>
        <w:rPr>
          <w:b/>
          <w:sz w:val="28"/>
          <w:szCs w:val="28"/>
        </w:rPr>
      </w:pPr>
    </w:p>
    <w:p w14:paraId="2B631EC9" w14:textId="77777777" w:rsidR="006E4553" w:rsidRPr="00A00E56" w:rsidRDefault="006E4553" w:rsidP="006E4553">
      <w:pPr>
        <w:jc w:val="center"/>
        <w:rPr>
          <w:b/>
          <w:sz w:val="28"/>
          <w:szCs w:val="28"/>
        </w:rPr>
      </w:pPr>
    </w:p>
    <w:p w14:paraId="14A0D319" w14:textId="77777777" w:rsidR="006E4553" w:rsidRPr="00A00E56" w:rsidRDefault="006E4553" w:rsidP="006E4553">
      <w:pPr>
        <w:jc w:val="center"/>
        <w:rPr>
          <w:b/>
          <w:sz w:val="28"/>
          <w:szCs w:val="28"/>
        </w:rPr>
      </w:pPr>
    </w:p>
    <w:p w14:paraId="78CF23E5" w14:textId="77777777" w:rsidR="006E4553" w:rsidRPr="00A00E56" w:rsidRDefault="006E4553" w:rsidP="006E4553">
      <w:pPr>
        <w:jc w:val="center"/>
        <w:rPr>
          <w:b/>
          <w:sz w:val="28"/>
          <w:szCs w:val="28"/>
        </w:rPr>
      </w:pPr>
    </w:p>
    <w:p w14:paraId="3DA102C6" w14:textId="77777777" w:rsidR="006E4553" w:rsidRPr="00A00E56" w:rsidRDefault="006E4553" w:rsidP="006E4553">
      <w:pPr>
        <w:jc w:val="center"/>
        <w:rPr>
          <w:b/>
          <w:sz w:val="28"/>
          <w:szCs w:val="28"/>
        </w:rPr>
      </w:pPr>
    </w:p>
    <w:p w14:paraId="64F44610" w14:textId="77777777" w:rsidR="006E4553" w:rsidRPr="00A00E56" w:rsidRDefault="006E4553" w:rsidP="006E4553">
      <w:pPr>
        <w:jc w:val="center"/>
        <w:rPr>
          <w:b/>
          <w:sz w:val="28"/>
          <w:szCs w:val="28"/>
        </w:rPr>
      </w:pPr>
    </w:p>
    <w:p w14:paraId="0A30AF61" w14:textId="77777777" w:rsidR="006E4553" w:rsidRPr="00A00E56" w:rsidRDefault="006E4553" w:rsidP="006E4553">
      <w:pPr>
        <w:jc w:val="center"/>
        <w:rPr>
          <w:b/>
          <w:sz w:val="28"/>
          <w:szCs w:val="28"/>
        </w:rPr>
      </w:pPr>
    </w:p>
    <w:p w14:paraId="08C4CE5E" w14:textId="77777777" w:rsidR="006E4553" w:rsidRPr="00A00E56" w:rsidRDefault="006E4553" w:rsidP="006E4553">
      <w:pPr>
        <w:jc w:val="center"/>
        <w:rPr>
          <w:b/>
          <w:sz w:val="28"/>
          <w:szCs w:val="28"/>
        </w:rPr>
      </w:pPr>
    </w:p>
    <w:p w14:paraId="012DB37C" w14:textId="77777777" w:rsidR="006E4553" w:rsidRPr="00A00E56" w:rsidRDefault="006E4553" w:rsidP="006E4553">
      <w:pPr>
        <w:jc w:val="center"/>
        <w:rPr>
          <w:b/>
          <w:sz w:val="28"/>
          <w:szCs w:val="28"/>
        </w:rPr>
      </w:pPr>
    </w:p>
    <w:p w14:paraId="514B4C86" w14:textId="77777777" w:rsidR="006E4553" w:rsidRPr="00A00E56" w:rsidRDefault="006E4553" w:rsidP="006E4553">
      <w:pPr>
        <w:jc w:val="center"/>
        <w:rPr>
          <w:b/>
          <w:sz w:val="28"/>
          <w:szCs w:val="28"/>
        </w:rPr>
      </w:pPr>
    </w:p>
    <w:p w14:paraId="609170E2" w14:textId="77777777" w:rsidR="007E4B5E" w:rsidRDefault="006E4553" w:rsidP="007E4B5E">
      <w:pPr>
        <w:jc w:val="center"/>
        <w:rPr>
          <w:b/>
          <w:sz w:val="28"/>
          <w:szCs w:val="28"/>
        </w:rPr>
      </w:pPr>
      <w:r w:rsidRPr="00A00E56">
        <w:rPr>
          <w:b/>
          <w:sz w:val="28"/>
          <w:szCs w:val="28"/>
        </w:rPr>
        <w:t xml:space="preserve">ЭКСПЕРТНОЕ ЗАКЛЮЧЕНИЕ </w:t>
      </w:r>
    </w:p>
    <w:p w14:paraId="30D784D0" w14:textId="77777777" w:rsidR="007E4B5E" w:rsidRDefault="006E4553" w:rsidP="007E4B5E">
      <w:pPr>
        <w:jc w:val="center"/>
        <w:rPr>
          <w:b/>
          <w:sz w:val="28"/>
          <w:szCs w:val="28"/>
        </w:rPr>
      </w:pPr>
      <w:r w:rsidRPr="00A00E56">
        <w:rPr>
          <w:b/>
          <w:sz w:val="28"/>
          <w:szCs w:val="28"/>
        </w:rPr>
        <w:t>ИНСТИТУТА ЭКОНОМИКИ</w:t>
      </w:r>
      <w:r w:rsidR="007E4B5E">
        <w:rPr>
          <w:b/>
          <w:sz w:val="28"/>
          <w:szCs w:val="28"/>
        </w:rPr>
        <w:t xml:space="preserve"> </w:t>
      </w:r>
      <w:r>
        <w:rPr>
          <w:b/>
          <w:sz w:val="28"/>
          <w:szCs w:val="28"/>
        </w:rPr>
        <w:t>РОССИЙСКОЙ АКАДЕМИИ НАУК</w:t>
      </w:r>
      <w:r w:rsidRPr="00A00E56">
        <w:rPr>
          <w:b/>
          <w:sz w:val="28"/>
          <w:szCs w:val="28"/>
        </w:rPr>
        <w:t xml:space="preserve"> </w:t>
      </w:r>
    </w:p>
    <w:p w14:paraId="7257EF0C" w14:textId="77777777" w:rsidR="007E4B5E" w:rsidRDefault="006E4553" w:rsidP="007E4B5E">
      <w:pPr>
        <w:jc w:val="center"/>
        <w:rPr>
          <w:b/>
          <w:sz w:val="28"/>
          <w:szCs w:val="28"/>
        </w:rPr>
      </w:pPr>
      <w:r w:rsidRPr="00A00E56">
        <w:rPr>
          <w:b/>
          <w:sz w:val="28"/>
          <w:szCs w:val="28"/>
        </w:rPr>
        <w:t>НА ПРОЕКТ</w:t>
      </w:r>
      <w:r w:rsidR="007E4B5E">
        <w:rPr>
          <w:b/>
          <w:sz w:val="28"/>
          <w:szCs w:val="28"/>
        </w:rPr>
        <w:t xml:space="preserve"> </w:t>
      </w:r>
    </w:p>
    <w:p w14:paraId="7BA56AEB" w14:textId="25E4047A" w:rsidR="006E4553" w:rsidRPr="00A00E56" w:rsidRDefault="007E4B5E" w:rsidP="007E4B5E">
      <w:pPr>
        <w:jc w:val="center"/>
        <w:rPr>
          <w:b/>
          <w:sz w:val="28"/>
          <w:szCs w:val="28"/>
        </w:rPr>
      </w:pPr>
      <w:r>
        <w:rPr>
          <w:b/>
          <w:sz w:val="28"/>
          <w:szCs w:val="28"/>
        </w:rPr>
        <w:t xml:space="preserve">ФЕДЕРАЛЬНОГО ЗАКОНА «О </w:t>
      </w:r>
      <w:r w:rsidR="006E4553" w:rsidRPr="00A00E56">
        <w:rPr>
          <w:b/>
          <w:sz w:val="28"/>
          <w:szCs w:val="28"/>
        </w:rPr>
        <w:t>ФЕДЕРАЛЬНО</w:t>
      </w:r>
      <w:r>
        <w:rPr>
          <w:b/>
          <w:sz w:val="28"/>
          <w:szCs w:val="28"/>
        </w:rPr>
        <w:t>М</w:t>
      </w:r>
      <w:r w:rsidR="006E4553" w:rsidRPr="00A00E56">
        <w:rPr>
          <w:b/>
          <w:sz w:val="28"/>
          <w:szCs w:val="28"/>
        </w:rPr>
        <w:t xml:space="preserve"> </w:t>
      </w:r>
      <w:proofErr w:type="gramStart"/>
      <w:r w:rsidR="006E4553" w:rsidRPr="00A00E56">
        <w:rPr>
          <w:b/>
          <w:sz w:val="28"/>
          <w:szCs w:val="28"/>
        </w:rPr>
        <w:t>БЮДЖЕТ</w:t>
      </w:r>
      <w:r>
        <w:rPr>
          <w:b/>
          <w:sz w:val="28"/>
          <w:szCs w:val="28"/>
        </w:rPr>
        <w:t>Е</w:t>
      </w:r>
      <w:proofErr w:type="gramEnd"/>
      <w:r w:rsidR="006E4553" w:rsidRPr="00A00E56">
        <w:rPr>
          <w:b/>
          <w:sz w:val="28"/>
          <w:szCs w:val="28"/>
        </w:rPr>
        <w:t xml:space="preserve"> </w:t>
      </w:r>
      <w:r w:rsidR="006E4553">
        <w:rPr>
          <w:b/>
          <w:sz w:val="28"/>
          <w:szCs w:val="28"/>
        </w:rPr>
        <w:t xml:space="preserve">НА </w:t>
      </w:r>
      <w:r w:rsidR="006E4553" w:rsidRPr="00A00E56">
        <w:rPr>
          <w:b/>
          <w:sz w:val="28"/>
          <w:szCs w:val="28"/>
        </w:rPr>
        <w:t>202</w:t>
      </w:r>
      <w:r w:rsidR="006E4553">
        <w:rPr>
          <w:b/>
          <w:sz w:val="28"/>
          <w:szCs w:val="28"/>
        </w:rPr>
        <w:t>3 ГОД И НА ПЛАНОВЫЙ ПЕРИОД 2024-</w:t>
      </w:r>
      <w:r w:rsidR="006E4553" w:rsidRPr="00A00E56">
        <w:rPr>
          <w:b/>
          <w:sz w:val="28"/>
          <w:szCs w:val="28"/>
        </w:rPr>
        <w:t>202</w:t>
      </w:r>
      <w:r w:rsidR="006E4553">
        <w:rPr>
          <w:b/>
          <w:sz w:val="28"/>
          <w:szCs w:val="28"/>
        </w:rPr>
        <w:t>5</w:t>
      </w:r>
      <w:r w:rsidR="006E4553" w:rsidRPr="00A00E56">
        <w:rPr>
          <w:b/>
          <w:sz w:val="28"/>
          <w:szCs w:val="28"/>
        </w:rPr>
        <w:t xml:space="preserve"> Г</w:t>
      </w:r>
      <w:r w:rsidR="006E4553">
        <w:rPr>
          <w:b/>
          <w:sz w:val="28"/>
          <w:szCs w:val="28"/>
        </w:rPr>
        <w:t>ОДОВ</w:t>
      </w:r>
      <w:r>
        <w:rPr>
          <w:b/>
          <w:sz w:val="28"/>
          <w:szCs w:val="28"/>
        </w:rPr>
        <w:t>»</w:t>
      </w:r>
    </w:p>
    <w:p w14:paraId="1403BD53" w14:textId="77777777" w:rsidR="006E4553" w:rsidRPr="00A00E56" w:rsidRDefault="006E4553" w:rsidP="006E4553">
      <w:pPr>
        <w:jc w:val="center"/>
        <w:rPr>
          <w:b/>
          <w:sz w:val="28"/>
          <w:szCs w:val="28"/>
        </w:rPr>
      </w:pPr>
    </w:p>
    <w:p w14:paraId="0E91C781" w14:textId="077AE63D" w:rsidR="006E4553" w:rsidRDefault="006E4553" w:rsidP="006E4553">
      <w:pPr>
        <w:jc w:val="center"/>
        <w:rPr>
          <w:b/>
          <w:sz w:val="28"/>
          <w:szCs w:val="28"/>
        </w:rPr>
      </w:pPr>
    </w:p>
    <w:p w14:paraId="10DF7320" w14:textId="6750589B" w:rsidR="007E4B5E" w:rsidRDefault="007E4B5E" w:rsidP="006E4553">
      <w:pPr>
        <w:jc w:val="center"/>
        <w:rPr>
          <w:b/>
          <w:sz w:val="28"/>
          <w:szCs w:val="28"/>
        </w:rPr>
      </w:pPr>
    </w:p>
    <w:p w14:paraId="1064252D" w14:textId="6CF2F447" w:rsidR="007E4B5E" w:rsidRDefault="007E4B5E" w:rsidP="006E4553">
      <w:pPr>
        <w:jc w:val="center"/>
        <w:rPr>
          <w:b/>
          <w:sz w:val="28"/>
          <w:szCs w:val="28"/>
        </w:rPr>
      </w:pPr>
    </w:p>
    <w:p w14:paraId="3F924C31" w14:textId="6A81CC24" w:rsidR="007E4B5E" w:rsidRDefault="007E4B5E" w:rsidP="006E4553">
      <w:pPr>
        <w:jc w:val="center"/>
        <w:rPr>
          <w:b/>
          <w:sz w:val="28"/>
          <w:szCs w:val="28"/>
        </w:rPr>
      </w:pPr>
    </w:p>
    <w:p w14:paraId="108160D7" w14:textId="4E6CD0D3" w:rsidR="007E4B5E" w:rsidRDefault="007E4B5E" w:rsidP="006E4553">
      <w:pPr>
        <w:jc w:val="center"/>
        <w:rPr>
          <w:b/>
          <w:sz w:val="28"/>
          <w:szCs w:val="28"/>
        </w:rPr>
      </w:pPr>
    </w:p>
    <w:p w14:paraId="3F941BC0" w14:textId="2FF95A36" w:rsidR="007E4B5E" w:rsidRDefault="007E4B5E" w:rsidP="006E4553">
      <w:pPr>
        <w:jc w:val="center"/>
        <w:rPr>
          <w:b/>
          <w:sz w:val="28"/>
          <w:szCs w:val="28"/>
        </w:rPr>
      </w:pPr>
    </w:p>
    <w:p w14:paraId="0C068BB5" w14:textId="722A5A2B" w:rsidR="007E4B5E" w:rsidRDefault="007E4B5E" w:rsidP="006E4553">
      <w:pPr>
        <w:jc w:val="center"/>
        <w:rPr>
          <w:b/>
          <w:sz w:val="28"/>
          <w:szCs w:val="28"/>
        </w:rPr>
      </w:pPr>
    </w:p>
    <w:p w14:paraId="5DD22565" w14:textId="61F1849B" w:rsidR="007E4B5E" w:rsidRDefault="007E4B5E" w:rsidP="006E4553">
      <w:pPr>
        <w:jc w:val="center"/>
        <w:rPr>
          <w:b/>
          <w:sz w:val="28"/>
          <w:szCs w:val="28"/>
        </w:rPr>
      </w:pPr>
    </w:p>
    <w:p w14:paraId="09792440" w14:textId="07705AFC" w:rsidR="007E4B5E" w:rsidRDefault="007E4B5E" w:rsidP="006E4553">
      <w:pPr>
        <w:jc w:val="center"/>
        <w:rPr>
          <w:b/>
          <w:sz w:val="28"/>
          <w:szCs w:val="28"/>
        </w:rPr>
      </w:pPr>
    </w:p>
    <w:p w14:paraId="7C5F1DB5" w14:textId="68039061" w:rsidR="007E4B5E" w:rsidRDefault="007E4B5E" w:rsidP="006E4553">
      <w:pPr>
        <w:jc w:val="center"/>
        <w:rPr>
          <w:b/>
          <w:sz w:val="28"/>
          <w:szCs w:val="28"/>
        </w:rPr>
      </w:pPr>
    </w:p>
    <w:p w14:paraId="6BC6BB2B" w14:textId="420749F8" w:rsidR="007E4B5E" w:rsidRDefault="007E4B5E" w:rsidP="006E4553">
      <w:pPr>
        <w:jc w:val="center"/>
        <w:rPr>
          <w:b/>
          <w:sz w:val="28"/>
          <w:szCs w:val="28"/>
        </w:rPr>
      </w:pPr>
    </w:p>
    <w:p w14:paraId="2CAD97EC" w14:textId="1AA9F0A2" w:rsidR="007E4B5E" w:rsidRDefault="007E4B5E" w:rsidP="006E4553">
      <w:pPr>
        <w:jc w:val="center"/>
        <w:rPr>
          <w:b/>
          <w:sz w:val="28"/>
          <w:szCs w:val="28"/>
        </w:rPr>
      </w:pPr>
    </w:p>
    <w:p w14:paraId="04813DAA" w14:textId="6D2748D2" w:rsidR="007E4B5E" w:rsidRDefault="007E4B5E" w:rsidP="006E4553">
      <w:pPr>
        <w:jc w:val="center"/>
        <w:rPr>
          <w:b/>
          <w:sz w:val="28"/>
          <w:szCs w:val="28"/>
        </w:rPr>
      </w:pPr>
    </w:p>
    <w:p w14:paraId="1721849F" w14:textId="77777777" w:rsidR="007E4B5E" w:rsidRPr="00A00E56" w:rsidRDefault="007E4B5E" w:rsidP="006E4553">
      <w:pPr>
        <w:jc w:val="center"/>
        <w:rPr>
          <w:b/>
          <w:sz w:val="28"/>
          <w:szCs w:val="28"/>
        </w:rPr>
      </w:pPr>
    </w:p>
    <w:p w14:paraId="099F555E" w14:textId="77777777" w:rsidR="006E4553" w:rsidRPr="00A00E56" w:rsidRDefault="006E4553" w:rsidP="006E4553">
      <w:pPr>
        <w:jc w:val="center"/>
        <w:rPr>
          <w:b/>
          <w:sz w:val="28"/>
          <w:szCs w:val="28"/>
        </w:rPr>
      </w:pPr>
    </w:p>
    <w:p w14:paraId="269C163D" w14:textId="7E0AF26F" w:rsidR="006E4553" w:rsidRDefault="006E4553" w:rsidP="006E4553">
      <w:pPr>
        <w:spacing w:line="360" w:lineRule="auto"/>
        <w:jc w:val="center"/>
        <w:rPr>
          <w:b/>
          <w:sz w:val="28"/>
          <w:szCs w:val="28"/>
        </w:rPr>
      </w:pPr>
    </w:p>
    <w:p w14:paraId="050376A7" w14:textId="70EB8E8D" w:rsidR="00772BE0" w:rsidRDefault="00772BE0" w:rsidP="006E4553">
      <w:pPr>
        <w:spacing w:line="360" w:lineRule="auto"/>
        <w:jc w:val="center"/>
        <w:rPr>
          <w:b/>
          <w:sz w:val="28"/>
          <w:szCs w:val="28"/>
        </w:rPr>
      </w:pPr>
    </w:p>
    <w:p w14:paraId="17C8A5AB" w14:textId="77777777" w:rsidR="00772BE0" w:rsidRPr="00A00E56" w:rsidRDefault="00772BE0" w:rsidP="006E4553">
      <w:pPr>
        <w:spacing w:line="360" w:lineRule="auto"/>
        <w:jc w:val="center"/>
        <w:rPr>
          <w:b/>
          <w:sz w:val="28"/>
          <w:szCs w:val="28"/>
        </w:rPr>
      </w:pPr>
    </w:p>
    <w:p w14:paraId="4D0DF8A0" w14:textId="77777777" w:rsidR="006E4553" w:rsidRPr="00A00E56" w:rsidRDefault="006E4553" w:rsidP="006E4553">
      <w:pPr>
        <w:spacing w:line="360" w:lineRule="auto"/>
        <w:jc w:val="center"/>
        <w:rPr>
          <w:b/>
          <w:sz w:val="28"/>
          <w:szCs w:val="28"/>
        </w:rPr>
      </w:pPr>
    </w:p>
    <w:p w14:paraId="0092A3A1" w14:textId="77777777" w:rsidR="00502603" w:rsidRDefault="00502603" w:rsidP="006E4553">
      <w:pPr>
        <w:spacing w:line="360" w:lineRule="auto"/>
        <w:jc w:val="center"/>
        <w:rPr>
          <w:b/>
          <w:sz w:val="28"/>
          <w:szCs w:val="28"/>
        </w:rPr>
      </w:pPr>
    </w:p>
    <w:p w14:paraId="149BF709" w14:textId="77777777" w:rsidR="00502603" w:rsidRDefault="00502603" w:rsidP="006E4553">
      <w:pPr>
        <w:spacing w:line="360" w:lineRule="auto"/>
        <w:jc w:val="center"/>
        <w:rPr>
          <w:b/>
          <w:sz w:val="28"/>
          <w:szCs w:val="28"/>
        </w:rPr>
      </w:pPr>
    </w:p>
    <w:p w14:paraId="2C08037E" w14:textId="4C53CCD5" w:rsidR="006E4553" w:rsidRDefault="006E4553" w:rsidP="006E4553">
      <w:pPr>
        <w:spacing w:line="360" w:lineRule="auto"/>
        <w:jc w:val="center"/>
        <w:rPr>
          <w:b/>
          <w:sz w:val="28"/>
          <w:szCs w:val="28"/>
        </w:rPr>
      </w:pPr>
      <w:r w:rsidRPr="00A00E56">
        <w:rPr>
          <w:b/>
          <w:sz w:val="28"/>
          <w:szCs w:val="28"/>
        </w:rPr>
        <w:t>Москва - октябрь 202</w:t>
      </w:r>
      <w:r>
        <w:rPr>
          <w:b/>
          <w:sz w:val="28"/>
          <w:szCs w:val="28"/>
        </w:rPr>
        <w:t>2</w:t>
      </w:r>
      <w:r w:rsidRPr="00A00E56">
        <w:rPr>
          <w:b/>
          <w:sz w:val="28"/>
          <w:szCs w:val="28"/>
        </w:rPr>
        <w:t xml:space="preserve"> г. </w:t>
      </w:r>
    </w:p>
    <w:p w14:paraId="7243F011" w14:textId="77777777" w:rsidR="007E4B5E" w:rsidRDefault="007E4B5E" w:rsidP="007E4B5E">
      <w:pPr>
        <w:spacing w:line="276" w:lineRule="auto"/>
        <w:jc w:val="center"/>
        <w:rPr>
          <w:b/>
          <w:bCs/>
          <w:sz w:val="28"/>
          <w:szCs w:val="28"/>
        </w:rPr>
      </w:pPr>
    </w:p>
    <w:p w14:paraId="25EBEE19" w14:textId="61F0E9BD" w:rsidR="007E4B5E" w:rsidRDefault="007E4B5E" w:rsidP="007E4B5E">
      <w:pPr>
        <w:spacing w:line="276" w:lineRule="auto"/>
        <w:jc w:val="center"/>
        <w:rPr>
          <w:b/>
          <w:bCs/>
          <w:sz w:val="28"/>
          <w:szCs w:val="28"/>
        </w:rPr>
      </w:pPr>
      <w:r>
        <w:rPr>
          <w:b/>
          <w:bCs/>
          <w:sz w:val="28"/>
          <w:szCs w:val="28"/>
        </w:rPr>
        <w:t>РЕЗЮМЕ</w:t>
      </w:r>
    </w:p>
    <w:p w14:paraId="68347CF0" w14:textId="5E17CC5E" w:rsidR="00A17220" w:rsidRDefault="007E4B5E" w:rsidP="007E4B5E">
      <w:pPr>
        <w:spacing w:line="276" w:lineRule="auto"/>
        <w:ind w:firstLine="567"/>
        <w:jc w:val="both"/>
        <w:rPr>
          <w:sz w:val="28"/>
          <w:szCs w:val="28"/>
        </w:rPr>
      </w:pPr>
      <w:proofErr w:type="gramStart"/>
      <w:r>
        <w:rPr>
          <w:sz w:val="28"/>
          <w:szCs w:val="28"/>
        </w:rPr>
        <w:t xml:space="preserve">Экспертное заключение на Проект </w:t>
      </w:r>
      <w:r w:rsidR="00D15C79">
        <w:rPr>
          <w:sz w:val="28"/>
          <w:szCs w:val="28"/>
        </w:rPr>
        <w:t>Федерального закона «О федеральном бюджете на 2023 год и плановый период 2024 и 2025 годов» подготовлено с учетом положений Прогноза социально-экономического развития на предстоящий период</w:t>
      </w:r>
      <w:r w:rsidR="0036345D">
        <w:rPr>
          <w:sz w:val="28"/>
          <w:szCs w:val="28"/>
        </w:rPr>
        <w:t>;</w:t>
      </w:r>
      <w:r w:rsidR="00D15C79">
        <w:rPr>
          <w:sz w:val="28"/>
          <w:szCs w:val="28"/>
        </w:rPr>
        <w:t xml:space="preserve"> Основных направлений </w:t>
      </w:r>
      <w:r w:rsidR="00D15C79" w:rsidRPr="004552B2">
        <w:rPr>
          <w:sz w:val="28"/>
          <w:szCs w:val="28"/>
        </w:rPr>
        <w:t>бюджетной, налоговой и таможенно-тарифной политики</w:t>
      </w:r>
      <w:r w:rsidR="00D15C79">
        <w:rPr>
          <w:sz w:val="28"/>
          <w:szCs w:val="28"/>
        </w:rPr>
        <w:t xml:space="preserve">; Основных направлений </w:t>
      </w:r>
      <w:r w:rsidR="0036345D">
        <w:rPr>
          <w:sz w:val="28"/>
          <w:szCs w:val="28"/>
        </w:rPr>
        <w:t xml:space="preserve">единой государственной </w:t>
      </w:r>
      <w:r w:rsidR="00D15C79">
        <w:rPr>
          <w:sz w:val="28"/>
          <w:szCs w:val="28"/>
        </w:rPr>
        <w:t>денежно-кредитной политики и других документов государственного планирования и прогнозирования</w:t>
      </w:r>
      <w:r w:rsidR="00A17220">
        <w:rPr>
          <w:sz w:val="28"/>
          <w:szCs w:val="28"/>
        </w:rPr>
        <w:t xml:space="preserve">. </w:t>
      </w:r>
      <w:proofErr w:type="gramEnd"/>
    </w:p>
    <w:p w14:paraId="2B52327B" w14:textId="415526F6" w:rsidR="00265C2E" w:rsidRDefault="00A17220" w:rsidP="007E4B5E">
      <w:pPr>
        <w:spacing w:line="276" w:lineRule="auto"/>
        <w:ind w:firstLine="567"/>
        <w:jc w:val="both"/>
        <w:rPr>
          <w:sz w:val="28"/>
          <w:szCs w:val="28"/>
        </w:rPr>
      </w:pPr>
      <w:proofErr w:type="gramStart"/>
      <w:r>
        <w:rPr>
          <w:sz w:val="28"/>
          <w:szCs w:val="28"/>
        </w:rPr>
        <w:t xml:space="preserve">Законопроект и Пояснительная записка к нему подготовлены в условиях турбулентной среды, поэтому отмечается </w:t>
      </w:r>
      <w:proofErr w:type="spellStart"/>
      <w:r>
        <w:rPr>
          <w:sz w:val="28"/>
          <w:szCs w:val="28"/>
        </w:rPr>
        <w:t>несостыковка</w:t>
      </w:r>
      <w:proofErr w:type="spellEnd"/>
      <w:r>
        <w:rPr>
          <w:sz w:val="28"/>
          <w:szCs w:val="28"/>
        </w:rPr>
        <w:t xml:space="preserve"> в отдельных параметрах (особенно между Законопроектом и Пояснительной запиской)</w:t>
      </w:r>
      <w:r w:rsidR="003F0213">
        <w:rPr>
          <w:sz w:val="28"/>
          <w:szCs w:val="28"/>
        </w:rPr>
        <w:t xml:space="preserve">, отсутствует учет (или ясное описание) новаций, происходящих в политической сфере, в силу секретности недоступна детализация значительной доли федеральных расходов, что затрудняет экспертную оценку. </w:t>
      </w:r>
      <w:proofErr w:type="gramEnd"/>
    </w:p>
    <w:p w14:paraId="48D657BE" w14:textId="2CF35B1F" w:rsidR="007E4B5E" w:rsidRDefault="00265C2E" w:rsidP="007E4B5E">
      <w:pPr>
        <w:spacing w:line="276" w:lineRule="auto"/>
        <w:ind w:firstLine="567"/>
        <w:jc w:val="both"/>
        <w:rPr>
          <w:sz w:val="28"/>
          <w:szCs w:val="28"/>
        </w:rPr>
      </w:pPr>
      <w:r>
        <w:rPr>
          <w:sz w:val="28"/>
          <w:szCs w:val="28"/>
        </w:rPr>
        <w:t xml:space="preserve">В экспертном заключении обосновываются риски планируемых параметров федерального </w:t>
      </w:r>
      <w:proofErr w:type="gramStart"/>
      <w:r>
        <w:rPr>
          <w:sz w:val="28"/>
          <w:szCs w:val="28"/>
        </w:rPr>
        <w:t>бюджета</w:t>
      </w:r>
      <w:proofErr w:type="gramEnd"/>
      <w:r w:rsidR="00140541">
        <w:rPr>
          <w:sz w:val="28"/>
          <w:szCs w:val="28"/>
        </w:rPr>
        <w:t xml:space="preserve"> как в доходной, так и в расходной части. Это связанно как с чрезмерным оптимизмом параметров прогноза социально-экономического развития на </w:t>
      </w:r>
      <w:r w:rsidR="0036345D">
        <w:rPr>
          <w:sz w:val="28"/>
          <w:szCs w:val="28"/>
        </w:rPr>
        <w:t>2023-</w:t>
      </w:r>
      <w:r w:rsidR="00140541">
        <w:rPr>
          <w:sz w:val="28"/>
          <w:szCs w:val="28"/>
        </w:rPr>
        <w:t xml:space="preserve">2025 гг., так и с отдельными несоответствиями между действующими документами, высокой неопределенностью внешнеполитической ситуации и недооценкой ее последствий для социально-экономического развития РФ. </w:t>
      </w:r>
    </w:p>
    <w:p w14:paraId="577293E2" w14:textId="0EFB8EA1" w:rsidR="00D15C79" w:rsidRPr="00197997" w:rsidRDefault="00197997" w:rsidP="007E4B5E">
      <w:pPr>
        <w:spacing w:line="276" w:lineRule="auto"/>
        <w:ind w:firstLine="567"/>
        <w:jc w:val="both"/>
        <w:rPr>
          <w:sz w:val="28"/>
          <w:szCs w:val="28"/>
        </w:rPr>
      </w:pPr>
      <w:r w:rsidRPr="00197997">
        <w:rPr>
          <w:sz w:val="28"/>
          <w:szCs w:val="28"/>
        </w:rPr>
        <w:t>Общий вывод экспертов заключается в том, что Проект федерального бюджета</w:t>
      </w:r>
      <w:r>
        <w:rPr>
          <w:sz w:val="28"/>
          <w:szCs w:val="28"/>
        </w:rPr>
        <w:t xml:space="preserve"> позволяет обеспечить сложившийся уровень расходных обязательств, однако содержит серьезные риски финансовой несбалансированности в случае эскалации военного конфликта и возникновения обязательств по восстановлению территорий. </w:t>
      </w:r>
    </w:p>
    <w:p w14:paraId="57F4E920" w14:textId="77777777" w:rsidR="00140541" w:rsidRDefault="00140541" w:rsidP="005E4A98">
      <w:pPr>
        <w:spacing w:line="276" w:lineRule="auto"/>
        <w:jc w:val="center"/>
        <w:rPr>
          <w:b/>
          <w:bCs/>
          <w:sz w:val="28"/>
          <w:szCs w:val="28"/>
        </w:rPr>
      </w:pPr>
      <w:r>
        <w:rPr>
          <w:b/>
          <w:bCs/>
          <w:sz w:val="28"/>
          <w:szCs w:val="28"/>
        </w:rPr>
        <w:br w:type="page"/>
      </w:r>
    </w:p>
    <w:p w14:paraId="60943CB3" w14:textId="56A3760E" w:rsidR="005E4A98" w:rsidRPr="004E7624" w:rsidRDefault="005E4A98" w:rsidP="005E4A98">
      <w:pPr>
        <w:spacing w:line="276" w:lineRule="auto"/>
        <w:jc w:val="center"/>
        <w:rPr>
          <w:b/>
          <w:bCs/>
          <w:sz w:val="28"/>
          <w:szCs w:val="28"/>
        </w:rPr>
      </w:pPr>
      <w:r w:rsidRPr="004E7624">
        <w:rPr>
          <w:b/>
          <w:bCs/>
          <w:sz w:val="28"/>
          <w:szCs w:val="28"/>
        </w:rPr>
        <w:lastRenderedPageBreak/>
        <w:t>СОДЕРЖАНИЕ</w:t>
      </w:r>
    </w:p>
    <w:p w14:paraId="31E98442" w14:textId="77777777" w:rsidR="005E4A98" w:rsidRPr="004E7624" w:rsidRDefault="005E4A98" w:rsidP="005E4A98"/>
    <w:p w14:paraId="66839AA9" w14:textId="77777777" w:rsidR="005E4A98" w:rsidRPr="004E7624" w:rsidRDefault="005E4A98" w:rsidP="005E4A98"/>
    <w:sdt>
      <w:sdtPr>
        <w:rPr>
          <w:sz w:val="28"/>
          <w:szCs w:val="28"/>
        </w:rPr>
        <w:id w:val="485133867"/>
        <w:docPartObj>
          <w:docPartGallery w:val="Table of Contents"/>
          <w:docPartUnique/>
        </w:docPartObj>
      </w:sdtPr>
      <w:sdtContent>
        <w:p w14:paraId="1403233C" w14:textId="1F61C8BE" w:rsidR="00703CEB" w:rsidRPr="00703CEB" w:rsidRDefault="00772BE0" w:rsidP="00703CEB">
          <w:pPr>
            <w:pStyle w:val="13"/>
            <w:tabs>
              <w:tab w:val="left" w:pos="440"/>
              <w:tab w:val="right" w:leader="dot" w:pos="9345"/>
            </w:tabs>
            <w:jc w:val="both"/>
            <w:rPr>
              <w:rFonts w:asciiTheme="minorHAnsi" w:eastAsiaTheme="minorEastAsia" w:hAnsiTheme="minorHAnsi" w:cstheme="minorBidi"/>
              <w:noProof/>
              <w:sz w:val="28"/>
              <w:szCs w:val="28"/>
            </w:rPr>
          </w:pPr>
          <w:r w:rsidRPr="00703CEB">
            <w:rPr>
              <w:sz w:val="28"/>
              <w:szCs w:val="28"/>
            </w:rPr>
            <w:fldChar w:fldCharType="begin"/>
          </w:r>
          <w:r w:rsidRPr="00703CEB">
            <w:rPr>
              <w:sz w:val="28"/>
              <w:szCs w:val="28"/>
            </w:rPr>
            <w:instrText xml:space="preserve"> TOC \o "1-3" \h \z \u </w:instrText>
          </w:r>
          <w:r w:rsidRPr="00703CEB">
            <w:rPr>
              <w:sz w:val="28"/>
              <w:szCs w:val="28"/>
            </w:rPr>
            <w:fldChar w:fldCharType="separate"/>
          </w:r>
          <w:hyperlink w:anchor="_Toc116561831" w:history="1">
            <w:r w:rsidR="00703CEB" w:rsidRPr="00703CEB">
              <w:rPr>
                <w:rStyle w:val="ad"/>
                <w:noProof/>
                <w:sz w:val="28"/>
                <w:szCs w:val="28"/>
              </w:rPr>
              <w:t>1.</w:t>
            </w:r>
            <w:r w:rsidR="00703CEB" w:rsidRPr="00703CEB">
              <w:rPr>
                <w:rFonts w:asciiTheme="minorHAnsi" w:eastAsiaTheme="minorEastAsia" w:hAnsiTheme="minorHAnsi" w:cstheme="minorBidi"/>
                <w:noProof/>
                <w:sz w:val="28"/>
                <w:szCs w:val="28"/>
              </w:rPr>
              <w:tab/>
            </w:r>
            <w:r w:rsidR="00703CEB" w:rsidRPr="00703CEB">
              <w:rPr>
                <w:rStyle w:val="ad"/>
                <w:noProof/>
                <w:sz w:val="28"/>
                <w:szCs w:val="28"/>
              </w:rPr>
              <w:t>Основные характеристики проекта федерального бюджета на 2023 год и плановый период 2024 и 2025 годов</w:t>
            </w:r>
            <w:r w:rsidR="00703CEB" w:rsidRPr="00703CEB">
              <w:rPr>
                <w:noProof/>
                <w:webHidden/>
                <w:sz w:val="28"/>
                <w:szCs w:val="28"/>
              </w:rPr>
              <w:tab/>
            </w:r>
            <w:r w:rsidR="00703CEB" w:rsidRPr="00703CEB">
              <w:rPr>
                <w:noProof/>
                <w:webHidden/>
                <w:sz w:val="28"/>
                <w:szCs w:val="28"/>
              </w:rPr>
              <w:fldChar w:fldCharType="begin"/>
            </w:r>
            <w:r w:rsidR="00703CEB" w:rsidRPr="00703CEB">
              <w:rPr>
                <w:noProof/>
                <w:webHidden/>
                <w:sz w:val="28"/>
                <w:szCs w:val="28"/>
              </w:rPr>
              <w:instrText xml:space="preserve"> PAGEREF _Toc116561831 \h </w:instrText>
            </w:r>
            <w:r w:rsidR="00703CEB" w:rsidRPr="00703CEB">
              <w:rPr>
                <w:noProof/>
                <w:webHidden/>
                <w:sz w:val="28"/>
                <w:szCs w:val="28"/>
              </w:rPr>
            </w:r>
            <w:r w:rsidR="00703CEB" w:rsidRPr="00703CEB">
              <w:rPr>
                <w:noProof/>
                <w:webHidden/>
                <w:sz w:val="28"/>
                <w:szCs w:val="28"/>
              </w:rPr>
              <w:fldChar w:fldCharType="separate"/>
            </w:r>
            <w:r w:rsidR="00303B9A">
              <w:rPr>
                <w:noProof/>
                <w:webHidden/>
                <w:sz w:val="28"/>
                <w:szCs w:val="28"/>
              </w:rPr>
              <w:t>4</w:t>
            </w:r>
            <w:r w:rsidR="00703CEB" w:rsidRPr="00703CEB">
              <w:rPr>
                <w:noProof/>
                <w:webHidden/>
                <w:sz w:val="28"/>
                <w:szCs w:val="28"/>
              </w:rPr>
              <w:fldChar w:fldCharType="end"/>
            </w:r>
          </w:hyperlink>
        </w:p>
        <w:p w14:paraId="576B6EF1" w14:textId="2588FBF4" w:rsidR="00703CEB" w:rsidRPr="00703CEB" w:rsidRDefault="00005928" w:rsidP="00703CEB">
          <w:pPr>
            <w:pStyle w:val="13"/>
            <w:tabs>
              <w:tab w:val="left" w:pos="440"/>
              <w:tab w:val="right" w:leader="dot" w:pos="9345"/>
            </w:tabs>
            <w:jc w:val="both"/>
            <w:rPr>
              <w:rFonts w:asciiTheme="minorHAnsi" w:eastAsiaTheme="minorEastAsia" w:hAnsiTheme="minorHAnsi" w:cstheme="minorBidi"/>
              <w:noProof/>
              <w:sz w:val="28"/>
              <w:szCs w:val="28"/>
            </w:rPr>
          </w:pPr>
          <w:hyperlink w:anchor="_Toc116561832" w:history="1">
            <w:r w:rsidR="00703CEB" w:rsidRPr="00703CEB">
              <w:rPr>
                <w:rStyle w:val="ad"/>
                <w:noProof/>
                <w:sz w:val="28"/>
                <w:szCs w:val="28"/>
              </w:rPr>
              <w:t>2.</w:t>
            </w:r>
            <w:r w:rsidR="00703CEB" w:rsidRPr="00703CEB">
              <w:rPr>
                <w:rFonts w:asciiTheme="minorHAnsi" w:eastAsiaTheme="minorEastAsia" w:hAnsiTheme="minorHAnsi" w:cstheme="minorBidi"/>
                <w:noProof/>
                <w:sz w:val="28"/>
                <w:szCs w:val="28"/>
              </w:rPr>
              <w:tab/>
            </w:r>
            <w:r w:rsidR="00703CEB" w:rsidRPr="00703CEB">
              <w:rPr>
                <w:rStyle w:val="ad"/>
                <w:noProof/>
                <w:sz w:val="28"/>
                <w:szCs w:val="28"/>
              </w:rPr>
              <w:t>Проблемные аспекты денежно-кредитной политики при формировании доходной части Проекта Федерального бюджета на 2023 год и плановый период 2024 и 2025 годов</w:t>
            </w:r>
            <w:r w:rsidR="00703CEB" w:rsidRPr="00703CEB">
              <w:rPr>
                <w:noProof/>
                <w:webHidden/>
                <w:sz w:val="28"/>
                <w:szCs w:val="28"/>
              </w:rPr>
              <w:tab/>
            </w:r>
            <w:r w:rsidR="00703CEB" w:rsidRPr="00703CEB">
              <w:rPr>
                <w:noProof/>
                <w:webHidden/>
                <w:sz w:val="28"/>
                <w:szCs w:val="28"/>
              </w:rPr>
              <w:fldChar w:fldCharType="begin"/>
            </w:r>
            <w:r w:rsidR="00703CEB" w:rsidRPr="00703CEB">
              <w:rPr>
                <w:noProof/>
                <w:webHidden/>
                <w:sz w:val="28"/>
                <w:szCs w:val="28"/>
              </w:rPr>
              <w:instrText xml:space="preserve"> PAGEREF _Toc116561832 \h </w:instrText>
            </w:r>
            <w:r w:rsidR="00703CEB" w:rsidRPr="00703CEB">
              <w:rPr>
                <w:noProof/>
                <w:webHidden/>
                <w:sz w:val="28"/>
                <w:szCs w:val="28"/>
              </w:rPr>
            </w:r>
            <w:r w:rsidR="00703CEB" w:rsidRPr="00703CEB">
              <w:rPr>
                <w:noProof/>
                <w:webHidden/>
                <w:sz w:val="28"/>
                <w:szCs w:val="28"/>
              </w:rPr>
              <w:fldChar w:fldCharType="separate"/>
            </w:r>
            <w:r w:rsidR="00303B9A">
              <w:rPr>
                <w:noProof/>
                <w:webHidden/>
                <w:sz w:val="28"/>
                <w:szCs w:val="28"/>
              </w:rPr>
              <w:t>10</w:t>
            </w:r>
            <w:r w:rsidR="00703CEB" w:rsidRPr="00703CEB">
              <w:rPr>
                <w:noProof/>
                <w:webHidden/>
                <w:sz w:val="28"/>
                <w:szCs w:val="28"/>
              </w:rPr>
              <w:fldChar w:fldCharType="end"/>
            </w:r>
          </w:hyperlink>
        </w:p>
        <w:p w14:paraId="4F8BF9F5" w14:textId="2E40D129" w:rsidR="00703CEB" w:rsidRPr="00703CEB" w:rsidRDefault="00005928" w:rsidP="00703CEB">
          <w:pPr>
            <w:pStyle w:val="13"/>
            <w:tabs>
              <w:tab w:val="left" w:pos="440"/>
              <w:tab w:val="right" w:leader="dot" w:pos="9345"/>
            </w:tabs>
            <w:jc w:val="both"/>
            <w:rPr>
              <w:rFonts w:asciiTheme="minorHAnsi" w:eastAsiaTheme="minorEastAsia" w:hAnsiTheme="minorHAnsi" w:cstheme="minorBidi"/>
              <w:noProof/>
              <w:sz w:val="28"/>
              <w:szCs w:val="28"/>
            </w:rPr>
          </w:pPr>
          <w:hyperlink w:anchor="_Toc116561833" w:history="1">
            <w:r w:rsidR="00703CEB" w:rsidRPr="00703CEB">
              <w:rPr>
                <w:rStyle w:val="ad"/>
                <w:noProof/>
                <w:sz w:val="28"/>
                <w:szCs w:val="28"/>
              </w:rPr>
              <w:t>3.</w:t>
            </w:r>
            <w:r w:rsidR="00703CEB" w:rsidRPr="00703CEB">
              <w:rPr>
                <w:rFonts w:asciiTheme="minorHAnsi" w:eastAsiaTheme="minorEastAsia" w:hAnsiTheme="minorHAnsi" w:cstheme="minorBidi"/>
                <w:noProof/>
                <w:sz w:val="28"/>
                <w:szCs w:val="28"/>
              </w:rPr>
              <w:tab/>
            </w:r>
            <w:r w:rsidR="00703CEB" w:rsidRPr="00703CEB">
              <w:rPr>
                <w:rStyle w:val="ad"/>
                <w:noProof/>
                <w:sz w:val="28"/>
                <w:szCs w:val="28"/>
              </w:rPr>
              <w:t>Доходы Федерального бюджета на 2023 год и плановый период 2024 и 2025 годов</w:t>
            </w:r>
            <w:r w:rsidR="00703CEB" w:rsidRPr="00703CEB">
              <w:rPr>
                <w:noProof/>
                <w:webHidden/>
                <w:sz w:val="28"/>
                <w:szCs w:val="28"/>
              </w:rPr>
              <w:tab/>
            </w:r>
            <w:r w:rsidR="00703CEB" w:rsidRPr="00703CEB">
              <w:rPr>
                <w:noProof/>
                <w:webHidden/>
                <w:sz w:val="28"/>
                <w:szCs w:val="28"/>
              </w:rPr>
              <w:fldChar w:fldCharType="begin"/>
            </w:r>
            <w:r w:rsidR="00703CEB" w:rsidRPr="00703CEB">
              <w:rPr>
                <w:noProof/>
                <w:webHidden/>
                <w:sz w:val="28"/>
                <w:szCs w:val="28"/>
              </w:rPr>
              <w:instrText xml:space="preserve"> PAGEREF _Toc116561833 \h </w:instrText>
            </w:r>
            <w:r w:rsidR="00703CEB" w:rsidRPr="00703CEB">
              <w:rPr>
                <w:noProof/>
                <w:webHidden/>
                <w:sz w:val="28"/>
                <w:szCs w:val="28"/>
              </w:rPr>
            </w:r>
            <w:r w:rsidR="00703CEB" w:rsidRPr="00703CEB">
              <w:rPr>
                <w:noProof/>
                <w:webHidden/>
                <w:sz w:val="28"/>
                <w:szCs w:val="28"/>
              </w:rPr>
              <w:fldChar w:fldCharType="separate"/>
            </w:r>
            <w:r w:rsidR="00303B9A">
              <w:rPr>
                <w:noProof/>
                <w:webHidden/>
                <w:sz w:val="28"/>
                <w:szCs w:val="28"/>
              </w:rPr>
              <w:t>15</w:t>
            </w:r>
            <w:r w:rsidR="00703CEB" w:rsidRPr="00703CEB">
              <w:rPr>
                <w:noProof/>
                <w:webHidden/>
                <w:sz w:val="28"/>
                <w:szCs w:val="28"/>
              </w:rPr>
              <w:fldChar w:fldCharType="end"/>
            </w:r>
          </w:hyperlink>
        </w:p>
        <w:p w14:paraId="48011953" w14:textId="5D6FF768" w:rsidR="00703CEB" w:rsidRPr="00703CEB" w:rsidRDefault="00005928" w:rsidP="00703CEB">
          <w:pPr>
            <w:pStyle w:val="13"/>
            <w:tabs>
              <w:tab w:val="left" w:pos="440"/>
              <w:tab w:val="right" w:leader="dot" w:pos="9345"/>
            </w:tabs>
            <w:jc w:val="both"/>
            <w:rPr>
              <w:rFonts w:asciiTheme="minorHAnsi" w:eastAsiaTheme="minorEastAsia" w:hAnsiTheme="minorHAnsi" w:cstheme="minorBidi"/>
              <w:noProof/>
              <w:sz w:val="28"/>
              <w:szCs w:val="28"/>
            </w:rPr>
          </w:pPr>
          <w:hyperlink w:anchor="_Toc116561834" w:history="1">
            <w:r w:rsidR="00703CEB" w:rsidRPr="00703CEB">
              <w:rPr>
                <w:rStyle w:val="ad"/>
                <w:noProof/>
                <w:sz w:val="28"/>
                <w:szCs w:val="28"/>
              </w:rPr>
              <w:t>4.</w:t>
            </w:r>
            <w:r w:rsidR="00703CEB" w:rsidRPr="00703CEB">
              <w:rPr>
                <w:rFonts w:asciiTheme="minorHAnsi" w:eastAsiaTheme="minorEastAsia" w:hAnsiTheme="minorHAnsi" w:cstheme="minorBidi"/>
                <w:noProof/>
                <w:sz w:val="28"/>
                <w:szCs w:val="28"/>
              </w:rPr>
              <w:tab/>
            </w:r>
            <w:r w:rsidR="00703CEB" w:rsidRPr="00703CEB">
              <w:rPr>
                <w:rStyle w:val="ad"/>
                <w:noProof/>
                <w:sz w:val="28"/>
                <w:szCs w:val="28"/>
              </w:rPr>
              <w:t>Анализ основных положений расходной части Проекта Федерального бюджета на 2023 год и плановый период 2024-2025 годов</w:t>
            </w:r>
            <w:r w:rsidR="00703CEB" w:rsidRPr="00703CEB">
              <w:rPr>
                <w:noProof/>
                <w:webHidden/>
                <w:sz w:val="28"/>
                <w:szCs w:val="28"/>
              </w:rPr>
              <w:tab/>
            </w:r>
            <w:r w:rsidR="00703CEB" w:rsidRPr="00703CEB">
              <w:rPr>
                <w:noProof/>
                <w:webHidden/>
                <w:sz w:val="28"/>
                <w:szCs w:val="28"/>
              </w:rPr>
              <w:fldChar w:fldCharType="begin"/>
            </w:r>
            <w:r w:rsidR="00703CEB" w:rsidRPr="00703CEB">
              <w:rPr>
                <w:noProof/>
                <w:webHidden/>
                <w:sz w:val="28"/>
                <w:szCs w:val="28"/>
              </w:rPr>
              <w:instrText xml:space="preserve"> PAGEREF _Toc116561834 \h </w:instrText>
            </w:r>
            <w:r w:rsidR="00703CEB" w:rsidRPr="00703CEB">
              <w:rPr>
                <w:noProof/>
                <w:webHidden/>
                <w:sz w:val="28"/>
                <w:szCs w:val="28"/>
              </w:rPr>
            </w:r>
            <w:r w:rsidR="00703CEB" w:rsidRPr="00703CEB">
              <w:rPr>
                <w:noProof/>
                <w:webHidden/>
                <w:sz w:val="28"/>
                <w:szCs w:val="28"/>
              </w:rPr>
              <w:fldChar w:fldCharType="separate"/>
            </w:r>
            <w:r w:rsidR="00303B9A">
              <w:rPr>
                <w:noProof/>
                <w:webHidden/>
                <w:sz w:val="28"/>
                <w:szCs w:val="28"/>
              </w:rPr>
              <w:t>31</w:t>
            </w:r>
            <w:r w:rsidR="00703CEB" w:rsidRPr="00703CEB">
              <w:rPr>
                <w:noProof/>
                <w:webHidden/>
                <w:sz w:val="28"/>
                <w:szCs w:val="28"/>
              </w:rPr>
              <w:fldChar w:fldCharType="end"/>
            </w:r>
          </w:hyperlink>
        </w:p>
        <w:p w14:paraId="6D355F83" w14:textId="7E562EFD" w:rsidR="00703CEB" w:rsidRPr="00703CEB" w:rsidRDefault="00005928" w:rsidP="00703CEB">
          <w:pPr>
            <w:pStyle w:val="13"/>
            <w:tabs>
              <w:tab w:val="left" w:pos="440"/>
              <w:tab w:val="right" w:leader="dot" w:pos="9345"/>
            </w:tabs>
            <w:jc w:val="both"/>
            <w:rPr>
              <w:rFonts w:asciiTheme="minorHAnsi" w:eastAsiaTheme="minorEastAsia" w:hAnsiTheme="minorHAnsi" w:cstheme="minorBidi"/>
              <w:noProof/>
              <w:sz w:val="28"/>
              <w:szCs w:val="28"/>
            </w:rPr>
          </w:pPr>
          <w:hyperlink w:anchor="_Toc116561835" w:history="1">
            <w:r w:rsidR="00703CEB" w:rsidRPr="00703CEB">
              <w:rPr>
                <w:rStyle w:val="ad"/>
                <w:noProof/>
                <w:sz w:val="28"/>
                <w:szCs w:val="28"/>
              </w:rPr>
              <w:t>5.</w:t>
            </w:r>
            <w:r w:rsidR="00703CEB" w:rsidRPr="00703CEB">
              <w:rPr>
                <w:rFonts w:asciiTheme="minorHAnsi" w:eastAsiaTheme="minorEastAsia" w:hAnsiTheme="minorHAnsi" w:cstheme="minorBidi"/>
                <w:noProof/>
                <w:sz w:val="28"/>
                <w:szCs w:val="28"/>
              </w:rPr>
              <w:tab/>
            </w:r>
            <w:r w:rsidR="00703CEB" w:rsidRPr="00703CEB">
              <w:rPr>
                <w:rStyle w:val="ad"/>
                <w:noProof/>
                <w:sz w:val="28"/>
                <w:szCs w:val="28"/>
              </w:rPr>
              <w:t>Особенности бюджетного финансирования социально ориентированных национальных проектов и социальных государственных программ в расходной части Проекта Федерального бюджета на 2023 год и плановый период 2024-2025 годов</w:t>
            </w:r>
            <w:r w:rsidR="00703CEB" w:rsidRPr="00703CEB">
              <w:rPr>
                <w:noProof/>
                <w:webHidden/>
                <w:sz w:val="28"/>
                <w:szCs w:val="28"/>
              </w:rPr>
              <w:tab/>
            </w:r>
            <w:r w:rsidR="00703CEB" w:rsidRPr="00703CEB">
              <w:rPr>
                <w:noProof/>
                <w:webHidden/>
                <w:sz w:val="28"/>
                <w:szCs w:val="28"/>
              </w:rPr>
              <w:fldChar w:fldCharType="begin"/>
            </w:r>
            <w:r w:rsidR="00703CEB" w:rsidRPr="00703CEB">
              <w:rPr>
                <w:noProof/>
                <w:webHidden/>
                <w:sz w:val="28"/>
                <w:szCs w:val="28"/>
              </w:rPr>
              <w:instrText xml:space="preserve"> PAGEREF _Toc116561835 \h </w:instrText>
            </w:r>
            <w:r w:rsidR="00703CEB" w:rsidRPr="00703CEB">
              <w:rPr>
                <w:noProof/>
                <w:webHidden/>
                <w:sz w:val="28"/>
                <w:szCs w:val="28"/>
              </w:rPr>
            </w:r>
            <w:r w:rsidR="00703CEB" w:rsidRPr="00703CEB">
              <w:rPr>
                <w:noProof/>
                <w:webHidden/>
                <w:sz w:val="28"/>
                <w:szCs w:val="28"/>
              </w:rPr>
              <w:fldChar w:fldCharType="separate"/>
            </w:r>
            <w:r w:rsidR="00303B9A">
              <w:rPr>
                <w:noProof/>
                <w:webHidden/>
                <w:sz w:val="28"/>
                <w:szCs w:val="28"/>
              </w:rPr>
              <w:t>43</w:t>
            </w:r>
            <w:r w:rsidR="00703CEB" w:rsidRPr="00703CEB">
              <w:rPr>
                <w:noProof/>
                <w:webHidden/>
                <w:sz w:val="28"/>
                <w:szCs w:val="28"/>
              </w:rPr>
              <w:fldChar w:fldCharType="end"/>
            </w:r>
          </w:hyperlink>
        </w:p>
        <w:p w14:paraId="339E270B" w14:textId="2D1D7F2E" w:rsidR="00703CEB" w:rsidRPr="00703CEB" w:rsidRDefault="00005928" w:rsidP="00703CEB">
          <w:pPr>
            <w:pStyle w:val="13"/>
            <w:tabs>
              <w:tab w:val="left" w:pos="440"/>
              <w:tab w:val="right" w:leader="dot" w:pos="9345"/>
            </w:tabs>
            <w:jc w:val="both"/>
            <w:rPr>
              <w:rFonts w:asciiTheme="minorHAnsi" w:eastAsiaTheme="minorEastAsia" w:hAnsiTheme="minorHAnsi" w:cstheme="minorBidi"/>
              <w:noProof/>
              <w:sz w:val="28"/>
              <w:szCs w:val="28"/>
            </w:rPr>
          </w:pPr>
          <w:hyperlink w:anchor="_Toc116561836" w:history="1">
            <w:r w:rsidR="00703CEB" w:rsidRPr="00703CEB">
              <w:rPr>
                <w:rStyle w:val="ad"/>
                <w:noProof/>
                <w:sz w:val="28"/>
                <w:szCs w:val="28"/>
              </w:rPr>
              <w:t>6.</w:t>
            </w:r>
            <w:r w:rsidR="00703CEB" w:rsidRPr="00703CEB">
              <w:rPr>
                <w:rFonts w:asciiTheme="minorHAnsi" w:eastAsiaTheme="minorEastAsia" w:hAnsiTheme="minorHAnsi" w:cstheme="minorBidi"/>
                <w:noProof/>
                <w:sz w:val="28"/>
                <w:szCs w:val="28"/>
              </w:rPr>
              <w:tab/>
            </w:r>
            <w:r w:rsidR="00703CEB" w:rsidRPr="00703CEB">
              <w:rPr>
                <w:rStyle w:val="ad"/>
                <w:noProof/>
                <w:sz w:val="28"/>
                <w:szCs w:val="28"/>
              </w:rPr>
              <w:t>Раздел «Национальная оборона» в структуре Проекта расходов федерального бюджета на 2023 год и на плановый период 2024 и 2025 годов</w:t>
            </w:r>
            <w:r w:rsidR="00703CEB" w:rsidRPr="00703CEB">
              <w:rPr>
                <w:noProof/>
                <w:webHidden/>
                <w:sz w:val="28"/>
                <w:szCs w:val="28"/>
              </w:rPr>
              <w:tab/>
            </w:r>
            <w:r w:rsidR="00703CEB" w:rsidRPr="00703CEB">
              <w:rPr>
                <w:noProof/>
                <w:webHidden/>
                <w:sz w:val="28"/>
                <w:szCs w:val="28"/>
              </w:rPr>
              <w:fldChar w:fldCharType="begin"/>
            </w:r>
            <w:r w:rsidR="00703CEB" w:rsidRPr="00703CEB">
              <w:rPr>
                <w:noProof/>
                <w:webHidden/>
                <w:sz w:val="28"/>
                <w:szCs w:val="28"/>
              </w:rPr>
              <w:instrText xml:space="preserve"> PAGEREF _Toc116561836 \h </w:instrText>
            </w:r>
            <w:r w:rsidR="00703CEB" w:rsidRPr="00703CEB">
              <w:rPr>
                <w:noProof/>
                <w:webHidden/>
                <w:sz w:val="28"/>
                <w:szCs w:val="28"/>
              </w:rPr>
            </w:r>
            <w:r w:rsidR="00703CEB" w:rsidRPr="00703CEB">
              <w:rPr>
                <w:noProof/>
                <w:webHidden/>
                <w:sz w:val="28"/>
                <w:szCs w:val="28"/>
              </w:rPr>
              <w:fldChar w:fldCharType="separate"/>
            </w:r>
            <w:r w:rsidR="00303B9A">
              <w:rPr>
                <w:noProof/>
                <w:webHidden/>
                <w:sz w:val="28"/>
                <w:szCs w:val="28"/>
              </w:rPr>
              <w:t>62</w:t>
            </w:r>
            <w:r w:rsidR="00703CEB" w:rsidRPr="00703CEB">
              <w:rPr>
                <w:noProof/>
                <w:webHidden/>
                <w:sz w:val="28"/>
                <w:szCs w:val="28"/>
              </w:rPr>
              <w:fldChar w:fldCharType="end"/>
            </w:r>
          </w:hyperlink>
        </w:p>
        <w:p w14:paraId="554C8D9D" w14:textId="5165674D" w:rsidR="00703CEB" w:rsidRPr="00703CEB" w:rsidRDefault="00005928" w:rsidP="00703CEB">
          <w:pPr>
            <w:pStyle w:val="13"/>
            <w:tabs>
              <w:tab w:val="left" w:pos="440"/>
              <w:tab w:val="right" w:leader="dot" w:pos="9345"/>
            </w:tabs>
            <w:jc w:val="both"/>
            <w:rPr>
              <w:rFonts w:asciiTheme="minorHAnsi" w:eastAsiaTheme="minorEastAsia" w:hAnsiTheme="minorHAnsi" w:cstheme="minorBidi"/>
              <w:noProof/>
              <w:sz w:val="28"/>
              <w:szCs w:val="28"/>
            </w:rPr>
          </w:pPr>
          <w:hyperlink w:anchor="_Toc116561837" w:history="1">
            <w:r w:rsidR="00703CEB" w:rsidRPr="00703CEB">
              <w:rPr>
                <w:rStyle w:val="ad"/>
                <w:noProof/>
                <w:sz w:val="28"/>
                <w:szCs w:val="28"/>
              </w:rPr>
              <w:t>7.</w:t>
            </w:r>
            <w:r w:rsidR="00703CEB" w:rsidRPr="00703CEB">
              <w:rPr>
                <w:rFonts w:asciiTheme="minorHAnsi" w:eastAsiaTheme="minorEastAsia" w:hAnsiTheme="minorHAnsi" w:cstheme="minorBidi"/>
                <w:noProof/>
                <w:sz w:val="28"/>
                <w:szCs w:val="28"/>
              </w:rPr>
              <w:tab/>
            </w:r>
            <w:r w:rsidR="00703CEB" w:rsidRPr="00703CEB">
              <w:rPr>
                <w:rStyle w:val="ad"/>
                <w:noProof/>
                <w:sz w:val="28"/>
                <w:szCs w:val="28"/>
              </w:rPr>
              <w:t>Межбюджетные отношения и межбюджетные трансферты в Проекте Федерального закона «О федеральном бюджете на 2023 год и плановый период 2024 и 2025 годов»</w:t>
            </w:r>
            <w:r w:rsidR="00703CEB" w:rsidRPr="00703CEB">
              <w:rPr>
                <w:noProof/>
                <w:webHidden/>
                <w:sz w:val="28"/>
                <w:szCs w:val="28"/>
              </w:rPr>
              <w:tab/>
            </w:r>
            <w:r w:rsidR="00703CEB" w:rsidRPr="00703CEB">
              <w:rPr>
                <w:noProof/>
                <w:webHidden/>
                <w:sz w:val="28"/>
                <w:szCs w:val="28"/>
              </w:rPr>
              <w:fldChar w:fldCharType="begin"/>
            </w:r>
            <w:r w:rsidR="00703CEB" w:rsidRPr="00703CEB">
              <w:rPr>
                <w:noProof/>
                <w:webHidden/>
                <w:sz w:val="28"/>
                <w:szCs w:val="28"/>
              </w:rPr>
              <w:instrText xml:space="preserve"> PAGEREF _Toc116561837 \h </w:instrText>
            </w:r>
            <w:r w:rsidR="00703CEB" w:rsidRPr="00703CEB">
              <w:rPr>
                <w:noProof/>
                <w:webHidden/>
                <w:sz w:val="28"/>
                <w:szCs w:val="28"/>
              </w:rPr>
            </w:r>
            <w:r w:rsidR="00703CEB" w:rsidRPr="00703CEB">
              <w:rPr>
                <w:noProof/>
                <w:webHidden/>
                <w:sz w:val="28"/>
                <w:szCs w:val="28"/>
              </w:rPr>
              <w:fldChar w:fldCharType="separate"/>
            </w:r>
            <w:r w:rsidR="00303B9A">
              <w:rPr>
                <w:noProof/>
                <w:webHidden/>
                <w:sz w:val="28"/>
                <w:szCs w:val="28"/>
              </w:rPr>
              <w:t>68</w:t>
            </w:r>
            <w:r w:rsidR="00703CEB" w:rsidRPr="00703CEB">
              <w:rPr>
                <w:noProof/>
                <w:webHidden/>
                <w:sz w:val="28"/>
                <w:szCs w:val="28"/>
              </w:rPr>
              <w:fldChar w:fldCharType="end"/>
            </w:r>
          </w:hyperlink>
        </w:p>
        <w:p w14:paraId="74E197D9" w14:textId="32DE16A8" w:rsidR="00703CEB" w:rsidRPr="00703CEB" w:rsidRDefault="00005928" w:rsidP="00703CEB">
          <w:pPr>
            <w:pStyle w:val="13"/>
            <w:tabs>
              <w:tab w:val="left" w:pos="440"/>
              <w:tab w:val="right" w:leader="dot" w:pos="9345"/>
            </w:tabs>
            <w:jc w:val="both"/>
            <w:rPr>
              <w:rFonts w:asciiTheme="minorHAnsi" w:eastAsiaTheme="minorEastAsia" w:hAnsiTheme="minorHAnsi" w:cstheme="minorBidi"/>
              <w:noProof/>
              <w:sz w:val="28"/>
              <w:szCs w:val="28"/>
            </w:rPr>
          </w:pPr>
          <w:hyperlink w:anchor="_Toc116561838" w:history="1">
            <w:r w:rsidR="00703CEB" w:rsidRPr="00703CEB">
              <w:rPr>
                <w:rStyle w:val="ad"/>
                <w:noProof/>
                <w:sz w:val="28"/>
                <w:szCs w:val="28"/>
              </w:rPr>
              <w:t>8.</w:t>
            </w:r>
            <w:r w:rsidR="00703CEB" w:rsidRPr="00703CEB">
              <w:rPr>
                <w:rFonts w:asciiTheme="minorHAnsi" w:eastAsiaTheme="minorEastAsia" w:hAnsiTheme="minorHAnsi" w:cstheme="minorBidi"/>
                <w:noProof/>
                <w:sz w:val="28"/>
                <w:szCs w:val="28"/>
              </w:rPr>
              <w:tab/>
            </w:r>
            <w:r w:rsidR="00703CEB" w:rsidRPr="00703CEB">
              <w:rPr>
                <w:rStyle w:val="ad"/>
                <w:noProof/>
                <w:sz w:val="28"/>
                <w:szCs w:val="28"/>
              </w:rPr>
              <w:t>Источники финансирования дефицита бюджета, государственный долг и новая конструкция бюджетных правил в 2023-2025 годах</w:t>
            </w:r>
            <w:r w:rsidR="00703CEB" w:rsidRPr="00703CEB">
              <w:rPr>
                <w:noProof/>
                <w:webHidden/>
                <w:sz w:val="28"/>
                <w:szCs w:val="28"/>
              </w:rPr>
              <w:tab/>
            </w:r>
            <w:r w:rsidR="00703CEB" w:rsidRPr="00703CEB">
              <w:rPr>
                <w:noProof/>
                <w:webHidden/>
                <w:sz w:val="28"/>
                <w:szCs w:val="28"/>
              </w:rPr>
              <w:fldChar w:fldCharType="begin"/>
            </w:r>
            <w:r w:rsidR="00703CEB" w:rsidRPr="00703CEB">
              <w:rPr>
                <w:noProof/>
                <w:webHidden/>
                <w:sz w:val="28"/>
                <w:szCs w:val="28"/>
              </w:rPr>
              <w:instrText xml:space="preserve"> PAGEREF _Toc116561838 \h </w:instrText>
            </w:r>
            <w:r w:rsidR="00703CEB" w:rsidRPr="00703CEB">
              <w:rPr>
                <w:noProof/>
                <w:webHidden/>
                <w:sz w:val="28"/>
                <w:szCs w:val="28"/>
              </w:rPr>
            </w:r>
            <w:r w:rsidR="00703CEB" w:rsidRPr="00703CEB">
              <w:rPr>
                <w:noProof/>
                <w:webHidden/>
                <w:sz w:val="28"/>
                <w:szCs w:val="28"/>
              </w:rPr>
              <w:fldChar w:fldCharType="separate"/>
            </w:r>
            <w:r w:rsidR="00303B9A">
              <w:rPr>
                <w:noProof/>
                <w:webHidden/>
                <w:sz w:val="28"/>
                <w:szCs w:val="28"/>
              </w:rPr>
              <w:t>72</w:t>
            </w:r>
            <w:r w:rsidR="00703CEB" w:rsidRPr="00703CEB">
              <w:rPr>
                <w:noProof/>
                <w:webHidden/>
                <w:sz w:val="28"/>
                <w:szCs w:val="28"/>
              </w:rPr>
              <w:fldChar w:fldCharType="end"/>
            </w:r>
          </w:hyperlink>
        </w:p>
        <w:p w14:paraId="0D8B5B8B" w14:textId="692D0279" w:rsidR="00703CEB" w:rsidRPr="00703CEB" w:rsidRDefault="00005928" w:rsidP="00703CEB">
          <w:pPr>
            <w:pStyle w:val="13"/>
            <w:tabs>
              <w:tab w:val="left" w:pos="440"/>
              <w:tab w:val="right" w:leader="dot" w:pos="9345"/>
            </w:tabs>
            <w:jc w:val="both"/>
            <w:rPr>
              <w:rFonts w:asciiTheme="minorHAnsi" w:eastAsiaTheme="minorEastAsia" w:hAnsiTheme="minorHAnsi" w:cstheme="minorBidi"/>
              <w:noProof/>
              <w:sz w:val="28"/>
              <w:szCs w:val="28"/>
            </w:rPr>
          </w:pPr>
          <w:hyperlink w:anchor="_Toc116561839" w:history="1">
            <w:r w:rsidR="00703CEB" w:rsidRPr="00703CEB">
              <w:rPr>
                <w:rStyle w:val="ad"/>
                <w:noProof/>
                <w:sz w:val="28"/>
                <w:szCs w:val="28"/>
              </w:rPr>
              <w:t>9.</w:t>
            </w:r>
            <w:r w:rsidR="00703CEB" w:rsidRPr="00703CEB">
              <w:rPr>
                <w:rFonts w:asciiTheme="minorHAnsi" w:eastAsiaTheme="minorEastAsia" w:hAnsiTheme="minorHAnsi" w:cstheme="minorBidi"/>
                <w:noProof/>
                <w:sz w:val="28"/>
                <w:szCs w:val="28"/>
              </w:rPr>
              <w:tab/>
            </w:r>
            <w:r w:rsidR="00703CEB" w:rsidRPr="00703CEB">
              <w:rPr>
                <w:rStyle w:val="ad"/>
                <w:noProof/>
                <w:sz w:val="28"/>
                <w:szCs w:val="28"/>
              </w:rPr>
              <w:t>Правовая составляющая Проекта федерального закона «О федеральном бюджете на 2023 год и на плановый период 2024 и 2025 годов»</w:t>
            </w:r>
            <w:r w:rsidR="00703CEB" w:rsidRPr="00703CEB">
              <w:rPr>
                <w:noProof/>
                <w:webHidden/>
                <w:sz w:val="28"/>
                <w:szCs w:val="28"/>
              </w:rPr>
              <w:tab/>
            </w:r>
            <w:r w:rsidR="00703CEB" w:rsidRPr="00703CEB">
              <w:rPr>
                <w:noProof/>
                <w:webHidden/>
                <w:sz w:val="28"/>
                <w:szCs w:val="28"/>
              </w:rPr>
              <w:fldChar w:fldCharType="begin"/>
            </w:r>
            <w:r w:rsidR="00703CEB" w:rsidRPr="00703CEB">
              <w:rPr>
                <w:noProof/>
                <w:webHidden/>
                <w:sz w:val="28"/>
                <w:szCs w:val="28"/>
              </w:rPr>
              <w:instrText xml:space="preserve"> PAGEREF _Toc116561839 \h </w:instrText>
            </w:r>
            <w:r w:rsidR="00703CEB" w:rsidRPr="00703CEB">
              <w:rPr>
                <w:noProof/>
                <w:webHidden/>
                <w:sz w:val="28"/>
                <w:szCs w:val="28"/>
              </w:rPr>
            </w:r>
            <w:r w:rsidR="00703CEB" w:rsidRPr="00703CEB">
              <w:rPr>
                <w:noProof/>
                <w:webHidden/>
                <w:sz w:val="28"/>
                <w:szCs w:val="28"/>
              </w:rPr>
              <w:fldChar w:fldCharType="separate"/>
            </w:r>
            <w:r w:rsidR="00303B9A">
              <w:rPr>
                <w:noProof/>
                <w:webHidden/>
                <w:sz w:val="28"/>
                <w:szCs w:val="28"/>
              </w:rPr>
              <w:t>78</w:t>
            </w:r>
            <w:r w:rsidR="00703CEB" w:rsidRPr="00703CEB">
              <w:rPr>
                <w:noProof/>
                <w:webHidden/>
                <w:sz w:val="28"/>
                <w:szCs w:val="28"/>
              </w:rPr>
              <w:fldChar w:fldCharType="end"/>
            </w:r>
          </w:hyperlink>
        </w:p>
        <w:p w14:paraId="364392C7" w14:textId="5D7BEDE4" w:rsidR="00703CEB" w:rsidRPr="00703CEB" w:rsidRDefault="00005928" w:rsidP="00703CEB">
          <w:pPr>
            <w:pStyle w:val="13"/>
            <w:tabs>
              <w:tab w:val="right" w:leader="dot" w:pos="9345"/>
            </w:tabs>
            <w:jc w:val="both"/>
            <w:rPr>
              <w:rFonts w:asciiTheme="minorHAnsi" w:eastAsiaTheme="minorEastAsia" w:hAnsiTheme="minorHAnsi" w:cstheme="minorBidi"/>
              <w:noProof/>
              <w:sz w:val="28"/>
              <w:szCs w:val="28"/>
            </w:rPr>
          </w:pPr>
          <w:hyperlink w:anchor="_Toc116561840" w:history="1">
            <w:r w:rsidR="00703CEB" w:rsidRPr="00703CEB">
              <w:rPr>
                <w:rStyle w:val="ad"/>
                <w:noProof/>
                <w:sz w:val="28"/>
                <w:szCs w:val="28"/>
              </w:rPr>
              <w:t>Заключение</w:t>
            </w:r>
            <w:r w:rsidR="00703CEB" w:rsidRPr="00703CEB">
              <w:rPr>
                <w:noProof/>
                <w:webHidden/>
                <w:sz w:val="28"/>
                <w:szCs w:val="28"/>
              </w:rPr>
              <w:tab/>
            </w:r>
            <w:r w:rsidR="00703CEB" w:rsidRPr="00703CEB">
              <w:rPr>
                <w:noProof/>
                <w:webHidden/>
                <w:sz w:val="28"/>
                <w:szCs w:val="28"/>
              </w:rPr>
              <w:fldChar w:fldCharType="begin"/>
            </w:r>
            <w:r w:rsidR="00703CEB" w:rsidRPr="00703CEB">
              <w:rPr>
                <w:noProof/>
                <w:webHidden/>
                <w:sz w:val="28"/>
                <w:szCs w:val="28"/>
              </w:rPr>
              <w:instrText xml:space="preserve"> PAGEREF _Toc116561840 \h </w:instrText>
            </w:r>
            <w:r w:rsidR="00703CEB" w:rsidRPr="00703CEB">
              <w:rPr>
                <w:noProof/>
                <w:webHidden/>
                <w:sz w:val="28"/>
                <w:szCs w:val="28"/>
              </w:rPr>
            </w:r>
            <w:r w:rsidR="00703CEB" w:rsidRPr="00703CEB">
              <w:rPr>
                <w:noProof/>
                <w:webHidden/>
                <w:sz w:val="28"/>
                <w:szCs w:val="28"/>
              </w:rPr>
              <w:fldChar w:fldCharType="separate"/>
            </w:r>
            <w:r w:rsidR="00303B9A">
              <w:rPr>
                <w:noProof/>
                <w:webHidden/>
                <w:sz w:val="28"/>
                <w:szCs w:val="28"/>
              </w:rPr>
              <w:t>82</w:t>
            </w:r>
            <w:r w:rsidR="00703CEB" w:rsidRPr="00703CEB">
              <w:rPr>
                <w:noProof/>
                <w:webHidden/>
                <w:sz w:val="28"/>
                <w:szCs w:val="28"/>
              </w:rPr>
              <w:fldChar w:fldCharType="end"/>
            </w:r>
          </w:hyperlink>
        </w:p>
        <w:p w14:paraId="11F7F3DF" w14:textId="5962A75F" w:rsidR="00772BE0" w:rsidRDefault="00772BE0" w:rsidP="00703CEB">
          <w:pPr>
            <w:jc w:val="both"/>
          </w:pPr>
          <w:r w:rsidRPr="00703CEB">
            <w:rPr>
              <w:sz w:val="28"/>
              <w:szCs w:val="28"/>
            </w:rPr>
            <w:fldChar w:fldCharType="end"/>
          </w:r>
        </w:p>
      </w:sdtContent>
    </w:sdt>
    <w:p w14:paraId="7802140D" w14:textId="77777777" w:rsidR="005E4A98" w:rsidRDefault="005E4A98" w:rsidP="005E4A98">
      <w:pPr>
        <w:rPr>
          <w:sz w:val="20"/>
          <w:szCs w:val="20"/>
        </w:rPr>
      </w:pPr>
    </w:p>
    <w:p w14:paraId="3D8F80C0" w14:textId="77777777" w:rsidR="004E7624" w:rsidRDefault="004E7624" w:rsidP="004E7624">
      <w:pPr>
        <w:pStyle w:val="a4"/>
        <w:rPr>
          <w:sz w:val="28"/>
          <w:szCs w:val="28"/>
        </w:rPr>
      </w:pPr>
    </w:p>
    <w:p w14:paraId="4A451929" w14:textId="11104CEF" w:rsidR="00914A93" w:rsidRDefault="00914A93"/>
    <w:p w14:paraId="3964373B" w14:textId="54A79412" w:rsidR="005E4A98" w:rsidRDefault="005E4A98"/>
    <w:p w14:paraId="3BE854E0" w14:textId="5B0CE326" w:rsidR="005E4A98" w:rsidRDefault="005E4A98"/>
    <w:p w14:paraId="1873177A" w14:textId="125861AA" w:rsidR="005E4A98" w:rsidRDefault="005E4A98"/>
    <w:p w14:paraId="63A76F07" w14:textId="295B4932" w:rsidR="005E4A98" w:rsidRDefault="005E4A98"/>
    <w:p w14:paraId="2E13BAFD" w14:textId="45F93BC0" w:rsidR="005E4A98" w:rsidRDefault="005E4A98"/>
    <w:p w14:paraId="0576054D" w14:textId="1BB61891" w:rsidR="005E4A98" w:rsidRDefault="005E4A98"/>
    <w:p w14:paraId="33D931FE" w14:textId="2E5FA368" w:rsidR="005E4A98" w:rsidRDefault="005E4A98"/>
    <w:p w14:paraId="260CA739" w14:textId="4E77F266" w:rsidR="005E4A98" w:rsidRDefault="005E4A98"/>
    <w:p w14:paraId="6A9B11D6" w14:textId="5A083654" w:rsidR="005E4A98" w:rsidRDefault="005E4A98"/>
    <w:p w14:paraId="08190A76" w14:textId="43B31175" w:rsidR="005E4A98" w:rsidRDefault="005E4A98"/>
    <w:p w14:paraId="47B17F02" w14:textId="7F6250D5" w:rsidR="005E4A98" w:rsidRDefault="005E4A98"/>
    <w:p w14:paraId="79C3E4CD" w14:textId="6B2D7C30" w:rsidR="005E4A98" w:rsidRDefault="005E4A98"/>
    <w:p w14:paraId="4B02370C" w14:textId="2F0699B5" w:rsidR="005E4A98" w:rsidRDefault="005E4A98"/>
    <w:p w14:paraId="58DAD151" w14:textId="6EACAC70" w:rsidR="005E4A98" w:rsidRPr="0096730A" w:rsidRDefault="00502603" w:rsidP="0096730A">
      <w:pPr>
        <w:pStyle w:val="a4"/>
        <w:numPr>
          <w:ilvl w:val="0"/>
          <w:numId w:val="19"/>
        </w:numPr>
        <w:spacing w:after="160" w:line="259" w:lineRule="auto"/>
        <w:ind w:left="426"/>
        <w:outlineLvl w:val="0"/>
        <w:rPr>
          <w:b/>
        </w:rPr>
      </w:pPr>
      <w:r>
        <w:br w:type="page"/>
      </w:r>
      <w:bookmarkStart w:id="0" w:name="_Toc116561831"/>
      <w:r w:rsidR="005E4A98" w:rsidRPr="0096730A">
        <w:rPr>
          <w:b/>
          <w:sz w:val="28"/>
          <w:szCs w:val="28"/>
        </w:rPr>
        <w:lastRenderedPageBreak/>
        <w:t>Основные характеристики проекта федерального бюджета на 2023 год и плановый период 2024 и 2025 годов</w:t>
      </w:r>
      <w:bookmarkEnd w:id="0"/>
    </w:p>
    <w:p w14:paraId="67EDE335" w14:textId="35A254FB" w:rsidR="005E4A98" w:rsidRDefault="005E4A98" w:rsidP="00DC5282">
      <w:pPr>
        <w:spacing w:line="360" w:lineRule="auto"/>
        <w:ind w:left="426"/>
        <w:jc w:val="both"/>
      </w:pPr>
    </w:p>
    <w:p w14:paraId="1AA4856E" w14:textId="53582EC1" w:rsidR="006565C3" w:rsidRDefault="006565C3" w:rsidP="00DC5282">
      <w:pPr>
        <w:widowControl w:val="0"/>
        <w:tabs>
          <w:tab w:val="left" w:pos="708"/>
          <w:tab w:val="left" w:pos="1416"/>
          <w:tab w:val="left" w:pos="2216"/>
        </w:tabs>
        <w:spacing w:line="360" w:lineRule="auto"/>
        <w:ind w:firstLine="709"/>
        <w:jc w:val="both"/>
        <w:rPr>
          <w:sz w:val="28"/>
          <w:szCs w:val="28"/>
        </w:rPr>
      </w:pPr>
      <w:proofErr w:type="gramStart"/>
      <w:r>
        <w:rPr>
          <w:sz w:val="28"/>
          <w:szCs w:val="28"/>
        </w:rPr>
        <w:t xml:space="preserve">Проект </w:t>
      </w:r>
      <w:r w:rsidR="005372AE">
        <w:rPr>
          <w:sz w:val="28"/>
          <w:szCs w:val="28"/>
        </w:rPr>
        <w:t>Ф</w:t>
      </w:r>
      <w:r w:rsidRPr="006D14DB">
        <w:rPr>
          <w:sz w:val="28"/>
          <w:szCs w:val="28"/>
        </w:rPr>
        <w:t>едерального</w:t>
      </w:r>
      <w:r w:rsidR="005372AE">
        <w:rPr>
          <w:sz w:val="28"/>
          <w:szCs w:val="28"/>
        </w:rPr>
        <w:t xml:space="preserve"> закона «О Федеральном</w:t>
      </w:r>
      <w:r w:rsidRPr="006D14DB">
        <w:rPr>
          <w:sz w:val="28"/>
          <w:szCs w:val="28"/>
        </w:rPr>
        <w:t xml:space="preserve"> бюджет</w:t>
      </w:r>
      <w:r w:rsidR="005372AE">
        <w:rPr>
          <w:sz w:val="28"/>
          <w:szCs w:val="28"/>
        </w:rPr>
        <w:t>е</w:t>
      </w:r>
      <w:r w:rsidRPr="006D14DB">
        <w:rPr>
          <w:sz w:val="28"/>
          <w:szCs w:val="28"/>
        </w:rPr>
        <w:t xml:space="preserve"> на 2023 год и плановый период 2024 и 2025 годов</w:t>
      </w:r>
      <w:r w:rsidR="005372AE">
        <w:rPr>
          <w:sz w:val="28"/>
          <w:szCs w:val="28"/>
        </w:rPr>
        <w:t>»</w:t>
      </w:r>
      <w:r>
        <w:rPr>
          <w:sz w:val="28"/>
          <w:szCs w:val="28"/>
        </w:rPr>
        <w:t xml:space="preserve"> (</w:t>
      </w:r>
      <w:r w:rsidR="005372AE">
        <w:rPr>
          <w:sz w:val="28"/>
          <w:szCs w:val="28"/>
        </w:rPr>
        <w:t>д</w:t>
      </w:r>
      <w:r>
        <w:rPr>
          <w:sz w:val="28"/>
          <w:szCs w:val="28"/>
        </w:rPr>
        <w:t>алее – Законопроект) в части основных характеристик федерального бюджета сформирован</w:t>
      </w:r>
      <w:r w:rsidR="00286E19">
        <w:rPr>
          <w:sz w:val="28"/>
          <w:szCs w:val="28"/>
        </w:rPr>
        <w:t xml:space="preserve"> без</w:t>
      </w:r>
      <w:r>
        <w:rPr>
          <w:sz w:val="28"/>
          <w:szCs w:val="28"/>
        </w:rPr>
        <w:t xml:space="preserve"> </w:t>
      </w:r>
      <w:r w:rsidR="003416E3">
        <w:rPr>
          <w:sz w:val="28"/>
          <w:szCs w:val="28"/>
        </w:rPr>
        <w:t>явного осв</w:t>
      </w:r>
      <w:r w:rsidR="0036345D">
        <w:rPr>
          <w:sz w:val="28"/>
          <w:szCs w:val="28"/>
        </w:rPr>
        <w:t>е</w:t>
      </w:r>
      <w:r w:rsidR="003416E3">
        <w:rPr>
          <w:sz w:val="28"/>
          <w:szCs w:val="28"/>
        </w:rPr>
        <w:t xml:space="preserve">щения </w:t>
      </w:r>
      <w:r w:rsidR="00805721">
        <w:rPr>
          <w:sz w:val="28"/>
          <w:szCs w:val="28"/>
        </w:rPr>
        <w:t>радикальны</w:t>
      </w:r>
      <w:r>
        <w:rPr>
          <w:sz w:val="28"/>
          <w:szCs w:val="28"/>
        </w:rPr>
        <w:t xml:space="preserve">х </w:t>
      </w:r>
      <w:r w:rsidR="00805721">
        <w:rPr>
          <w:sz w:val="28"/>
          <w:szCs w:val="28"/>
        </w:rPr>
        <w:t>перемен</w:t>
      </w:r>
      <w:r>
        <w:rPr>
          <w:sz w:val="28"/>
          <w:szCs w:val="28"/>
        </w:rPr>
        <w:t>, носящих, прежде всего</w:t>
      </w:r>
      <w:r w:rsidR="00286E19">
        <w:rPr>
          <w:sz w:val="28"/>
          <w:szCs w:val="28"/>
        </w:rPr>
        <w:t>,</w:t>
      </w:r>
      <w:r>
        <w:rPr>
          <w:sz w:val="28"/>
          <w:szCs w:val="28"/>
        </w:rPr>
        <w:t xml:space="preserve"> внешнеполитический характер и оказывающих существенное влияние на экономику России в течение последнего </w:t>
      </w:r>
      <w:r w:rsidR="00286E19">
        <w:rPr>
          <w:sz w:val="28"/>
          <w:szCs w:val="28"/>
        </w:rPr>
        <w:t>полугодия</w:t>
      </w:r>
      <w:r>
        <w:rPr>
          <w:sz w:val="28"/>
          <w:szCs w:val="28"/>
        </w:rPr>
        <w:t>.</w:t>
      </w:r>
      <w:proofErr w:type="gramEnd"/>
      <w:r>
        <w:rPr>
          <w:sz w:val="28"/>
          <w:szCs w:val="28"/>
        </w:rPr>
        <w:t xml:space="preserve"> </w:t>
      </w:r>
      <w:proofErr w:type="gramStart"/>
      <w:r>
        <w:rPr>
          <w:sz w:val="28"/>
          <w:szCs w:val="28"/>
        </w:rPr>
        <w:t xml:space="preserve">К таким обстоятельствам, в первую очередь, относятся проведение специальной военной операции на территории Украины, введение иностранными государствами жестких </w:t>
      </w:r>
      <w:proofErr w:type="spellStart"/>
      <w:r>
        <w:rPr>
          <w:sz w:val="28"/>
          <w:szCs w:val="28"/>
        </w:rPr>
        <w:t>санкционных</w:t>
      </w:r>
      <w:proofErr w:type="spellEnd"/>
      <w:r>
        <w:rPr>
          <w:sz w:val="28"/>
          <w:szCs w:val="28"/>
        </w:rPr>
        <w:t xml:space="preserve"> ограничений в отношении Российской Федерации, блокировка ряда внешнеэкономических отношений России со многими зарубежными странами, прежде всего, странами Запада и США, приостановка ряда международных инвестиционных проектов и разрыв </w:t>
      </w:r>
      <w:r w:rsidR="00286E19">
        <w:rPr>
          <w:sz w:val="28"/>
          <w:szCs w:val="28"/>
        </w:rPr>
        <w:t>значительного числа</w:t>
      </w:r>
      <w:r>
        <w:rPr>
          <w:sz w:val="28"/>
          <w:szCs w:val="28"/>
        </w:rPr>
        <w:t xml:space="preserve"> производственных </w:t>
      </w:r>
      <w:r w:rsidR="00286E19">
        <w:rPr>
          <w:sz w:val="28"/>
          <w:szCs w:val="28"/>
        </w:rPr>
        <w:t>связей</w:t>
      </w:r>
      <w:r>
        <w:rPr>
          <w:sz w:val="28"/>
          <w:szCs w:val="28"/>
        </w:rPr>
        <w:t xml:space="preserve"> как внутри нашей страны, так и в </w:t>
      </w:r>
      <w:r w:rsidR="0036345D">
        <w:rPr>
          <w:sz w:val="28"/>
          <w:szCs w:val="28"/>
        </w:rPr>
        <w:t>международном разрезе</w:t>
      </w:r>
      <w:r>
        <w:rPr>
          <w:sz w:val="28"/>
          <w:szCs w:val="28"/>
        </w:rPr>
        <w:t>.</w:t>
      </w:r>
      <w:proofErr w:type="gramEnd"/>
    </w:p>
    <w:p w14:paraId="4EF1E27A" w14:textId="09398247" w:rsidR="00AA1719" w:rsidRPr="00035DE3" w:rsidRDefault="00AA1719" w:rsidP="00DC5282">
      <w:pPr>
        <w:spacing w:line="360" w:lineRule="auto"/>
        <w:ind w:firstLine="709"/>
        <w:contextualSpacing/>
        <w:jc w:val="both"/>
        <w:rPr>
          <w:sz w:val="28"/>
        </w:rPr>
      </w:pPr>
      <w:r w:rsidRPr="00035DE3">
        <w:rPr>
          <w:sz w:val="28"/>
          <w:szCs w:val="28"/>
          <w:shd w:val="clear" w:color="auto" w:fill="FFFFFF"/>
        </w:rPr>
        <w:t>Нельзя также не сказать о том, что с 1 января 2023 года в новых субъектах Российской Федерации – Донецкой и Луганской республиках, Запорожской и Херсонской областях – начнет применяться бюджетное законодательство РФ. Данная ситуация потребует обязательного перераспределения бюджетных резервов на развитие транспортной и социальной инфраструктуры этих регионов, обеспечения их устойчивых связей с Крымом и другими российскими территориями. Очевидно, здесь должны быть задействованы значительные инвестиционные средства с целью эффективной реализации широкого спектра потенциальных возможностей системного развития этого региона</w:t>
      </w:r>
      <w:r w:rsidRPr="00035DE3">
        <w:rPr>
          <w:sz w:val="28"/>
        </w:rPr>
        <w:t xml:space="preserve">, особую ценность которого представляют высококвалифицированные кадры и мощный инфраструктурный потенциал. </w:t>
      </w:r>
    </w:p>
    <w:p w14:paraId="349F9F62" w14:textId="473C41F2"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В </w:t>
      </w:r>
      <w:r w:rsidR="00286E19">
        <w:rPr>
          <w:sz w:val="28"/>
          <w:szCs w:val="28"/>
        </w:rPr>
        <w:t>то же время,</w:t>
      </w:r>
      <w:r>
        <w:rPr>
          <w:sz w:val="28"/>
          <w:szCs w:val="28"/>
        </w:rPr>
        <w:t xml:space="preserve"> согласно Законопроекту, </w:t>
      </w:r>
      <w:r w:rsidR="0036345D">
        <w:rPr>
          <w:sz w:val="28"/>
          <w:szCs w:val="28"/>
        </w:rPr>
        <w:t>ожидается</w:t>
      </w:r>
      <w:r>
        <w:rPr>
          <w:sz w:val="28"/>
          <w:szCs w:val="28"/>
        </w:rPr>
        <w:t xml:space="preserve"> ряд положительных тенденций развития российской экономики </w:t>
      </w:r>
      <w:r w:rsidRPr="00E1711C">
        <w:rPr>
          <w:sz w:val="28"/>
          <w:szCs w:val="28"/>
        </w:rPr>
        <w:t>в 2023-2025 годах</w:t>
      </w:r>
      <w:r>
        <w:rPr>
          <w:sz w:val="28"/>
          <w:szCs w:val="28"/>
        </w:rPr>
        <w:t xml:space="preserve">, в том числе сдерживание темпов ее снижения в среднесрочной перспективе, удержание ее спада на менее </w:t>
      </w:r>
      <w:r w:rsidR="008311C9">
        <w:rPr>
          <w:sz w:val="28"/>
          <w:szCs w:val="28"/>
        </w:rPr>
        <w:t>значитель</w:t>
      </w:r>
      <w:r>
        <w:rPr>
          <w:sz w:val="28"/>
          <w:szCs w:val="28"/>
        </w:rPr>
        <w:t>ном уровне, чем это планировалось в прогнозах первой четверти 2022 года, с последующим выходом на траекторию роста. В частности:</w:t>
      </w:r>
    </w:p>
    <w:p w14:paraId="6AB244F2" w14:textId="77777777"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 к 2024 году планируется рост ВВП на 2,6% по сравнению с предыдущим 2023 годом, в котором прогнозируется спад ВВП на 0,8% по сравнению с 2022 годом и удержание этого роста в 2025 году; </w:t>
      </w:r>
    </w:p>
    <w:p w14:paraId="540BE9A8" w14:textId="77777777"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 к 2025 году уровень доходов федерального бюджета восстановится по сравнению с 2022 годом и достигнет отметки на 1,0% выше, чем ожидается по итогам </w:t>
      </w:r>
      <w:proofErr w:type="spellStart"/>
      <w:r>
        <w:rPr>
          <w:sz w:val="28"/>
          <w:szCs w:val="28"/>
        </w:rPr>
        <w:t>постпандемического</w:t>
      </w:r>
      <w:proofErr w:type="spellEnd"/>
      <w:r>
        <w:rPr>
          <w:sz w:val="28"/>
          <w:szCs w:val="28"/>
        </w:rPr>
        <w:t xml:space="preserve"> 2021 года;</w:t>
      </w:r>
    </w:p>
    <w:p w14:paraId="680FA187" w14:textId="62ED4F01"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 в 2023-2025 годах </w:t>
      </w:r>
      <w:r w:rsidR="0036345D">
        <w:rPr>
          <w:sz w:val="28"/>
          <w:szCs w:val="28"/>
        </w:rPr>
        <w:t>прогнозируется</w:t>
      </w:r>
      <w:r>
        <w:rPr>
          <w:sz w:val="28"/>
          <w:szCs w:val="28"/>
        </w:rPr>
        <w:t xml:space="preserve"> укрепление курса рубля</w:t>
      </w:r>
      <w:r w:rsidRPr="008700C8">
        <w:t xml:space="preserve"> </w:t>
      </w:r>
      <w:r w:rsidRPr="008700C8">
        <w:rPr>
          <w:sz w:val="28"/>
          <w:szCs w:val="28"/>
        </w:rPr>
        <w:t xml:space="preserve">по отношению к доллару США </w:t>
      </w:r>
      <w:r>
        <w:rPr>
          <w:sz w:val="28"/>
          <w:szCs w:val="28"/>
        </w:rPr>
        <w:t xml:space="preserve">и </w:t>
      </w:r>
      <w:r w:rsidRPr="00D0398B">
        <w:rPr>
          <w:sz w:val="28"/>
          <w:szCs w:val="28"/>
        </w:rPr>
        <w:t xml:space="preserve">его стабилизация </w:t>
      </w:r>
      <w:r>
        <w:rPr>
          <w:sz w:val="28"/>
          <w:szCs w:val="28"/>
        </w:rPr>
        <w:t>(по сравнению с 2021-2022 годами);</w:t>
      </w:r>
    </w:p>
    <w:p w14:paraId="3AB4AD88" w14:textId="094F9647"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 в трехлетнем периоде фонд заработной платы будет расти опережающими темпами по сравнению с плановыми показателями, утвержденными </w:t>
      </w:r>
      <w:r w:rsidRPr="00CD36EC">
        <w:rPr>
          <w:sz w:val="28"/>
          <w:szCs w:val="28"/>
        </w:rPr>
        <w:t xml:space="preserve">Федеральным законом от </w:t>
      </w:r>
      <w:r w:rsidR="0089300F">
        <w:rPr>
          <w:sz w:val="28"/>
          <w:szCs w:val="28"/>
        </w:rPr>
        <w:t>6 декабря 2021 года</w:t>
      </w:r>
      <w:r w:rsidRPr="00CD36EC">
        <w:rPr>
          <w:sz w:val="28"/>
          <w:szCs w:val="28"/>
        </w:rPr>
        <w:t xml:space="preserve"> № 390-ФЗ «О федеральном бюджете на 2022 год и на плановый период 2023 и 2024 годов» (Далее – Федеральный закон № 390-ФЗ) и бюджетным прогнозом</w:t>
      </w:r>
      <w:r>
        <w:rPr>
          <w:sz w:val="28"/>
          <w:szCs w:val="28"/>
        </w:rPr>
        <w:t xml:space="preserve">; </w:t>
      </w:r>
    </w:p>
    <w:p w14:paraId="40720D0D" w14:textId="77777777"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в 2024-2025 годах ожидается рост реальных заработных плат и реальных располагаемых доходов населения;</w:t>
      </w:r>
    </w:p>
    <w:p w14:paraId="726B92F9" w14:textId="0CEF024B"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 в </w:t>
      </w:r>
      <w:r w:rsidR="0036345D">
        <w:rPr>
          <w:sz w:val="28"/>
          <w:szCs w:val="28"/>
        </w:rPr>
        <w:t>2023</w:t>
      </w:r>
      <w:r>
        <w:rPr>
          <w:sz w:val="28"/>
          <w:szCs w:val="28"/>
        </w:rPr>
        <w:t xml:space="preserve">-2025 годах произойдет </w:t>
      </w:r>
      <w:r w:rsidRPr="00FF5EEC">
        <w:rPr>
          <w:sz w:val="28"/>
          <w:szCs w:val="28"/>
        </w:rPr>
        <w:t>сокращени</w:t>
      </w:r>
      <w:r>
        <w:rPr>
          <w:sz w:val="28"/>
          <w:szCs w:val="28"/>
        </w:rPr>
        <w:t>е</w:t>
      </w:r>
      <w:r w:rsidRPr="00FF5EEC">
        <w:rPr>
          <w:sz w:val="28"/>
          <w:szCs w:val="28"/>
        </w:rPr>
        <w:t xml:space="preserve"> добычи нефти и газа</w:t>
      </w:r>
      <w:r>
        <w:rPr>
          <w:sz w:val="28"/>
          <w:szCs w:val="28"/>
        </w:rPr>
        <w:t xml:space="preserve">, и, </w:t>
      </w:r>
      <w:r w:rsidRPr="001A0E23">
        <w:rPr>
          <w:sz w:val="28"/>
          <w:szCs w:val="28"/>
        </w:rPr>
        <w:t xml:space="preserve">как результат, </w:t>
      </w:r>
      <w:r>
        <w:rPr>
          <w:sz w:val="28"/>
          <w:szCs w:val="28"/>
        </w:rPr>
        <w:t>планируется снижение, хотя и незначительное, зависимости доходов федерального бюджета от экспорта нефтепродуктов и природного газа;</w:t>
      </w:r>
    </w:p>
    <w:p w14:paraId="23F23FD6" w14:textId="77777777"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 увеличится объём экспорта товаров, как в динамике, так и по отношению к плановым показателям, утвержденным </w:t>
      </w:r>
      <w:r w:rsidRPr="00C3072D">
        <w:rPr>
          <w:sz w:val="28"/>
          <w:szCs w:val="28"/>
        </w:rPr>
        <w:t>Федеральным законом № 390-ФЗ</w:t>
      </w:r>
      <w:r>
        <w:rPr>
          <w:sz w:val="28"/>
          <w:szCs w:val="28"/>
        </w:rPr>
        <w:t xml:space="preserve">; </w:t>
      </w:r>
    </w:p>
    <w:p w14:paraId="1F87C571" w14:textId="77777777" w:rsidR="006565C3" w:rsidRPr="006D14DB"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 ежегодно, хотя и незначительно, будут расти объемы инвестиций и к 2025 году эти объемы превысят прогнозный уровень 2024 года, обозначенный в </w:t>
      </w:r>
      <w:r w:rsidRPr="004C1AB0">
        <w:rPr>
          <w:sz w:val="28"/>
          <w:szCs w:val="28"/>
        </w:rPr>
        <w:t>Федеральн</w:t>
      </w:r>
      <w:r>
        <w:rPr>
          <w:sz w:val="28"/>
          <w:szCs w:val="28"/>
        </w:rPr>
        <w:t>ом</w:t>
      </w:r>
      <w:r w:rsidRPr="004C1AB0">
        <w:rPr>
          <w:sz w:val="28"/>
          <w:szCs w:val="28"/>
        </w:rPr>
        <w:t xml:space="preserve"> закон</w:t>
      </w:r>
      <w:r>
        <w:rPr>
          <w:sz w:val="28"/>
          <w:szCs w:val="28"/>
        </w:rPr>
        <w:t>е</w:t>
      </w:r>
      <w:r w:rsidRPr="004C1AB0">
        <w:rPr>
          <w:sz w:val="28"/>
          <w:szCs w:val="28"/>
        </w:rPr>
        <w:t xml:space="preserve"> № 390-ФЗ</w:t>
      </w:r>
      <w:r>
        <w:rPr>
          <w:sz w:val="28"/>
          <w:szCs w:val="28"/>
        </w:rPr>
        <w:t xml:space="preserve">. </w:t>
      </w:r>
    </w:p>
    <w:p w14:paraId="6ECB4653" w14:textId="08BFA3F5" w:rsidR="006565C3" w:rsidRDefault="006565C3" w:rsidP="00DC5282">
      <w:pPr>
        <w:widowControl w:val="0"/>
        <w:tabs>
          <w:tab w:val="left" w:pos="708"/>
          <w:tab w:val="left" w:pos="1416"/>
          <w:tab w:val="left" w:pos="2216"/>
        </w:tabs>
        <w:spacing w:line="360" w:lineRule="auto"/>
        <w:ind w:firstLine="709"/>
        <w:jc w:val="both"/>
        <w:rPr>
          <w:sz w:val="28"/>
          <w:szCs w:val="28"/>
        </w:rPr>
      </w:pPr>
      <w:proofErr w:type="gramStart"/>
      <w:r>
        <w:rPr>
          <w:sz w:val="28"/>
          <w:szCs w:val="28"/>
        </w:rPr>
        <w:t>Говоря о доходах и расходах федерального бюджета, стоит отметить, что в Законопроекте предусматривается довольно существенное снижение плановых доходов федерального бюджета в 2023 году по отношению к 2022 году, но, как положительный момент, стоит отметить увеличение поступлени</w:t>
      </w:r>
      <w:r w:rsidR="0036345D">
        <w:rPr>
          <w:sz w:val="28"/>
          <w:szCs w:val="28"/>
        </w:rPr>
        <w:t>й</w:t>
      </w:r>
      <w:r>
        <w:rPr>
          <w:sz w:val="28"/>
          <w:szCs w:val="28"/>
        </w:rPr>
        <w:t xml:space="preserve"> доходов федерального бюджета в 2024-2025 годах</w:t>
      </w:r>
      <w:r w:rsidR="0036345D">
        <w:rPr>
          <w:sz w:val="28"/>
          <w:szCs w:val="28"/>
        </w:rPr>
        <w:t xml:space="preserve"> </w:t>
      </w:r>
      <w:r>
        <w:rPr>
          <w:sz w:val="28"/>
          <w:szCs w:val="28"/>
        </w:rPr>
        <w:t>в абсолютном выражении</w:t>
      </w:r>
      <w:r w:rsidR="0036345D">
        <w:rPr>
          <w:sz w:val="28"/>
          <w:szCs w:val="28"/>
        </w:rPr>
        <w:t xml:space="preserve"> и </w:t>
      </w:r>
      <w:r>
        <w:rPr>
          <w:sz w:val="28"/>
          <w:szCs w:val="28"/>
        </w:rPr>
        <w:t xml:space="preserve"> по сравнению с 2023 годом</w:t>
      </w:r>
      <w:r w:rsidR="0036345D">
        <w:rPr>
          <w:sz w:val="28"/>
          <w:szCs w:val="28"/>
        </w:rPr>
        <w:t xml:space="preserve">, а также </w:t>
      </w:r>
      <w:r>
        <w:rPr>
          <w:sz w:val="28"/>
          <w:szCs w:val="28"/>
        </w:rPr>
        <w:t xml:space="preserve">по сравнению с </w:t>
      </w:r>
      <w:r w:rsidRPr="00FD3CAD">
        <w:rPr>
          <w:sz w:val="28"/>
          <w:szCs w:val="28"/>
        </w:rPr>
        <w:t>Федеральны</w:t>
      </w:r>
      <w:r>
        <w:rPr>
          <w:sz w:val="28"/>
          <w:szCs w:val="28"/>
        </w:rPr>
        <w:t>м</w:t>
      </w:r>
      <w:r w:rsidRPr="00FD3CAD">
        <w:rPr>
          <w:sz w:val="28"/>
          <w:szCs w:val="28"/>
        </w:rPr>
        <w:t xml:space="preserve"> закон</w:t>
      </w:r>
      <w:r>
        <w:rPr>
          <w:sz w:val="28"/>
          <w:szCs w:val="28"/>
        </w:rPr>
        <w:t>ом</w:t>
      </w:r>
      <w:r w:rsidRPr="00FD3CAD">
        <w:rPr>
          <w:sz w:val="28"/>
          <w:szCs w:val="28"/>
        </w:rPr>
        <w:t xml:space="preserve"> </w:t>
      </w:r>
      <w:r>
        <w:rPr>
          <w:sz w:val="28"/>
          <w:szCs w:val="28"/>
        </w:rPr>
        <w:t>№</w:t>
      </w:r>
      <w:r w:rsidRPr="00FD3CAD">
        <w:rPr>
          <w:sz w:val="28"/>
          <w:szCs w:val="28"/>
        </w:rPr>
        <w:t>390-ФЗ</w:t>
      </w:r>
      <w:r>
        <w:rPr>
          <w:sz w:val="28"/>
          <w:szCs w:val="28"/>
        </w:rPr>
        <w:t xml:space="preserve"> и</w:t>
      </w:r>
      <w:proofErr w:type="gramEnd"/>
      <w:r>
        <w:rPr>
          <w:sz w:val="28"/>
          <w:szCs w:val="28"/>
        </w:rPr>
        <w:t xml:space="preserve"> бюджетным прогнозом.</w:t>
      </w:r>
    </w:p>
    <w:p w14:paraId="0755BE5D" w14:textId="5810F70A"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Доля нефтегазовых доходов в общем объеме доходов федерального бюджета в 2023-2025 годах будет ежегодно сокращаться – на 2-4</w:t>
      </w:r>
      <w:r w:rsidR="00BD7EB5">
        <w:rPr>
          <w:sz w:val="28"/>
          <w:szCs w:val="28"/>
        </w:rPr>
        <w:t xml:space="preserve"> процентных пункта</w:t>
      </w:r>
      <w:r>
        <w:rPr>
          <w:sz w:val="28"/>
          <w:szCs w:val="28"/>
        </w:rPr>
        <w:t xml:space="preserve"> в год. Максимальное </w:t>
      </w:r>
      <w:r w:rsidRPr="001B1E02">
        <w:rPr>
          <w:sz w:val="28"/>
          <w:szCs w:val="28"/>
        </w:rPr>
        <w:t>сокращение произойдет</w:t>
      </w:r>
      <w:r>
        <w:rPr>
          <w:sz w:val="28"/>
          <w:szCs w:val="28"/>
        </w:rPr>
        <w:t xml:space="preserve"> в 2023 году по сравнению с 2022 годом – на 23,3%. В основном, снижение общего объема нефтегазовых доходов будет осуществляться в условиях стабилизации величины базовых нефтегазовых доходов и существенного сокращения дополнительных нефтегазовых доходов.</w:t>
      </w:r>
    </w:p>
    <w:p w14:paraId="7F74B1F3" w14:textId="77777777" w:rsidR="006565C3" w:rsidRDefault="006565C3" w:rsidP="00DC5282">
      <w:pPr>
        <w:widowControl w:val="0"/>
        <w:tabs>
          <w:tab w:val="left" w:pos="708"/>
          <w:tab w:val="left" w:pos="1416"/>
          <w:tab w:val="left" w:pos="2216"/>
        </w:tabs>
        <w:spacing w:line="360" w:lineRule="auto"/>
        <w:ind w:firstLine="709"/>
        <w:jc w:val="both"/>
        <w:rPr>
          <w:sz w:val="28"/>
          <w:szCs w:val="28"/>
        </w:rPr>
      </w:pPr>
      <w:proofErr w:type="gramStart"/>
      <w:r>
        <w:rPr>
          <w:sz w:val="28"/>
          <w:szCs w:val="28"/>
        </w:rPr>
        <w:t xml:space="preserve">Уровень бюджетных расходов в 2023-2025 годах также будет превышать величину плановых расходов, обозначенную в </w:t>
      </w:r>
      <w:r w:rsidRPr="00264A17">
        <w:rPr>
          <w:sz w:val="28"/>
          <w:szCs w:val="28"/>
        </w:rPr>
        <w:t>Федеральн</w:t>
      </w:r>
      <w:r>
        <w:rPr>
          <w:sz w:val="28"/>
          <w:szCs w:val="28"/>
        </w:rPr>
        <w:t>ом</w:t>
      </w:r>
      <w:r w:rsidRPr="00264A17">
        <w:rPr>
          <w:sz w:val="28"/>
          <w:szCs w:val="28"/>
        </w:rPr>
        <w:t xml:space="preserve"> закон</w:t>
      </w:r>
      <w:r>
        <w:rPr>
          <w:sz w:val="28"/>
          <w:szCs w:val="28"/>
        </w:rPr>
        <w:t>е № 390-ФЗ и в бюджетном прогнозе: в 2023 году – на 15,1%, в 2024 году – на 11,7%, в 2025 году – 4,8%. Между тем, в качестве положительного аспекта стоит отметить незначительную динамику роста расходов федерального бюджета в 2024 году по сравнению с 2023 годом – на 1,3% и</w:t>
      </w:r>
      <w:proofErr w:type="gramEnd"/>
      <w:r>
        <w:rPr>
          <w:sz w:val="28"/>
          <w:szCs w:val="28"/>
        </w:rPr>
        <w:t xml:space="preserve"> сокращение расходов федерального бюджета в 2025 году по сравнению с 2024 годом – на 0,6%.</w:t>
      </w:r>
    </w:p>
    <w:p w14:paraId="3ADBB203" w14:textId="77777777"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Также как положительный момент можно рассматривать более низкие темпы роста государственного долга Российской Федерации в очередном 2023 году и плановом периоде 2024-2025 годов по сравнению с запланированными в </w:t>
      </w:r>
      <w:r w:rsidRPr="00896A0A">
        <w:rPr>
          <w:sz w:val="28"/>
          <w:szCs w:val="28"/>
        </w:rPr>
        <w:t>Федеральном законе № 390-ФЗ</w:t>
      </w:r>
      <w:r>
        <w:rPr>
          <w:sz w:val="28"/>
          <w:szCs w:val="28"/>
        </w:rPr>
        <w:t xml:space="preserve"> объемами.</w:t>
      </w:r>
    </w:p>
    <w:p w14:paraId="1948E4F3" w14:textId="3250D7AB" w:rsidR="006565C3" w:rsidRPr="007F79D4" w:rsidRDefault="005372AE" w:rsidP="00DC5282">
      <w:pPr>
        <w:widowControl w:val="0"/>
        <w:tabs>
          <w:tab w:val="left" w:pos="708"/>
          <w:tab w:val="left" w:pos="1416"/>
          <w:tab w:val="left" w:pos="2216"/>
        </w:tabs>
        <w:spacing w:line="360" w:lineRule="auto"/>
        <w:ind w:firstLine="709"/>
        <w:jc w:val="both"/>
        <w:rPr>
          <w:i/>
          <w:iCs/>
          <w:sz w:val="28"/>
          <w:szCs w:val="28"/>
        </w:rPr>
      </w:pPr>
      <w:r>
        <w:rPr>
          <w:i/>
          <w:iCs/>
          <w:sz w:val="28"/>
          <w:szCs w:val="28"/>
        </w:rPr>
        <w:t>Вместе с тем, вызывает</w:t>
      </w:r>
      <w:r w:rsidR="006565C3" w:rsidRPr="007F79D4">
        <w:rPr>
          <w:i/>
          <w:iCs/>
          <w:sz w:val="28"/>
          <w:szCs w:val="28"/>
        </w:rPr>
        <w:t xml:space="preserve"> опасения </w:t>
      </w:r>
      <w:r>
        <w:rPr>
          <w:i/>
          <w:iCs/>
          <w:sz w:val="28"/>
          <w:szCs w:val="28"/>
        </w:rPr>
        <w:t>об</w:t>
      </w:r>
      <w:r w:rsidR="008311C9">
        <w:rPr>
          <w:i/>
          <w:iCs/>
          <w:sz w:val="28"/>
          <w:szCs w:val="28"/>
        </w:rPr>
        <w:t>ъективность</w:t>
      </w:r>
      <w:r w:rsidR="006565C3" w:rsidRPr="007F79D4">
        <w:rPr>
          <w:i/>
          <w:iCs/>
          <w:sz w:val="28"/>
          <w:szCs w:val="28"/>
        </w:rPr>
        <w:t xml:space="preserve"> расчет</w:t>
      </w:r>
      <w:r w:rsidR="008311C9">
        <w:rPr>
          <w:i/>
          <w:iCs/>
          <w:sz w:val="28"/>
          <w:szCs w:val="28"/>
        </w:rPr>
        <w:t>ов</w:t>
      </w:r>
      <w:r w:rsidR="006565C3" w:rsidRPr="007F79D4">
        <w:rPr>
          <w:i/>
          <w:iCs/>
          <w:sz w:val="28"/>
          <w:szCs w:val="28"/>
        </w:rPr>
        <w:t xml:space="preserve"> плановых показателей</w:t>
      </w:r>
      <w:r>
        <w:rPr>
          <w:i/>
          <w:iCs/>
          <w:sz w:val="28"/>
          <w:szCs w:val="28"/>
        </w:rPr>
        <w:t xml:space="preserve"> бюджетной политики</w:t>
      </w:r>
      <w:r w:rsidR="008311C9">
        <w:rPr>
          <w:i/>
          <w:iCs/>
          <w:sz w:val="28"/>
          <w:szCs w:val="28"/>
        </w:rPr>
        <w:t xml:space="preserve"> </w:t>
      </w:r>
      <w:r w:rsidR="008311C9" w:rsidRPr="007F79D4">
        <w:rPr>
          <w:i/>
          <w:iCs/>
          <w:sz w:val="28"/>
          <w:szCs w:val="28"/>
        </w:rPr>
        <w:t xml:space="preserve">в </w:t>
      </w:r>
      <w:r w:rsidR="00286E19">
        <w:rPr>
          <w:i/>
          <w:iCs/>
          <w:sz w:val="28"/>
          <w:szCs w:val="28"/>
        </w:rPr>
        <w:t xml:space="preserve">ближайшей и </w:t>
      </w:r>
      <w:r w:rsidR="008311C9" w:rsidRPr="007F79D4">
        <w:rPr>
          <w:i/>
          <w:iCs/>
          <w:sz w:val="28"/>
          <w:szCs w:val="28"/>
        </w:rPr>
        <w:t>среднесрочной перспективе</w:t>
      </w:r>
      <w:r w:rsidR="006565C3" w:rsidRPr="007F79D4">
        <w:rPr>
          <w:i/>
          <w:iCs/>
          <w:sz w:val="28"/>
          <w:szCs w:val="28"/>
        </w:rPr>
        <w:t>.</w:t>
      </w:r>
      <w:r w:rsidR="006565C3" w:rsidRPr="007F79D4">
        <w:rPr>
          <w:sz w:val="28"/>
          <w:szCs w:val="28"/>
        </w:rPr>
        <w:t xml:space="preserve"> </w:t>
      </w:r>
      <w:r w:rsidR="006565C3" w:rsidRPr="007F79D4">
        <w:rPr>
          <w:i/>
          <w:iCs/>
          <w:sz w:val="28"/>
          <w:szCs w:val="28"/>
        </w:rPr>
        <w:t xml:space="preserve">Особенно учитывая, что практически все плановые расчеты, представленные в Законопроекте, не координируются с </w:t>
      </w:r>
      <w:r w:rsidR="008311C9">
        <w:rPr>
          <w:i/>
          <w:iCs/>
          <w:sz w:val="28"/>
          <w:szCs w:val="28"/>
        </w:rPr>
        <w:t>существен</w:t>
      </w:r>
      <w:r w:rsidR="006565C3" w:rsidRPr="007F79D4">
        <w:rPr>
          <w:i/>
          <w:iCs/>
          <w:sz w:val="28"/>
          <w:szCs w:val="28"/>
        </w:rPr>
        <w:t xml:space="preserve">но изменившейся в последние месяцы геополитической, военной и социально-экономической ситуацией, </w:t>
      </w:r>
      <w:r w:rsidR="00286E19">
        <w:rPr>
          <w:i/>
          <w:iCs/>
          <w:sz w:val="28"/>
          <w:szCs w:val="28"/>
        </w:rPr>
        <w:t xml:space="preserve">а также </w:t>
      </w:r>
      <w:r w:rsidR="006565C3" w:rsidRPr="007F79D4">
        <w:rPr>
          <w:i/>
          <w:iCs/>
          <w:sz w:val="28"/>
          <w:szCs w:val="28"/>
        </w:rPr>
        <w:t>условиями хозяйствования и в России, и в мире.</w:t>
      </w:r>
    </w:p>
    <w:p w14:paraId="1C83F92C" w14:textId="7830A43F"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Прежде </w:t>
      </w:r>
      <w:proofErr w:type="gramStart"/>
      <w:r>
        <w:rPr>
          <w:sz w:val="28"/>
          <w:szCs w:val="28"/>
        </w:rPr>
        <w:t>всего</w:t>
      </w:r>
      <w:proofErr w:type="gramEnd"/>
      <w:r>
        <w:rPr>
          <w:sz w:val="28"/>
          <w:szCs w:val="28"/>
        </w:rPr>
        <w:t xml:space="preserve"> имеются вопросы к реальности расчетов плановых показателей доходов и расходов бюджета, которые возникают в связи с тем, что отчасти эти расчеты устарели. В Пояснительной записке к Законопроекту сказано, что основные характеристики Законопроекта сформированы на основе базового варианта прогноза социально</w:t>
      </w:r>
      <w:r w:rsidR="00BD7EB5">
        <w:rPr>
          <w:sz w:val="28"/>
          <w:szCs w:val="28"/>
        </w:rPr>
        <w:t>-</w:t>
      </w:r>
      <w:r>
        <w:rPr>
          <w:sz w:val="28"/>
          <w:szCs w:val="28"/>
        </w:rPr>
        <w:t xml:space="preserve">экономического развития Российской Федерации на 2023 год и плановый период 2024 и 2025 годов (Далее – Прогноз). Данные этого Прогноза рассчитаны без учета экономической ситуации в России в течение последних нескольких месяцев 2022 года и значительного изменения перспектив </w:t>
      </w:r>
      <w:r w:rsidR="00BD7EB5">
        <w:rPr>
          <w:sz w:val="28"/>
          <w:szCs w:val="28"/>
        </w:rPr>
        <w:t xml:space="preserve">ее </w:t>
      </w:r>
      <w:r>
        <w:rPr>
          <w:sz w:val="28"/>
          <w:szCs w:val="28"/>
        </w:rPr>
        <w:t xml:space="preserve">развития. Изменения, в первую очередь, связаны с вхождением четырех </w:t>
      </w:r>
      <w:r w:rsidR="00BD2C1D">
        <w:rPr>
          <w:sz w:val="28"/>
          <w:szCs w:val="28"/>
        </w:rPr>
        <w:t>новых</w:t>
      </w:r>
      <w:r>
        <w:rPr>
          <w:sz w:val="28"/>
          <w:szCs w:val="28"/>
        </w:rPr>
        <w:t xml:space="preserve"> регионов в состав Российской Федерации. Как следствие, возникает необходимость восстановления экономики этих регионов, их инфраструктуры, оказания разнообразной социально-экономической помощи предприятиям и населению, начиная от трудоустройства и выплаты заработной платы и заканчивая пенсионным обеспечением граждан. Также не учтены возможности экономического развития новых российских регионов и их потенциал. Более того, в Законопроекте нет упоминаний о мерах и мероприятиях, связанных с частичной мобилизацией на территории Российской Федерации, которые требуют значительных объемов бюджетных ресурсов, их концентрацию по определенным направлением деятельности Российского государства.</w:t>
      </w:r>
    </w:p>
    <w:p w14:paraId="0DFADDFC" w14:textId="77777777"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Также вызывают тревогу прогнозные параметры объемов формирования и использования Фонда национального благосостояния и дефицита федерального бюджета. </w:t>
      </w:r>
    </w:p>
    <w:p w14:paraId="6C22CD95" w14:textId="77777777"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Согласно Законопроекту, в 2023-2025 годах объем Фонда национального благосостояния будет существенно ниже объемов этого фонда по состоянию на начало-конец 2022 года и также ниже, чем запланировано в</w:t>
      </w:r>
      <w:r w:rsidRPr="00F85828">
        <w:t xml:space="preserve"> </w:t>
      </w:r>
      <w:r w:rsidRPr="00F85828">
        <w:rPr>
          <w:sz w:val="28"/>
          <w:szCs w:val="28"/>
        </w:rPr>
        <w:t>Федеральном законе № 390-ФЗ</w:t>
      </w:r>
      <w:r>
        <w:rPr>
          <w:sz w:val="28"/>
          <w:szCs w:val="28"/>
        </w:rPr>
        <w:t>. Более того, объем средств ФНБ будет ежегодно снижаться. При этом пополнение ФНБ в 2023 году не планируется.</w:t>
      </w:r>
    </w:p>
    <w:p w14:paraId="0E35C072" w14:textId="77777777" w:rsidR="006565C3" w:rsidRDefault="006565C3" w:rsidP="00DC5282">
      <w:pPr>
        <w:widowControl w:val="0"/>
        <w:tabs>
          <w:tab w:val="left" w:pos="708"/>
          <w:tab w:val="left" w:pos="1416"/>
          <w:tab w:val="left" w:pos="2216"/>
        </w:tabs>
        <w:spacing w:line="360" w:lineRule="auto"/>
        <w:ind w:firstLine="709"/>
        <w:jc w:val="both"/>
        <w:rPr>
          <w:sz w:val="28"/>
          <w:szCs w:val="28"/>
        </w:rPr>
      </w:pPr>
      <w:proofErr w:type="gramStart"/>
      <w:r>
        <w:rPr>
          <w:sz w:val="28"/>
          <w:szCs w:val="28"/>
        </w:rPr>
        <w:t xml:space="preserve">В 2023 году размер ФНБ на начало года запланирован на уровне на 34% ниже, чем на начало 2022 года и почти в два раза ниже, чем определено </w:t>
      </w:r>
      <w:r w:rsidRPr="00F85828">
        <w:rPr>
          <w:sz w:val="28"/>
          <w:szCs w:val="28"/>
        </w:rPr>
        <w:t>в Федеральном законе № 390-ФЗ</w:t>
      </w:r>
      <w:r>
        <w:rPr>
          <w:sz w:val="28"/>
          <w:szCs w:val="28"/>
        </w:rPr>
        <w:t xml:space="preserve">, в 2024 году – в 2,2 раза меньше, чем на начало 2022 года и в 3,2 раза меньше, чем в </w:t>
      </w:r>
      <w:r w:rsidRPr="00F85828">
        <w:rPr>
          <w:sz w:val="28"/>
          <w:szCs w:val="28"/>
        </w:rPr>
        <w:t>Федеральном законе № 390-ФЗ</w:t>
      </w:r>
      <w:r>
        <w:rPr>
          <w:sz w:val="28"/>
          <w:szCs w:val="28"/>
        </w:rPr>
        <w:t>, в 2025 году – в 2,3 раза меньше</w:t>
      </w:r>
      <w:proofErr w:type="gramEnd"/>
      <w:r>
        <w:rPr>
          <w:sz w:val="28"/>
          <w:szCs w:val="28"/>
        </w:rPr>
        <w:t xml:space="preserve">, чем на начало 2022 года и в 3,4 раза меньше, чем запланировано в </w:t>
      </w:r>
      <w:r w:rsidRPr="008914DE">
        <w:rPr>
          <w:sz w:val="28"/>
          <w:szCs w:val="28"/>
        </w:rPr>
        <w:t>Федеральном законе № 390-ФЗ</w:t>
      </w:r>
      <w:r>
        <w:rPr>
          <w:sz w:val="28"/>
          <w:szCs w:val="28"/>
        </w:rPr>
        <w:t xml:space="preserve"> на 2024 год. </w:t>
      </w:r>
    </w:p>
    <w:p w14:paraId="3F249DDF" w14:textId="2F57A528" w:rsidR="006565C3" w:rsidRDefault="006565C3" w:rsidP="00DC5282">
      <w:pPr>
        <w:widowControl w:val="0"/>
        <w:tabs>
          <w:tab w:val="left" w:pos="708"/>
          <w:tab w:val="left" w:pos="1416"/>
          <w:tab w:val="left" w:pos="2216"/>
        </w:tabs>
        <w:spacing w:line="360" w:lineRule="auto"/>
        <w:ind w:firstLine="709"/>
        <w:jc w:val="both"/>
        <w:rPr>
          <w:sz w:val="28"/>
          <w:szCs w:val="28"/>
        </w:rPr>
      </w:pPr>
      <w:r w:rsidRPr="007F79D4">
        <w:rPr>
          <w:sz w:val="28"/>
          <w:szCs w:val="28"/>
        </w:rPr>
        <w:t xml:space="preserve">Вместе с этим, планируется, что объем использования средств ФНБ в 2023-2024 годах будет колоссальным. </w:t>
      </w:r>
      <w:r>
        <w:rPr>
          <w:sz w:val="28"/>
          <w:szCs w:val="28"/>
        </w:rPr>
        <w:t xml:space="preserve">Масштабы использования средств фонда будут в несколько сот раз больше, чем предусмотрено в </w:t>
      </w:r>
      <w:r w:rsidRPr="005E41EC">
        <w:rPr>
          <w:sz w:val="28"/>
          <w:szCs w:val="28"/>
        </w:rPr>
        <w:t>Федеральном законе № 390-ФЗ</w:t>
      </w:r>
      <w:r>
        <w:rPr>
          <w:sz w:val="28"/>
          <w:szCs w:val="28"/>
        </w:rPr>
        <w:t xml:space="preserve">, в том числе, в 2023 году – в 907 раз больше, в 2024 году – в 420 раз больше. </w:t>
      </w:r>
      <w:r w:rsidRPr="007F79D4">
        <w:rPr>
          <w:sz w:val="28"/>
          <w:szCs w:val="28"/>
        </w:rPr>
        <w:t>При этом</w:t>
      </w:r>
      <w:proofErr w:type="gramStart"/>
      <w:r w:rsidRPr="007F79D4">
        <w:rPr>
          <w:sz w:val="28"/>
          <w:szCs w:val="28"/>
        </w:rPr>
        <w:t>,</w:t>
      </w:r>
      <w:proofErr w:type="gramEnd"/>
      <w:r w:rsidRPr="007F79D4">
        <w:rPr>
          <w:sz w:val="28"/>
          <w:szCs w:val="28"/>
        </w:rPr>
        <w:t xml:space="preserve"> в части направлений использования </w:t>
      </w:r>
      <w:r w:rsidR="00BD7EB5">
        <w:rPr>
          <w:sz w:val="28"/>
          <w:szCs w:val="28"/>
        </w:rPr>
        <w:t>столь значительных</w:t>
      </w:r>
      <w:r w:rsidRPr="007F79D4">
        <w:rPr>
          <w:sz w:val="28"/>
          <w:szCs w:val="28"/>
        </w:rPr>
        <w:t xml:space="preserve"> объемов денежных средств практически нет никакой конкретики. </w:t>
      </w:r>
      <w:r>
        <w:rPr>
          <w:sz w:val="28"/>
          <w:szCs w:val="28"/>
        </w:rPr>
        <w:t xml:space="preserve">В </w:t>
      </w:r>
      <w:proofErr w:type="gramStart"/>
      <w:r>
        <w:rPr>
          <w:sz w:val="28"/>
          <w:szCs w:val="28"/>
        </w:rPr>
        <w:t>Законопроекте</w:t>
      </w:r>
      <w:proofErr w:type="gramEnd"/>
      <w:r>
        <w:rPr>
          <w:sz w:val="28"/>
          <w:szCs w:val="28"/>
        </w:rPr>
        <w:t xml:space="preserve"> лишь сказано, что будет продолжено использование средств ФНБ на реализацию инвестиционных проектов, а также на </w:t>
      </w:r>
      <w:proofErr w:type="spellStart"/>
      <w:r>
        <w:rPr>
          <w:sz w:val="28"/>
          <w:szCs w:val="28"/>
        </w:rPr>
        <w:t>софинансирование</w:t>
      </w:r>
      <w:proofErr w:type="spellEnd"/>
      <w:r>
        <w:rPr>
          <w:sz w:val="28"/>
          <w:szCs w:val="28"/>
        </w:rPr>
        <w:t xml:space="preserve"> формирования пенсионных накоплений застрахованных лиц, уплативших дополнительные страховые взносы на накопительную пенсию. </w:t>
      </w:r>
    </w:p>
    <w:p w14:paraId="7AC94049" w14:textId="6373AF69" w:rsidR="006565C3" w:rsidRPr="007F79D4" w:rsidRDefault="006565C3" w:rsidP="00DC5282">
      <w:pPr>
        <w:widowControl w:val="0"/>
        <w:tabs>
          <w:tab w:val="left" w:pos="708"/>
          <w:tab w:val="left" w:pos="1416"/>
          <w:tab w:val="left" w:pos="2216"/>
        </w:tabs>
        <w:spacing w:line="360" w:lineRule="auto"/>
        <w:ind w:firstLine="709"/>
        <w:jc w:val="both"/>
        <w:rPr>
          <w:sz w:val="28"/>
          <w:szCs w:val="28"/>
        </w:rPr>
      </w:pPr>
      <w:proofErr w:type="gramStart"/>
      <w:r w:rsidRPr="007F79D4">
        <w:rPr>
          <w:sz w:val="28"/>
          <w:szCs w:val="28"/>
        </w:rPr>
        <w:t xml:space="preserve">В итоге, прогнозные данные в отношении Фонда национального благосостояния показывают, что </w:t>
      </w:r>
      <w:r w:rsidRPr="00005928">
        <w:rPr>
          <w:sz w:val="28"/>
          <w:szCs w:val="28"/>
          <w:highlight w:val="yellow"/>
        </w:rPr>
        <w:t>по итогам трехлетнего периода может сложиться негативная ситуация, связанная с истощением этого фонда, хотя фонд представляет собой «подушку безопасности» государства,</w:t>
      </w:r>
      <w:r w:rsidRPr="00005928">
        <w:rPr>
          <w:highlight w:val="yellow"/>
        </w:rPr>
        <w:t xml:space="preserve"> </w:t>
      </w:r>
      <w:r w:rsidRPr="00005928">
        <w:rPr>
          <w:sz w:val="28"/>
          <w:szCs w:val="28"/>
          <w:highlight w:val="yellow"/>
        </w:rPr>
        <w:t>которая позволяет компенсировать потерю нефтегазовых доходов в случае резкого падения цены на нефть и исполнить принятые на себя социальные обязательства.</w:t>
      </w:r>
      <w:proofErr w:type="gramEnd"/>
      <w:r w:rsidR="00005928">
        <w:rPr>
          <w:sz w:val="28"/>
          <w:szCs w:val="28"/>
        </w:rPr>
        <w:t xml:space="preserve"> </w:t>
      </w:r>
      <w:r w:rsidR="00005928" w:rsidRPr="00005928">
        <w:rPr>
          <w:color w:val="FF0000"/>
          <w:sz w:val="28"/>
          <w:szCs w:val="28"/>
        </w:rPr>
        <w:t>В ФНБ</w:t>
      </w:r>
    </w:p>
    <w:p w14:paraId="15B42D47" w14:textId="5067C925"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В 2023-2025 </w:t>
      </w:r>
      <w:proofErr w:type="gramStart"/>
      <w:r>
        <w:rPr>
          <w:sz w:val="28"/>
          <w:szCs w:val="28"/>
        </w:rPr>
        <w:t>годах</w:t>
      </w:r>
      <w:proofErr w:type="gramEnd"/>
      <w:r>
        <w:rPr>
          <w:sz w:val="28"/>
          <w:szCs w:val="28"/>
        </w:rPr>
        <w:t xml:space="preserve"> планируется наличие дефицита федерального бюджета в размере от 2,0% ВВП в 2023 году до 0,7% ВВП в 2025 году. </w:t>
      </w:r>
    </w:p>
    <w:p w14:paraId="3C39C0E7" w14:textId="77777777" w:rsidR="006565C3"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Усугубляют ситуацию с дефицитом федерального бюджета плановые данные об уровне инфляции, которые являются основанием для расчета многих показателей федерального бюджета. Планируется, что в 2023 году инфляция будет составлять 5,5% и к 2025 году снизится до 4,0%.</w:t>
      </w:r>
    </w:p>
    <w:p w14:paraId="0EAA3C08" w14:textId="749571FE" w:rsidR="006565C3" w:rsidRPr="007F79D4"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В </w:t>
      </w:r>
      <w:proofErr w:type="gramStart"/>
      <w:r>
        <w:rPr>
          <w:sz w:val="28"/>
          <w:szCs w:val="28"/>
        </w:rPr>
        <w:t>Законопроекте</w:t>
      </w:r>
      <w:proofErr w:type="gramEnd"/>
      <w:r>
        <w:rPr>
          <w:sz w:val="28"/>
          <w:szCs w:val="28"/>
        </w:rPr>
        <w:t xml:space="preserve"> сказано, что «проведение ответственной денежно-кредитной политики (режим </w:t>
      </w:r>
      <w:proofErr w:type="spellStart"/>
      <w:r>
        <w:rPr>
          <w:sz w:val="28"/>
          <w:szCs w:val="28"/>
        </w:rPr>
        <w:t>таргетирования</w:t>
      </w:r>
      <w:proofErr w:type="spellEnd"/>
      <w:r>
        <w:rPr>
          <w:sz w:val="28"/>
          <w:szCs w:val="28"/>
        </w:rPr>
        <w:t xml:space="preserve"> инфляции) и бюджетной политики (обновление конструкции «бюджетных правил» с 2023 года) приведет к возвращению инфляции к целевому ориентиру в 4%». </w:t>
      </w:r>
      <w:proofErr w:type="gramStart"/>
      <w:r>
        <w:rPr>
          <w:sz w:val="28"/>
          <w:szCs w:val="28"/>
        </w:rPr>
        <w:t>Однако анализ</w:t>
      </w:r>
      <w:r w:rsidRPr="0035130D">
        <w:rPr>
          <w:sz w:val="28"/>
          <w:szCs w:val="28"/>
        </w:rPr>
        <w:t xml:space="preserve"> ситуации с инфляцией в России </w:t>
      </w:r>
      <w:r>
        <w:rPr>
          <w:sz w:val="28"/>
          <w:szCs w:val="28"/>
        </w:rPr>
        <w:t xml:space="preserve">и в ряде стран Запада, демонстрирующий ее резкий рост весной 2022 года и сохранение высоких двузначных значений в настоящее время дают основания </w:t>
      </w:r>
      <w:r w:rsidRPr="0035130D">
        <w:rPr>
          <w:sz w:val="28"/>
          <w:szCs w:val="28"/>
        </w:rPr>
        <w:t xml:space="preserve">усомниться в </w:t>
      </w:r>
      <w:r>
        <w:rPr>
          <w:sz w:val="28"/>
          <w:szCs w:val="28"/>
        </w:rPr>
        <w:t>адекватности современной ситуации сделанных расчетов, особенно принимая во внимание продолжение активной фазы специальной военной операции, принципиальное изменение позиции по вопросам добычи и продажи нефти странами ОПЕК+, возникновение новой ситуации</w:t>
      </w:r>
      <w:proofErr w:type="gramEnd"/>
      <w:r>
        <w:rPr>
          <w:sz w:val="28"/>
          <w:szCs w:val="28"/>
        </w:rPr>
        <w:t xml:space="preserve"> с экспортом российских нефти и газа в страны Евросоюза, связанной как с введением санкций в отношении России, их ужесточением и расширением, так и беспрецедентными взрывами на трубопроводах «</w:t>
      </w:r>
      <w:proofErr w:type="gramStart"/>
      <w:r>
        <w:rPr>
          <w:sz w:val="28"/>
          <w:szCs w:val="28"/>
        </w:rPr>
        <w:t>Северный</w:t>
      </w:r>
      <w:proofErr w:type="gramEnd"/>
      <w:r>
        <w:rPr>
          <w:sz w:val="28"/>
          <w:szCs w:val="28"/>
        </w:rPr>
        <w:t xml:space="preserve"> поток-1» и «Северный поток-2». </w:t>
      </w:r>
      <w:r w:rsidRPr="007F79D4">
        <w:rPr>
          <w:sz w:val="28"/>
          <w:szCs w:val="28"/>
        </w:rPr>
        <w:t xml:space="preserve">В этой связи </w:t>
      </w:r>
      <w:proofErr w:type="spellStart"/>
      <w:r w:rsidRPr="007F79D4">
        <w:rPr>
          <w:sz w:val="28"/>
          <w:szCs w:val="28"/>
        </w:rPr>
        <w:t>малореалистичным</w:t>
      </w:r>
      <w:proofErr w:type="spellEnd"/>
      <w:r w:rsidRPr="007F79D4">
        <w:rPr>
          <w:sz w:val="28"/>
          <w:szCs w:val="28"/>
        </w:rPr>
        <w:t xml:space="preserve"> представляются планы о снижении </w:t>
      </w:r>
      <w:r w:rsidR="003D4D57">
        <w:rPr>
          <w:sz w:val="28"/>
          <w:szCs w:val="28"/>
        </w:rPr>
        <w:t>темпа</w:t>
      </w:r>
      <w:r w:rsidRPr="007F79D4">
        <w:rPr>
          <w:sz w:val="28"/>
          <w:szCs w:val="28"/>
        </w:rPr>
        <w:t xml:space="preserve"> инфляции в довольно сжатые сроки. </w:t>
      </w:r>
    </w:p>
    <w:p w14:paraId="33CDB7C7" w14:textId="177E5854" w:rsidR="006565C3" w:rsidRDefault="006565C3" w:rsidP="00DC5282">
      <w:pPr>
        <w:widowControl w:val="0"/>
        <w:tabs>
          <w:tab w:val="left" w:pos="708"/>
          <w:tab w:val="left" w:pos="1416"/>
          <w:tab w:val="left" w:pos="2216"/>
        </w:tabs>
        <w:spacing w:line="360" w:lineRule="auto"/>
        <w:ind w:firstLine="709"/>
        <w:jc w:val="both"/>
        <w:rPr>
          <w:sz w:val="28"/>
          <w:szCs w:val="28"/>
        </w:rPr>
      </w:pPr>
      <w:proofErr w:type="gramStart"/>
      <w:r>
        <w:rPr>
          <w:sz w:val="28"/>
          <w:szCs w:val="28"/>
        </w:rPr>
        <w:t>Более того, если в отношении формирования доходной части федерального бюджета Пояснительная записка содержит довольно обстоятельное обоснование об источниках формирования доходов (корректировка налогообложения отдельных отраслей экономики, изменение ставок таможенных пошлин, расширение налоговых льгот и преференций, реализация мер в части улучшения администрирования налогов и их собираемости), то в отношении направлений расходования бюджетных средств и причинах серьезного увеличения ожидаемых расходов федерального бюджета информация</w:t>
      </w:r>
      <w:proofErr w:type="gramEnd"/>
      <w:r>
        <w:rPr>
          <w:sz w:val="28"/>
          <w:szCs w:val="28"/>
        </w:rPr>
        <w:t xml:space="preserve"> практически отсутствует. </w:t>
      </w:r>
      <w:r w:rsidR="00344D41">
        <w:rPr>
          <w:sz w:val="28"/>
          <w:szCs w:val="28"/>
        </w:rPr>
        <w:t>О</w:t>
      </w:r>
      <w:r>
        <w:rPr>
          <w:sz w:val="28"/>
          <w:szCs w:val="28"/>
        </w:rPr>
        <w:t xml:space="preserve">тсутствие детализации по данному показателю существенно усложняет анализ и делает невозможной оценку необходимости, целесообразности и эффективности направления бюджетных ресурсов на осуществление указанных объемов расходов. </w:t>
      </w:r>
    </w:p>
    <w:p w14:paraId="761021F5" w14:textId="6B0E9A56" w:rsidR="006565C3" w:rsidRPr="007F79D4" w:rsidRDefault="006565C3" w:rsidP="00DC5282">
      <w:pPr>
        <w:widowControl w:val="0"/>
        <w:tabs>
          <w:tab w:val="left" w:pos="708"/>
          <w:tab w:val="left" w:pos="1416"/>
          <w:tab w:val="left" w:pos="2216"/>
        </w:tabs>
        <w:spacing w:line="360" w:lineRule="auto"/>
        <w:ind w:firstLine="709"/>
        <w:jc w:val="both"/>
        <w:rPr>
          <w:sz w:val="28"/>
          <w:szCs w:val="28"/>
        </w:rPr>
      </w:pPr>
      <w:r>
        <w:rPr>
          <w:sz w:val="28"/>
          <w:szCs w:val="28"/>
        </w:rPr>
        <w:t xml:space="preserve">В </w:t>
      </w:r>
      <w:proofErr w:type="gramStart"/>
      <w:r>
        <w:rPr>
          <w:sz w:val="28"/>
          <w:szCs w:val="28"/>
        </w:rPr>
        <w:t>качестве</w:t>
      </w:r>
      <w:proofErr w:type="gramEnd"/>
      <w:r w:rsidR="001A0E23">
        <w:rPr>
          <w:sz w:val="28"/>
          <w:szCs w:val="28"/>
        </w:rPr>
        <w:t xml:space="preserve"> же</w:t>
      </w:r>
      <w:r>
        <w:rPr>
          <w:sz w:val="28"/>
          <w:szCs w:val="28"/>
        </w:rPr>
        <w:t xml:space="preserve"> положительного момента в Законопроекте </w:t>
      </w:r>
      <w:r w:rsidR="001A0E23">
        <w:rPr>
          <w:sz w:val="28"/>
          <w:szCs w:val="28"/>
        </w:rPr>
        <w:t xml:space="preserve">следует отметить обоснование </w:t>
      </w:r>
      <w:r>
        <w:rPr>
          <w:sz w:val="28"/>
          <w:szCs w:val="28"/>
        </w:rPr>
        <w:t>сокращени</w:t>
      </w:r>
      <w:r w:rsidR="001A0E23">
        <w:rPr>
          <w:sz w:val="28"/>
          <w:szCs w:val="28"/>
        </w:rPr>
        <w:t>я</w:t>
      </w:r>
      <w:r>
        <w:rPr>
          <w:sz w:val="28"/>
          <w:szCs w:val="28"/>
        </w:rPr>
        <w:t xml:space="preserve"> зависимости бюджета от нефтегазовых доходов. Такая политика государства является правильной и обоснованной, особенно с точки зрения внутреннего развития России в новых условиях. </w:t>
      </w:r>
    </w:p>
    <w:p w14:paraId="2FA2FBD9" w14:textId="69FB5324" w:rsidR="006565C3" w:rsidRDefault="006565C3"/>
    <w:p w14:paraId="69B17068" w14:textId="725AB2A0" w:rsidR="005D3B27" w:rsidRPr="002668F8" w:rsidRDefault="002668F8" w:rsidP="0096730A">
      <w:pPr>
        <w:pStyle w:val="a4"/>
        <w:numPr>
          <w:ilvl w:val="0"/>
          <w:numId w:val="19"/>
        </w:numPr>
        <w:spacing w:after="160" w:line="259" w:lineRule="auto"/>
        <w:ind w:left="426"/>
        <w:jc w:val="both"/>
        <w:outlineLvl w:val="0"/>
        <w:rPr>
          <w:b/>
          <w:bCs/>
        </w:rPr>
      </w:pPr>
      <w:bookmarkStart w:id="1" w:name="_Toc116561832"/>
      <w:r w:rsidRPr="002668F8">
        <w:rPr>
          <w:b/>
          <w:bCs/>
          <w:sz w:val="28"/>
          <w:szCs w:val="28"/>
        </w:rPr>
        <w:t>Проблемные аспекты денежно-кредитной политики</w:t>
      </w:r>
      <w:r w:rsidR="00B351EC">
        <w:rPr>
          <w:b/>
          <w:bCs/>
          <w:sz w:val="28"/>
          <w:szCs w:val="28"/>
        </w:rPr>
        <w:t xml:space="preserve"> при формировании доходной части</w:t>
      </w:r>
      <w:r w:rsidRPr="002668F8">
        <w:rPr>
          <w:b/>
          <w:bCs/>
          <w:sz w:val="28"/>
          <w:szCs w:val="28"/>
        </w:rPr>
        <w:t xml:space="preserve"> Проекта Федерального бюджета на 2023 год и плановый период 2024 и 2025 годов</w:t>
      </w:r>
      <w:bookmarkEnd w:id="1"/>
    </w:p>
    <w:p w14:paraId="3A32FA14" w14:textId="50B0AD94" w:rsidR="005D3B27" w:rsidRDefault="005D3B27" w:rsidP="00DC5282">
      <w:pPr>
        <w:ind w:left="426"/>
        <w:jc w:val="both"/>
      </w:pPr>
    </w:p>
    <w:p w14:paraId="276501D2" w14:textId="1D0C7E81" w:rsidR="005D3B27" w:rsidRPr="00B04314" w:rsidRDefault="005D3B27" w:rsidP="00DC5282">
      <w:pPr>
        <w:autoSpaceDE w:val="0"/>
        <w:autoSpaceDN w:val="0"/>
        <w:adjustRightInd w:val="0"/>
        <w:spacing w:line="360" w:lineRule="auto"/>
        <w:ind w:firstLine="709"/>
        <w:jc w:val="both"/>
        <w:rPr>
          <w:sz w:val="28"/>
          <w:szCs w:val="20"/>
        </w:rPr>
      </w:pPr>
      <w:r>
        <w:rPr>
          <w:rFonts w:cs="Arial"/>
          <w:sz w:val="28"/>
          <w:szCs w:val="28"/>
        </w:rPr>
        <w:t>Законоп</w:t>
      </w:r>
      <w:r w:rsidRPr="001E614B">
        <w:rPr>
          <w:rFonts w:cs="Arial"/>
          <w:sz w:val="28"/>
          <w:szCs w:val="28"/>
        </w:rPr>
        <w:t>ро</w:t>
      </w:r>
      <w:r>
        <w:rPr>
          <w:rFonts w:cs="Arial"/>
          <w:sz w:val="28"/>
          <w:szCs w:val="28"/>
        </w:rPr>
        <w:t>ект Бюджета</w:t>
      </w:r>
      <w:r w:rsidRPr="001E614B">
        <w:rPr>
          <w:rFonts w:cs="Arial"/>
          <w:sz w:val="28"/>
          <w:szCs w:val="28"/>
        </w:rPr>
        <w:t xml:space="preserve"> учитывает проведение денежно-кредитной политики Банка России в рамках режима </w:t>
      </w:r>
      <w:proofErr w:type="spellStart"/>
      <w:r w:rsidRPr="001E614B">
        <w:rPr>
          <w:rFonts w:cs="Arial"/>
          <w:sz w:val="28"/>
          <w:szCs w:val="28"/>
        </w:rPr>
        <w:t>таргетирования</w:t>
      </w:r>
      <w:proofErr w:type="spellEnd"/>
      <w:r w:rsidRPr="001E614B">
        <w:rPr>
          <w:rFonts w:cs="Arial"/>
          <w:sz w:val="28"/>
          <w:szCs w:val="28"/>
        </w:rPr>
        <w:t xml:space="preserve"> инфляции на протяжении всего прогнозного периода, а также предусматривает возврат к проведению с 2023 года бюджетной политики в соответствии </w:t>
      </w:r>
      <w:r w:rsidRPr="00B04314">
        <w:rPr>
          <w:rFonts w:cs="Arial"/>
          <w:sz w:val="28"/>
          <w:szCs w:val="28"/>
        </w:rPr>
        <w:t>с новой конструкцией «бюджетных правил»</w:t>
      </w:r>
      <w:r w:rsidR="00344D41">
        <w:rPr>
          <w:rFonts w:cs="Arial"/>
          <w:sz w:val="28"/>
          <w:szCs w:val="28"/>
        </w:rPr>
        <w:t>.</w:t>
      </w:r>
      <w:r w:rsidRPr="00B04314">
        <w:rPr>
          <w:rStyle w:val="aa"/>
          <w:szCs w:val="20"/>
        </w:rPr>
        <w:footnoteReference w:id="1"/>
      </w:r>
      <w:r w:rsidRPr="00B04314">
        <w:rPr>
          <w:sz w:val="28"/>
          <w:szCs w:val="20"/>
          <w:vertAlign w:val="superscript"/>
        </w:rPr>
        <w:t>,</w:t>
      </w:r>
      <w:r w:rsidRPr="00B04314">
        <w:rPr>
          <w:rStyle w:val="aa"/>
          <w:szCs w:val="20"/>
        </w:rPr>
        <w:footnoteReference w:id="2"/>
      </w:r>
    </w:p>
    <w:p w14:paraId="69039FEA" w14:textId="77777777" w:rsidR="005D3B27" w:rsidRPr="001E614B" w:rsidRDefault="005D3B27" w:rsidP="00DC5282">
      <w:pPr>
        <w:autoSpaceDE w:val="0"/>
        <w:autoSpaceDN w:val="0"/>
        <w:adjustRightInd w:val="0"/>
        <w:spacing w:line="360" w:lineRule="auto"/>
        <w:ind w:firstLine="709"/>
        <w:jc w:val="both"/>
        <w:rPr>
          <w:rFonts w:cs="Arial"/>
          <w:sz w:val="28"/>
          <w:szCs w:val="28"/>
        </w:rPr>
      </w:pPr>
      <w:r w:rsidRPr="001E614B">
        <w:rPr>
          <w:rFonts w:cs="Arial"/>
          <w:sz w:val="28"/>
          <w:szCs w:val="28"/>
        </w:rPr>
        <w:t>Среди основных предпосылок базового прогноза относительно внешнеэкономических условий выступают:</w:t>
      </w:r>
    </w:p>
    <w:p w14:paraId="4B1AD0EA" w14:textId="77777777" w:rsidR="005D3B27" w:rsidRPr="001E614B" w:rsidRDefault="005D3B27" w:rsidP="00DC5282">
      <w:pPr>
        <w:pStyle w:val="a4"/>
        <w:numPr>
          <w:ilvl w:val="0"/>
          <w:numId w:val="5"/>
        </w:numPr>
        <w:tabs>
          <w:tab w:val="left" w:pos="1134"/>
        </w:tabs>
        <w:autoSpaceDE w:val="0"/>
        <w:autoSpaceDN w:val="0"/>
        <w:adjustRightInd w:val="0"/>
        <w:spacing w:line="360" w:lineRule="auto"/>
        <w:ind w:left="0" w:firstLine="709"/>
        <w:contextualSpacing w:val="0"/>
        <w:jc w:val="both"/>
        <w:rPr>
          <w:rFonts w:cs="Arial"/>
          <w:sz w:val="28"/>
          <w:szCs w:val="28"/>
        </w:rPr>
      </w:pPr>
      <w:r w:rsidRPr="001E614B">
        <w:rPr>
          <w:rFonts w:cs="Arial"/>
          <w:sz w:val="28"/>
          <w:szCs w:val="28"/>
        </w:rPr>
        <w:t>сохранение на протяжении всего прогнозного периода основного перечня ограничительных мер, принятых иностранными государствами в отношении России;</w:t>
      </w:r>
    </w:p>
    <w:p w14:paraId="5ECD72FA" w14:textId="4CE04118" w:rsidR="005D3B27" w:rsidRPr="001E614B" w:rsidRDefault="005D3B27" w:rsidP="00DC5282">
      <w:pPr>
        <w:pStyle w:val="a4"/>
        <w:numPr>
          <w:ilvl w:val="0"/>
          <w:numId w:val="5"/>
        </w:numPr>
        <w:tabs>
          <w:tab w:val="left" w:pos="1134"/>
        </w:tabs>
        <w:autoSpaceDE w:val="0"/>
        <w:autoSpaceDN w:val="0"/>
        <w:adjustRightInd w:val="0"/>
        <w:spacing w:line="360" w:lineRule="auto"/>
        <w:ind w:left="0" w:firstLine="709"/>
        <w:contextualSpacing w:val="0"/>
        <w:jc w:val="both"/>
        <w:rPr>
          <w:rFonts w:cs="Arial"/>
          <w:sz w:val="28"/>
          <w:szCs w:val="28"/>
        </w:rPr>
      </w:pPr>
      <w:r w:rsidRPr="001E614B">
        <w:rPr>
          <w:rFonts w:cs="Arial"/>
          <w:sz w:val="28"/>
          <w:szCs w:val="28"/>
        </w:rPr>
        <w:t>резкое замедление темпов роста мирового ВВП (с 6,1% в 2021 году до 3,2% и 2,9% в 2022-2023 г</w:t>
      </w:r>
      <w:r w:rsidR="008217BA">
        <w:rPr>
          <w:rFonts w:cs="Arial"/>
          <w:sz w:val="28"/>
          <w:szCs w:val="28"/>
        </w:rPr>
        <w:t>одах</w:t>
      </w:r>
      <w:r w:rsidRPr="001E614B">
        <w:rPr>
          <w:rFonts w:cs="Arial"/>
          <w:sz w:val="28"/>
          <w:szCs w:val="28"/>
        </w:rPr>
        <w:t xml:space="preserve"> соответственно), с последующим возвратом показателя к уровню, наблюдавшемуся до пандемии (3,4% в 2024-2025 г</w:t>
      </w:r>
      <w:r w:rsidR="00C571A0">
        <w:rPr>
          <w:rFonts w:cs="Arial"/>
          <w:sz w:val="28"/>
          <w:szCs w:val="28"/>
        </w:rPr>
        <w:t>одах</w:t>
      </w:r>
      <w:r w:rsidRPr="001E614B">
        <w:rPr>
          <w:rFonts w:cs="Arial"/>
          <w:sz w:val="28"/>
          <w:szCs w:val="28"/>
        </w:rPr>
        <w:t xml:space="preserve"> соответственно);</w:t>
      </w:r>
    </w:p>
    <w:p w14:paraId="0AC0D616" w14:textId="016D38BF" w:rsidR="005D3B27" w:rsidRPr="001E614B" w:rsidRDefault="005D3B27" w:rsidP="00DC5282">
      <w:pPr>
        <w:pStyle w:val="a4"/>
        <w:numPr>
          <w:ilvl w:val="0"/>
          <w:numId w:val="5"/>
        </w:numPr>
        <w:tabs>
          <w:tab w:val="left" w:pos="1134"/>
        </w:tabs>
        <w:autoSpaceDE w:val="0"/>
        <w:autoSpaceDN w:val="0"/>
        <w:adjustRightInd w:val="0"/>
        <w:spacing w:line="360" w:lineRule="auto"/>
        <w:ind w:left="0" w:firstLine="709"/>
        <w:contextualSpacing w:val="0"/>
        <w:jc w:val="both"/>
        <w:rPr>
          <w:rFonts w:cs="Arial"/>
          <w:sz w:val="28"/>
          <w:szCs w:val="28"/>
        </w:rPr>
      </w:pPr>
      <w:r w:rsidRPr="001E614B">
        <w:rPr>
          <w:rFonts w:cs="Arial"/>
          <w:sz w:val="28"/>
          <w:szCs w:val="28"/>
        </w:rPr>
        <w:t xml:space="preserve">повышенный мировой инфляционный фон (около 8,3% и 5,7% </w:t>
      </w:r>
      <w:r w:rsidRPr="001E614B">
        <w:rPr>
          <w:rFonts w:cs="Arial"/>
          <w:sz w:val="28"/>
          <w:szCs w:val="28"/>
        </w:rPr>
        <w:br/>
        <w:t>в 2022-2023 г</w:t>
      </w:r>
      <w:r w:rsidR="00C571A0">
        <w:rPr>
          <w:rFonts w:cs="Arial"/>
          <w:sz w:val="28"/>
          <w:szCs w:val="28"/>
        </w:rPr>
        <w:t xml:space="preserve">одах </w:t>
      </w:r>
      <w:r w:rsidRPr="001E614B">
        <w:rPr>
          <w:rFonts w:cs="Arial"/>
          <w:sz w:val="28"/>
          <w:szCs w:val="28"/>
        </w:rPr>
        <w:t xml:space="preserve">соответственно, как следствие ранее проводимого избыточного </w:t>
      </w:r>
      <w:proofErr w:type="spellStart"/>
      <w:r w:rsidRPr="001E614B">
        <w:rPr>
          <w:rFonts w:cs="Arial"/>
          <w:sz w:val="28"/>
          <w:szCs w:val="28"/>
        </w:rPr>
        <w:t>контрциклического</w:t>
      </w:r>
      <w:proofErr w:type="spellEnd"/>
      <w:r w:rsidRPr="001E614B">
        <w:rPr>
          <w:rFonts w:cs="Arial"/>
          <w:sz w:val="28"/>
          <w:szCs w:val="28"/>
        </w:rPr>
        <w:t xml:space="preserve"> стимулирования; введения искусственных торговых ограничений и финансовых санкций) с выходом темпов роста потребительских цен на </w:t>
      </w:r>
      <w:proofErr w:type="spellStart"/>
      <w:r w:rsidRPr="001E614B">
        <w:rPr>
          <w:rFonts w:cs="Arial"/>
          <w:sz w:val="28"/>
          <w:szCs w:val="28"/>
        </w:rPr>
        <w:t>допандемийный</w:t>
      </w:r>
      <w:proofErr w:type="spellEnd"/>
      <w:r w:rsidRPr="001E614B">
        <w:rPr>
          <w:rFonts w:cs="Arial"/>
          <w:sz w:val="28"/>
          <w:szCs w:val="28"/>
        </w:rPr>
        <w:t xml:space="preserve"> уровень не раньше конца 2024 года, в том числе за счет ужесточения денежно-кредитной политики;</w:t>
      </w:r>
    </w:p>
    <w:p w14:paraId="22E1C7BC" w14:textId="77777777" w:rsidR="005D3B27" w:rsidRPr="001E614B" w:rsidRDefault="005D3B27" w:rsidP="00DC5282">
      <w:pPr>
        <w:pStyle w:val="a4"/>
        <w:numPr>
          <w:ilvl w:val="0"/>
          <w:numId w:val="5"/>
        </w:numPr>
        <w:tabs>
          <w:tab w:val="left" w:pos="1134"/>
        </w:tabs>
        <w:autoSpaceDE w:val="0"/>
        <w:autoSpaceDN w:val="0"/>
        <w:adjustRightInd w:val="0"/>
        <w:spacing w:line="360" w:lineRule="auto"/>
        <w:ind w:left="0" w:firstLine="709"/>
        <w:contextualSpacing w:val="0"/>
        <w:jc w:val="both"/>
        <w:rPr>
          <w:rFonts w:cs="Arial"/>
          <w:sz w:val="28"/>
          <w:szCs w:val="28"/>
        </w:rPr>
      </w:pPr>
      <w:proofErr w:type="gramStart"/>
      <w:r w:rsidRPr="001E614B">
        <w:rPr>
          <w:rFonts w:cs="Arial"/>
          <w:sz w:val="28"/>
          <w:szCs w:val="28"/>
        </w:rPr>
        <w:t xml:space="preserve">сокращение отечественного импорта (вследствие действий </w:t>
      </w:r>
      <w:proofErr w:type="spellStart"/>
      <w:r w:rsidRPr="001E614B">
        <w:rPr>
          <w:rFonts w:cs="Arial"/>
          <w:sz w:val="28"/>
          <w:szCs w:val="28"/>
        </w:rPr>
        <w:t>санкционных</w:t>
      </w:r>
      <w:proofErr w:type="spellEnd"/>
      <w:r w:rsidRPr="001E614B">
        <w:rPr>
          <w:rFonts w:cs="Arial"/>
          <w:sz w:val="28"/>
          <w:szCs w:val="28"/>
        </w:rPr>
        <w:t xml:space="preserve"> ограничений, усложнения логистических маршрутов, а также ухода с рынка или приостановки работы иностранных компаний) и частичное сжатие экспортных рынков (на фоне запрета импорта ряда товаров из России и ограниченных возможностей по оперативной переориентации поставок), с дальнейшим улучшением динамики показателей к середине рассматриваемого периода на фоне реконфигурации логистических цепочек.</w:t>
      </w:r>
      <w:proofErr w:type="gramEnd"/>
    </w:p>
    <w:p w14:paraId="4AB8448C" w14:textId="60D5C85F" w:rsidR="005D3B27" w:rsidRPr="001E614B" w:rsidRDefault="005D3B27" w:rsidP="00DC5282">
      <w:pPr>
        <w:autoSpaceDE w:val="0"/>
        <w:autoSpaceDN w:val="0"/>
        <w:adjustRightInd w:val="0"/>
        <w:spacing w:line="360" w:lineRule="auto"/>
        <w:ind w:firstLine="709"/>
        <w:contextualSpacing/>
        <w:jc w:val="both"/>
        <w:rPr>
          <w:rFonts w:cs="Arial"/>
          <w:sz w:val="28"/>
          <w:szCs w:val="28"/>
        </w:rPr>
      </w:pPr>
      <w:proofErr w:type="gramStart"/>
      <w:r w:rsidRPr="001E614B">
        <w:rPr>
          <w:rFonts w:cs="Arial"/>
          <w:sz w:val="28"/>
          <w:szCs w:val="28"/>
        </w:rPr>
        <w:t xml:space="preserve">Рост спроса на нероссийскую нефть со стороны ряда стран (на фоне введения в США запрета на поставки российской нефти, и введение в ЕС с декабря 2022 года нефтяного эмбарго) в совокупности с ограничивающим предложение нефти решением ОПЕК+ о сдержанном повышении добычи, не обеспечивающим полного замещения выпадающих российских поставок, </w:t>
      </w:r>
      <w:r w:rsidRPr="00B04314">
        <w:rPr>
          <w:rFonts w:cs="Arial"/>
          <w:sz w:val="28"/>
          <w:szCs w:val="28"/>
        </w:rPr>
        <w:t xml:space="preserve">привели к существенному росту сырьевых котировок в первой половине </w:t>
      </w:r>
      <w:r w:rsidRPr="00B04314">
        <w:rPr>
          <w:rFonts w:cs="Arial"/>
          <w:sz w:val="28"/>
          <w:szCs w:val="28"/>
        </w:rPr>
        <w:br/>
        <w:t xml:space="preserve">2022 года </w:t>
      </w:r>
      <w:r w:rsidRPr="001E614B">
        <w:rPr>
          <w:rFonts w:cs="Arial"/>
          <w:sz w:val="28"/>
          <w:szCs w:val="28"/>
        </w:rPr>
        <w:t>(84,1</w:t>
      </w:r>
      <w:proofErr w:type="gramEnd"/>
      <w:r w:rsidRPr="001E614B">
        <w:rPr>
          <w:rFonts w:cs="Arial"/>
          <w:sz w:val="28"/>
          <w:szCs w:val="28"/>
        </w:rPr>
        <w:t xml:space="preserve"> $/</w:t>
      </w:r>
      <w:proofErr w:type="spellStart"/>
      <w:proofErr w:type="gramStart"/>
      <w:r w:rsidRPr="001E614B">
        <w:rPr>
          <w:rFonts w:cs="Arial"/>
          <w:sz w:val="28"/>
          <w:szCs w:val="28"/>
        </w:rPr>
        <w:t>барр</w:t>
      </w:r>
      <w:proofErr w:type="spellEnd"/>
      <w:r w:rsidRPr="001E614B">
        <w:rPr>
          <w:rFonts w:cs="Arial"/>
          <w:sz w:val="28"/>
          <w:szCs w:val="28"/>
        </w:rPr>
        <w:t xml:space="preserve"> в январе-августе 2022 года).</w:t>
      </w:r>
      <w:proofErr w:type="gramEnd"/>
      <w:r w:rsidRPr="001E614B">
        <w:rPr>
          <w:rFonts w:cs="Arial"/>
          <w:sz w:val="28"/>
          <w:szCs w:val="28"/>
        </w:rPr>
        <w:t xml:space="preserve"> Ожидается, что по итогам 2022 года цены на нефть составят 80,0 $/</w:t>
      </w:r>
      <w:proofErr w:type="spellStart"/>
      <w:r w:rsidRPr="001E614B">
        <w:rPr>
          <w:rFonts w:cs="Arial"/>
          <w:sz w:val="28"/>
          <w:szCs w:val="28"/>
        </w:rPr>
        <w:t>барр</w:t>
      </w:r>
      <w:proofErr w:type="spellEnd"/>
      <w:r w:rsidRPr="001E614B">
        <w:rPr>
          <w:rFonts w:cs="Arial"/>
          <w:sz w:val="28"/>
          <w:szCs w:val="28"/>
        </w:rPr>
        <w:t xml:space="preserve">. По мере трансформации мирового энергетического рынка, а также учитывая поступательное замедление мировой экономики, в дальнейшем ожидается постепенное снижение цен на нефть до </w:t>
      </w:r>
      <w:r w:rsidR="003D4D57">
        <w:rPr>
          <w:rFonts w:cs="Arial"/>
          <w:sz w:val="28"/>
          <w:szCs w:val="28"/>
        </w:rPr>
        <w:t xml:space="preserve">уровня около </w:t>
      </w:r>
      <w:r w:rsidRPr="001E614B">
        <w:rPr>
          <w:rFonts w:cs="Arial"/>
          <w:sz w:val="28"/>
          <w:szCs w:val="28"/>
        </w:rPr>
        <w:t>65 $/</w:t>
      </w:r>
      <w:proofErr w:type="spellStart"/>
      <w:r w:rsidRPr="001E614B">
        <w:rPr>
          <w:rFonts w:cs="Arial"/>
          <w:sz w:val="28"/>
          <w:szCs w:val="28"/>
        </w:rPr>
        <w:t>барр</w:t>
      </w:r>
      <w:proofErr w:type="spellEnd"/>
      <w:r w:rsidRPr="001E614B">
        <w:rPr>
          <w:rFonts w:cs="Arial"/>
          <w:sz w:val="28"/>
          <w:szCs w:val="28"/>
        </w:rPr>
        <w:t xml:space="preserve">. к 2025 году. Отказ ряда стран от сотрудничества с Россией в нефтяной сфере, а также наличие дисконта при продажах основных товаров российского экспорта привели к пересмотру прогнозной траектории добычи нефти в России: оценка в 2022 году снижена до 515,0 </w:t>
      </w:r>
      <w:proofErr w:type="gramStart"/>
      <w:r w:rsidR="00E40C69">
        <w:rPr>
          <w:rFonts w:cs="Arial"/>
          <w:sz w:val="28"/>
          <w:szCs w:val="28"/>
        </w:rPr>
        <w:t>млн</w:t>
      </w:r>
      <w:proofErr w:type="gramEnd"/>
      <w:r w:rsidRPr="001E614B">
        <w:rPr>
          <w:rFonts w:cs="Arial"/>
          <w:sz w:val="28"/>
          <w:szCs w:val="28"/>
        </w:rPr>
        <w:t xml:space="preserve"> тонн, в 2023 году – до 490,0 </w:t>
      </w:r>
      <w:r w:rsidR="00E40C69">
        <w:rPr>
          <w:rFonts w:cs="Arial"/>
          <w:sz w:val="28"/>
          <w:szCs w:val="28"/>
        </w:rPr>
        <w:t>млн</w:t>
      </w:r>
      <w:r w:rsidRPr="001E614B">
        <w:rPr>
          <w:rFonts w:cs="Arial"/>
          <w:sz w:val="28"/>
          <w:szCs w:val="28"/>
        </w:rPr>
        <w:t xml:space="preserve"> тонн. В 2024-2025 г</w:t>
      </w:r>
      <w:r w:rsidR="00C571A0">
        <w:rPr>
          <w:rFonts w:cs="Arial"/>
          <w:sz w:val="28"/>
          <w:szCs w:val="28"/>
        </w:rPr>
        <w:t>одах</w:t>
      </w:r>
      <w:r w:rsidRPr="001E614B">
        <w:rPr>
          <w:rFonts w:cs="Arial"/>
          <w:sz w:val="28"/>
          <w:szCs w:val="28"/>
        </w:rPr>
        <w:t xml:space="preserve"> уровень добычи нефти будет составлять в среднем около 500 </w:t>
      </w:r>
      <w:proofErr w:type="gramStart"/>
      <w:r w:rsidR="00E40C69">
        <w:rPr>
          <w:rFonts w:cs="Arial"/>
          <w:sz w:val="28"/>
          <w:szCs w:val="28"/>
        </w:rPr>
        <w:t>млн</w:t>
      </w:r>
      <w:proofErr w:type="gramEnd"/>
      <w:r w:rsidRPr="001E614B">
        <w:rPr>
          <w:rFonts w:cs="Arial"/>
          <w:sz w:val="28"/>
          <w:szCs w:val="28"/>
        </w:rPr>
        <w:t xml:space="preserve"> тонн.</w:t>
      </w:r>
    </w:p>
    <w:p w14:paraId="1A2A931E" w14:textId="7FDD276B" w:rsidR="005D3B27" w:rsidRPr="001E614B" w:rsidRDefault="005D3B27" w:rsidP="00DC5282">
      <w:pPr>
        <w:autoSpaceDE w:val="0"/>
        <w:autoSpaceDN w:val="0"/>
        <w:adjustRightInd w:val="0"/>
        <w:spacing w:line="360" w:lineRule="auto"/>
        <w:ind w:firstLine="709"/>
        <w:contextualSpacing/>
        <w:jc w:val="both"/>
        <w:rPr>
          <w:sz w:val="28"/>
          <w:szCs w:val="20"/>
        </w:rPr>
      </w:pPr>
      <w:r w:rsidRPr="001E614B">
        <w:rPr>
          <w:rFonts w:cs="Arial"/>
          <w:sz w:val="28"/>
          <w:szCs w:val="28"/>
        </w:rPr>
        <w:t>Ожидается, что в условиях действия санкций, ограничений на движение капитала, а также временной приостановки «бюджетного правила» обменный курс до конца 2022 года будет определяться преимущественно динамикой текущего счета</w:t>
      </w:r>
      <w:r w:rsidR="003D4D57">
        <w:rPr>
          <w:rFonts w:cs="Arial"/>
          <w:sz w:val="28"/>
          <w:szCs w:val="28"/>
        </w:rPr>
        <w:t xml:space="preserve"> платежного баланса</w:t>
      </w:r>
      <w:r w:rsidRPr="001E614B">
        <w:rPr>
          <w:rFonts w:cs="Arial"/>
          <w:sz w:val="28"/>
          <w:szCs w:val="28"/>
        </w:rPr>
        <w:t xml:space="preserve">, в результате чего курс рубля по итогам 2022 года укрепится до уровня 68,1 рублей за доллар США. В 2023-2025 </w:t>
      </w:r>
      <w:proofErr w:type="gramStart"/>
      <w:r w:rsidRPr="001E614B">
        <w:rPr>
          <w:rFonts w:cs="Arial"/>
          <w:sz w:val="28"/>
          <w:szCs w:val="28"/>
        </w:rPr>
        <w:t>г</w:t>
      </w:r>
      <w:r w:rsidR="00C571A0">
        <w:rPr>
          <w:rFonts w:cs="Arial"/>
          <w:sz w:val="28"/>
          <w:szCs w:val="28"/>
        </w:rPr>
        <w:t>одах</w:t>
      </w:r>
      <w:proofErr w:type="gramEnd"/>
      <w:r w:rsidRPr="001E614B">
        <w:rPr>
          <w:rFonts w:cs="Arial"/>
          <w:sz w:val="28"/>
          <w:szCs w:val="28"/>
        </w:rPr>
        <w:t xml:space="preserve"> ожидается умеренное ослабление курса до уровней 68-72 рублей за доллар США, которое будет определяться преимущественно инфляционным дифференциалом со странами – торговыми партнерами. </w:t>
      </w:r>
      <w:proofErr w:type="gramStart"/>
      <w:r w:rsidRPr="001E614B">
        <w:rPr>
          <w:rFonts w:cs="Arial"/>
          <w:sz w:val="28"/>
          <w:szCs w:val="28"/>
        </w:rPr>
        <w:t>В реальном эффективном выражении курс рубля</w:t>
      </w:r>
      <w:r w:rsidR="00F60BC1">
        <w:rPr>
          <w:rFonts w:cs="Arial"/>
          <w:sz w:val="28"/>
          <w:szCs w:val="28"/>
        </w:rPr>
        <w:t>,</w:t>
      </w:r>
      <w:r w:rsidRPr="001E614B">
        <w:rPr>
          <w:rFonts w:cs="Arial"/>
          <w:sz w:val="28"/>
          <w:szCs w:val="28"/>
        </w:rPr>
        <w:t xml:space="preserve"> по мнению разработчиков </w:t>
      </w:r>
      <w:r w:rsidR="00F60BC1">
        <w:rPr>
          <w:rFonts w:cs="Arial"/>
          <w:sz w:val="28"/>
          <w:szCs w:val="28"/>
        </w:rPr>
        <w:t>Проекта,</w:t>
      </w:r>
      <w:r w:rsidRPr="001E614B">
        <w:rPr>
          <w:rFonts w:cs="Arial"/>
          <w:sz w:val="28"/>
          <w:szCs w:val="28"/>
        </w:rPr>
        <w:t xml:space="preserve"> будет оставаться стабильным</w:t>
      </w:r>
      <w:r w:rsidR="00F60BC1">
        <w:rPr>
          <w:rStyle w:val="aa"/>
          <w:rFonts w:cs="Arial"/>
          <w:sz w:val="28"/>
          <w:szCs w:val="28"/>
        </w:rPr>
        <w:footnoteReference w:id="3"/>
      </w:r>
      <w:r w:rsidRPr="001E614B">
        <w:rPr>
          <w:sz w:val="28"/>
          <w:szCs w:val="20"/>
        </w:rPr>
        <w:t>.</w:t>
      </w:r>
      <w:r w:rsidR="003D4D57">
        <w:rPr>
          <w:sz w:val="28"/>
          <w:szCs w:val="20"/>
        </w:rPr>
        <w:t xml:space="preserve"> Динамика курса рубля будет во многом определяться </w:t>
      </w:r>
      <w:proofErr w:type="spellStart"/>
      <w:r w:rsidR="003D4D57">
        <w:rPr>
          <w:sz w:val="28"/>
          <w:szCs w:val="20"/>
        </w:rPr>
        <w:t>санкционными</w:t>
      </w:r>
      <w:proofErr w:type="spellEnd"/>
      <w:r w:rsidR="003D4D57">
        <w:rPr>
          <w:sz w:val="28"/>
          <w:szCs w:val="20"/>
        </w:rPr>
        <w:t xml:space="preserve"> эффектами на внешнюю торговлю и неопределенностью перспектив расширения импорта из третьих стран, а также политики властей в отношении валютного курса (изменений в валютных ограничениях, введения нового бюджетного правила). </w:t>
      </w:r>
      <w:proofErr w:type="gramEnd"/>
    </w:p>
    <w:p w14:paraId="253DEA83" w14:textId="570CF095" w:rsidR="005D3B27" w:rsidRDefault="005D3B27" w:rsidP="00DC5282">
      <w:pPr>
        <w:autoSpaceDE w:val="0"/>
        <w:autoSpaceDN w:val="0"/>
        <w:adjustRightInd w:val="0"/>
        <w:spacing w:line="360" w:lineRule="auto"/>
        <w:ind w:firstLine="709"/>
        <w:contextualSpacing/>
        <w:jc w:val="both"/>
        <w:rPr>
          <w:sz w:val="28"/>
          <w:szCs w:val="20"/>
        </w:rPr>
      </w:pPr>
      <w:r w:rsidRPr="001E614B">
        <w:rPr>
          <w:sz w:val="28"/>
          <w:szCs w:val="20"/>
        </w:rPr>
        <w:t xml:space="preserve">В таблице </w:t>
      </w:r>
      <w:r w:rsidR="003D4D57">
        <w:rPr>
          <w:sz w:val="28"/>
          <w:szCs w:val="20"/>
        </w:rPr>
        <w:t>2</w:t>
      </w:r>
      <w:r w:rsidRPr="001E614B">
        <w:rPr>
          <w:sz w:val="28"/>
          <w:szCs w:val="20"/>
        </w:rPr>
        <w:t xml:space="preserve"> представлены основные макроэкономические показатели на 2023 год и на плановый период 2024 и 2025 годов.</w:t>
      </w:r>
    </w:p>
    <w:p w14:paraId="6281A948" w14:textId="13790D18" w:rsidR="00223C8F" w:rsidRDefault="00223C8F" w:rsidP="005D3B27">
      <w:pPr>
        <w:autoSpaceDE w:val="0"/>
        <w:autoSpaceDN w:val="0"/>
        <w:adjustRightInd w:val="0"/>
        <w:spacing w:line="276" w:lineRule="auto"/>
        <w:ind w:firstLine="709"/>
        <w:contextualSpacing/>
        <w:jc w:val="both"/>
        <w:rPr>
          <w:sz w:val="28"/>
          <w:szCs w:val="20"/>
        </w:rPr>
      </w:pPr>
    </w:p>
    <w:p w14:paraId="25F8105C" w14:textId="77777777" w:rsidR="00F60BC1" w:rsidRPr="001E614B" w:rsidRDefault="00F60BC1" w:rsidP="005D3B27">
      <w:pPr>
        <w:autoSpaceDE w:val="0"/>
        <w:autoSpaceDN w:val="0"/>
        <w:adjustRightInd w:val="0"/>
        <w:spacing w:line="276" w:lineRule="auto"/>
        <w:ind w:firstLine="709"/>
        <w:contextualSpacing/>
        <w:jc w:val="both"/>
        <w:rPr>
          <w:sz w:val="28"/>
          <w:szCs w:val="20"/>
        </w:rPr>
      </w:pPr>
    </w:p>
    <w:p w14:paraId="4D6EA5F7" w14:textId="2810ACF9" w:rsidR="005D3B27" w:rsidRPr="00F60BC1" w:rsidRDefault="005D3B27" w:rsidP="00F60BC1">
      <w:pPr>
        <w:widowControl w:val="0"/>
        <w:contextualSpacing/>
        <w:jc w:val="both"/>
        <w:rPr>
          <w:bCs/>
          <w:snapToGrid w:val="0"/>
          <w:sz w:val="28"/>
          <w:szCs w:val="28"/>
        </w:rPr>
      </w:pPr>
      <w:r w:rsidRPr="00F60BC1">
        <w:rPr>
          <w:bCs/>
          <w:snapToGrid w:val="0"/>
          <w:sz w:val="28"/>
          <w:szCs w:val="28"/>
        </w:rPr>
        <w:t xml:space="preserve">Таблица </w:t>
      </w:r>
      <w:r w:rsidR="003D4D57">
        <w:rPr>
          <w:bCs/>
          <w:snapToGrid w:val="0"/>
          <w:sz w:val="28"/>
          <w:szCs w:val="28"/>
        </w:rPr>
        <w:t>2</w:t>
      </w:r>
      <w:r w:rsidR="00223C8F" w:rsidRPr="00F60BC1">
        <w:rPr>
          <w:bCs/>
          <w:snapToGrid w:val="0"/>
          <w:sz w:val="28"/>
          <w:szCs w:val="28"/>
        </w:rPr>
        <w:t xml:space="preserve"> -</w:t>
      </w:r>
      <w:r w:rsidRPr="00F60BC1">
        <w:rPr>
          <w:bCs/>
          <w:snapToGrid w:val="0"/>
          <w:sz w:val="28"/>
          <w:szCs w:val="28"/>
        </w:rPr>
        <w:t xml:space="preserve"> Основные макроэкономические показатели на 2023 год и</w:t>
      </w:r>
      <w:r w:rsidRPr="00F60BC1">
        <w:rPr>
          <w:b/>
          <w:snapToGrid w:val="0"/>
          <w:sz w:val="28"/>
          <w:szCs w:val="28"/>
        </w:rPr>
        <w:t xml:space="preserve"> </w:t>
      </w:r>
      <w:r w:rsidRPr="00F60BC1">
        <w:rPr>
          <w:bCs/>
          <w:snapToGrid w:val="0"/>
          <w:sz w:val="28"/>
          <w:szCs w:val="28"/>
        </w:rPr>
        <w:t>на плановый период 2024 и 2025 годов</w:t>
      </w:r>
    </w:p>
    <w:p w14:paraId="5C45D43F" w14:textId="77777777" w:rsidR="00223C8F" w:rsidRPr="001E614B" w:rsidRDefault="00223C8F" w:rsidP="005D3B27">
      <w:pPr>
        <w:widowControl w:val="0"/>
        <w:contextualSpacing/>
        <w:jc w:val="center"/>
        <w:rPr>
          <w:snapToGrid w:val="0"/>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692"/>
        <w:gridCol w:w="691"/>
        <w:gridCol w:w="691"/>
        <w:gridCol w:w="687"/>
        <w:gridCol w:w="691"/>
        <w:gridCol w:w="689"/>
        <w:gridCol w:w="689"/>
        <w:gridCol w:w="687"/>
        <w:gridCol w:w="689"/>
        <w:gridCol w:w="967"/>
      </w:tblGrid>
      <w:tr w:rsidR="005D3B27" w:rsidRPr="004847AD" w14:paraId="4F823CCD" w14:textId="77777777">
        <w:trPr>
          <w:trHeight w:val="308"/>
          <w:tblHeader/>
          <w:jc w:val="center"/>
        </w:trPr>
        <w:tc>
          <w:tcPr>
            <w:tcW w:w="1179" w:type="pct"/>
            <w:vMerge w:val="restart"/>
            <w:shd w:val="clear" w:color="auto" w:fill="auto"/>
            <w:vAlign w:val="center"/>
          </w:tcPr>
          <w:p w14:paraId="28E1DA43" w14:textId="77777777" w:rsidR="005D3B27" w:rsidRPr="004847AD" w:rsidRDefault="005D3B27">
            <w:pPr>
              <w:jc w:val="center"/>
              <w:rPr>
                <w:b/>
                <w:sz w:val="14"/>
                <w:szCs w:val="16"/>
              </w:rPr>
            </w:pPr>
            <w:r w:rsidRPr="004847AD">
              <w:rPr>
                <w:b/>
                <w:sz w:val="14"/>
                <w:szCs w:val="16"/>
              </w:rPr>
              <w:t>Наименование</w:t>
            </w:r>
          </w:p>
        </w:tc>
        <w:tc>
          <w:tcPr>
            <w:tcW w:w="368" w:type="pct"/>
            <w:vMerge w:val="restart"/>
            <w:vAlign w:val="center"/>
          </w:tcPr>
          <w:p w14:paraId="7B7EF488" w14:textId="77777777" w:rsidR="005D3B27" w:rsidRPr="004847AD" w:rsidRDefault="005D3B27">
            <w:pPr>
              <w:ind w:left="-113" w:right="-113"/>
              <w:jc w:val="center"/>
              <w:rPr>
                <w:b/>
                <w:sz w:val="14"/>
                <w:szCs w:val="16"/>
              </w:rPr>
            </w:pPr>
            <w:r w:rsidRPr="004847AD">
              <w:rPr>
                <w:b/>
                <w:sz w:val="14"/>
                <w:szCs w:val="16"/>
              </w:rPr>
              <w:t>2021 год (отчет)</w:t>
            </w:r>
          </w:p>
        </w:tc>
        <w:tc>
          <w:tcPr>
            <w:tcW w:w="368" w:type="pct"/>
            <w:vMerge w:val="restart"/>
            <w:shd w:val="clear" w:color="auto" w:fill="auto"/>
            <w:vAlign w:val="center"/>
          </w:tcPr>
          <w:p w14:paraId="50780E73" w14:textId="77777777" w:rsidR="005D3B27" w:rsidRPr="004847AD" w:rsidRDefault="005D3B27">
            <w:pPr>
              <w:ind w:left="-113" w:right="-113" w:hanging="55"/>
              <w:jc w:val="center"/>
              <w:rPr>
                <w:b/>
                <w:sz w:val="14"/>
                <w:szCs w:val="16"/>
              </w:rPr>
            </w:pPr>
            <w:r w:rsidRPr="004847AD">
              <w:rPr>
                <w:b/>
                <w:sz w:val="14"/>
                <w:szCs w:val="16"/>
              </w:rPr>
              <w:t>2022 год</w:t>
            </w:r>
            <w:r w:rsidRPr="004847AD">
              <w:rPr>
                <w:b/>
                <w:sz w:val="14"/>
                <w:szCs w:val="16"/>
              </w:rPr>
              <w:br/>
              <w:t>(оценка*)</w:t>
            </w:r>
          </w:p>
        </w:tc>
        <w:tc>
          <w:tcPr>
            <w:tcW w:w="1102" w:type="pct"/>
            <w:gridSpan w:val="3"/>
            <w:vAlign w:val="center"/>
          </w:tcPr>
          <w:p w14:paraId="28CF3429" w14:textId="77777777" w:rsidR="005D3B27" w:rsidRPr="004847AD" w:rsidRDefault="005D3B27">
            <w:pPr>
              <w:ind w:left="-113" w:right="-113" w:hanging="4"/>
              <w:jc w:val="center"/>
              <w:rPr>
                <w:b/>
                <w:sz w:val="14"/>
                <w:szCs w:val="16"/>
              </w:rPr>
            </w:pPr>
            <w:r w:rsidRPr="004847AD">
              <w:rPr>
                <w:b/>
                <w:sz w:val="14"/>
                <w:szCs w:val="16"/>
              </w:rPr>
              <w:t>2023 год</w:t>
            </w:r>
          </w:p>
        </w:tc>
        <w:tc>
          <w:tcPr>
            <w:tcW w:w="1100" w:type="pct"/>
            <w:gridSpan w:val="3"/>
            <w:vAlign w:val="center"/>
          </w:tcPr>
          <w:p w14:paraId="3010CF54" w14:textId="77777777" w:rsidR="005D3B27" w:rsidRPr="004847AD" w:rsidRDefault="005D3B27">
            <w:pPr>
              <w:ind w:left="-113" w:right="-113" w:hanging="55"/>
              <w:jc w:val="center"/>
              <w:rPr>
                <w:b/>
                <w:sz w:val="14"/>
                <w:szCs w:val="16"/>
              </w:rPr>
            </w:pPr>
            <w:r w:rsidRPr="004847AD">
              <w:rPr>
                <w:b/>
                <w:sz w:val="14"/>
                <w:szCs w:val="16"/>
              </w:rPr>
              <w:t>2024 год</w:t>
            </w:r>
          </w:p>
        </w:tc>
        <w:tc>
          <w:tcPr>
            <w:tcW w:w="882" w:type="pct"/>
            <w:gridSpan w:val="2"/>
            <w:shd w:val="clear" w:color="auto" w:fill="auto"/>
            <w:vAlign w:val="center"/>
          </w:tcPr>
          <w:p w14:paraId="0FEE9978" w14:textId="77777777" w:rsidR="005D3B27" w:rsidRPr="004847AD" w:rsidRDefault="005D3B27">
            <w:pPr>
              <w:ind w:left="-113" w:right="-113" w:hanging="55"/>
              <w:jc w:val="center"/>
              <w:rPr>
                <w:b/>
                <w:sz w:val="14"/>
                <w:szCs w:val="16"/>
              </w:rPr>
            </w:pPr>
            <w:r w:rsidRPr="004847AD">
              <w:rPr>
                <w:b/>
                <w:sz w:val="14"/>
                <w:szCs w:val="16"/>
              </w:rPr>
              <w:t>2025 год</w:t>
            </w:r>
          </w:p>
        </w:tc>
      </w:tr>
      <w:tr w:rsidR="005D3B27" w:rsidRPr="004847AD" w14:paraId="24D56321" w14:textId="77777777">
        <w:trPr>
          <w:trHeight w:val="308"/>
          <w:tblHeader/>
          <w:jc w:val="center"/>
        </w:trPr>
        <w:tc>
          <w:tcPr>
            <w:tcW w:w="1179" w:type="pct"/>
            <w:vMerge/>
            <w:shd w:val="clear" w:color="auto" w:fill="auto"/>
            <w:vAlign w:val="center"/>
          </w:tcPr>
          <w:p w14:paraId="526364C1" w14:textId="77777777" w:rsidR="005D3B27" w:rsidRPr="004847AD" w:rsidRDefault="005D3B27">
            <w:pPr>
              <w:jc w:val="center"/>
              <w:rPr>
                <w:b/>
                <w:sz w:val="14"/>
                <w:szCs w:val="16"/>
              </w:rPr>
            </w:pPr>
          </w:p>
        </w:tc>
        <w:tc>
          <w:tcPr>
            <w:tcW w:w="368" w:type="pct"/>
            <w:vMerge/>
            <w:vAlign w:val="center"/>
          </w:tcPr>
          <w:p w14:paraId="4A1D299D" w14:textId="77777777" w:rsidR="005D3B27" w:rsidRPr="004847AD" w:rsidRDefault="005D3B27">
            <w:pPr>
              <w:ind w:left="-113" w:right="-113"/>
              <w:jc w:val="center"/>
              <w:rPr>
                <w:b/>
                <w:sz w:val="14"/>
                <w:szCs w:val="16"/>
              </w:rPr>
            </w:pPr>
          </w:p>
        </w:tc>
        <w:tc>
          <w:tcPr>
            <w:tcW w:w="368" w:type="pct"/>
            <w:vMerge/>
            <w:shd w:val="clear" w:color="auto" w:fill="auto"/>
            <w:vAlign w:val="center"/>
          </w:tcPr>
          <w:p w14:paraId="5BD23C48" w14:textId="77777777" w:rsidR="005D3B27" w:rsidRPr="004847AD" w:rsidRDefault="005D3B27">
            <w:pPr>
              <w:ind w:left="-113" w:right="-113" w:hanging="55"/>
              <w:jc w:val="center"/>
              <w:rPr>
                <w:b/>
                <w:sz w:val="14"/>
                <w:szCs w:val="16"/>
              </w:rPr>
            </w:pPr>
          </w:p>
        </w:tc>
        <w:tc>
          <w:tcPr>
            <w:tcW w:w="368" w:type="pct"/>
            <w:vAlign w:val="center"/>
          </w:tcPr>
          <w:p w14:paraId="2B5F849A" w14:textId="77777777" w:rsidR="005D3B27" w:rsidRPr="004847AD" w:rsidRDefault="005D3B27">
            <w:pPr>
              <w:ind w:left="-113" w:right="-113"/>
              <w:jc w:val="center"/>
              <w:rPr>
                <w:rFonts w:cs="Arial"/>
                <w:b/>
                <w:spacing w:val="-6"/>
                <w:kern w:val="24"/>
                <w:sz w:val="14"/>
                <w:szCs w:val="16"/>
              </w:rPr>
            </w:pPr>
            <w:r w:rsidRPr="004847AD">
              <w:rPr>
                <w:rFonts w:cs="Arial"/>
                <w:b/>
                <w:spacing w:val="-6"/>
                <w:kern w:val="24"/>
                <w:sz w:val="14"/>
                <w:szCs w:val="16"/>
              </w:rPr>
              <w:t>Закон № 390-ФЗ</w:t>
            </w:r>
          </w:p>
        </w:tc>
        <w:tc>
          <w:tcPr>
            <w:tcW w:w="366" w:type="pct"/>
            <w:shd w:val="clear" w:color="auto" w:fill="auto"/>
            <w:tcMar>
              <w:left w:w="57" w:type="dxa"/>
              <w:right w:w="57" w:type="dxa"/>
            </w:tcMar>
            <w:vAlign w:val="center"/>
          </w:tcPr>
          <w:p w14:paraId="0A6ED7BF" w14:textId="77777777" w:rsidR="005D3B27" w:rsidRPr="004847AD" w:rsidRDefault="005D3B27">
            <w:pPr>
              <w:ind w:left="-57" w:right="-57"/>
              <w:jc w:val="center"/>
              <w:rPr>
                <w:rFonts w:cs="Arial"/>
                <w:b/>
                <w:spacing w:val="-6"/>
                <w:kern w:val="24"/>
                <w:sz w:val="14"/>
                <w:szCs w:val="16"/>
              </w:rPr>
            </w:pPr>
            <w:proofErr w:type="spellStart"/>
            <w:proofErr w:type="gramStart"/>
            <w:r w:rsidRPr="004847AD">
              <w:rPr>
                <w:rFonts w:cs="Arial"/>
                <w:b/>
                <w:spacing w:val="-6"/>
                <w:kern w:val="24"/>
                <w:sz w:val="14"/>
                <w:szCs w:val="16"/>
              </w:rPr>
              <w:t>Законо</w:t>
            </w:r>
            <w:proofErr w:type="spellEnd"/>
            <w:r w:rsidRPr="004847AD">
              <w:rPr>
                <w:rFonts w:cs="Arial"/>
                <w:b/>
                <w:spacing w:val="-6"/>
                <w:kern w:val="24"/>
                <w:sz w:val="14"/>
                <w:szCs w:val="16"/>
              </w:rPr>
              <w:t>-проект</w:t>
            </w:r>
            <w:proofErr w:type="gramEnd"/>
          </w:p>
        </w:tc>
        <w:tc>
          <w:tcPr>
            <w:tcW w:w="368" w:type="pct"/>
            <w:shd w:val="clear" w:color="auto" w:fill="auto"/>
            <w:tcMar>
              <w:left w:w="57" w:type="dxa"/>
              <w:right w:w="57" w:type="dxa"/>
            </w:tcMar>
            <w:vAlign w:val="center"/>
          </w:tcPr>
          <w:p w14:paraId="59577F05" w14:textId="77777777" w:rsidR="005D3B27" w:rsidRPr="004847AD" w:rsidRDefault="005D3B27">
            <w:pPr>
              <w:ind w:left="-113" w:right="-113"/>
              <w:jc w:val="center"/>
              <w:rPr>
                <w:b/>
                <w:sz w:val="14"/>
                <w:szCs w:val="16"/>
              </w:rPr>
            </w:pPr>
            <w:r w:rsidRPr="004847AD">
              <w:rPr>
                <w:b/>
                <w:sz w:val="14"/>
                <w:szCs w:val="16"/>
              </w:rPr>
              <w:t>Δ к закону, %</w:t>
            </w:r>
          </w:p>
        </w:tc>
        <w:tc>
          <w:tcPr>
            <w:tcW w:w="367" w:type="pct"/>
            <w:vAlign w:val="center"/>
          </w:tcPr>
          <w:p w14:paraId="0CB0CB58" w14:textId="77777777" w:rsidR="005D3B27" w:rsidRPr="004847AD" w:rsidRDefault="005D3B27">
            <w:pPr>
              <w:ind w:left="-113" w:right="-113"/>
              <w:jc w:val="center"/>
              <w:rPr>
                <w:rFonts w:cs="Arial"/>
                <w:b/>
                <w:spacing w:val="-6"/>
                <w:kern w:val="24"/>
                <w:sz w:val="14"/>
                <w:szCs w:val="16"/>
              </w:rPr>
            </w:pPr>
            <w:r w:rsidRPr="004847AD">
              <w:rPr>
                <w:rFonts w:cs="Arial"/>
                <w:b/>
                <w:spacing w:val="-6"/>
                <w:kern w:val="24"/>
                <w:sz w:val="14"/>
                <w:szCs w:val="16"/>
              </w:rPr>
              <w:t>Закон № 390-ФЗ</w:t>
            </w:r>
          </w:p>
        </w:tc>
        <w:tc>
          <w:tcPr>
            <w:tcW w:w="367" w:type="pct"/>
            <w:vAlign w:val="center"/>
          </w:tcPr>
          <w:p w14:paraId="7575B15A" w14:textId="77777777" w:rsidR="005D3B27" w:rsidRPr="004847AD" w:rsidRDefault="005D3B27">
            <w:pPr>
              <w:ind w:left="-113" w:right="-113"/>
              <w:jc w:val="center"/>
              <w:rPr>
                <w:b/>
                <w:sz w:val="14"/>
                <w:szCs w:val="16"/>
              </w:rPr>
            </w:pPr>
            <w:proofErr w:type="spellStart"/>
            <w:proofErr w:type="gramStart"/>
            <w:r w:rsidRPr="004847AD">
              <w:rPr>
                <w:rFonts w:cs="Arial"/>
                <w:b/>
                <w:spacing w:val="-6"/>
                <w:kern w:val="24"/>
                <w:sz w:val="14"/>
                <w:szCs w:val="16"/>
              </w:rPr>
              <w:t>Законо</w:t>
            </w:r>
            <w:proofErr w:type="spellEnd"/>
            <w:r w:rsidRPr="004847AD">
              <w:rPr>
                <w:rFonts w:cs="Arial"/>
                <w:b/>
                <w:spacing w:val="-6"/>
                <w:kern w:val="24"/>
                <w:sz w:val="14"/>
                <w:szCs w:val="16"/>
              </w:rPr>
              <w:t>-проект</w:t>
            </w:r>
            <w:proofErr w:type="gramEnd"/>
          </w:p>
        </w:tc>
        <w:tc>
          <w:tcPr>
            <w:tcW w:w="366" w:type="pct"/>
            <w:shd w:val="clear" w:color="auto" w:fill="auto"/>
            <w:vAlign w:val="center"/>
          </w:tcPr>
          <w:p w14:paraId="3F21C75A" w14:textId="77777777" w:rsidR="005D3B27" w:rsidRPr="004847AD" w:rsidRDefault="005D3B27">
            <w:pPr>
              <w:ind w:left="-113" w:right="-113"/>
              <w:jc w:val="center"/>
              <w:rPr>
                <w:b/>
                <w:sz w:val="14"/>
                <w:szCs w:val="16"/>
              </w:rPr>
            </w:pPr>
            <w:r w:rsidRPr="004847AD">
              <w:rPr>
                <w:b/>
                <w:sz w:val="14"/>
                <w:szCs w:val="16"/>
              </w:rPr>
              <w:t>Δ к закону, %</w:t>
            </w:r>
          </w:p>
        </w:tc>
        <w:tc>
          <w:tcPr>
            <w:tcW w:w="367" w:type="pct"/>
            <w:shd w:val="clear" w:color="auto" w:fill="auto"/>
            <w:vAlign w:val="center"/>
          </w:tcPr>
          <w:p w14:paraId="0DE992B4" w14:textId="77777777" w:rsidR="005D3B27" w:rsidRPr="004847AD" w:rsidRDefault="005D3B27">
            <w:pPr>
              <w:ind w:left="-113" w:right="-113"/>
              <w:jc w:val="center"/>
              <w:rPr>
                <w:rFonts w:cs="Arial"/>
                <w:b/>
                <w:spacing w:val="-6"/>
                <w:kern w:val="24"/>
                <w:sz w:val="14"/>
                <w:szCs w:val="16"/>
              </w:rPr>
            </w:pPr>
            <w:proofErr w:type="spellStart"/>
            <w:r w:rsidRPr="004847AD">
              <w:rPr>
                <w:rFonts w:cs="Arial"/>
                <w:b/>
                <w:spacing w:val="-6"/>
                <w:kern w:val="24"/>
                <w:sz w:val="14"/>
                <w:szCs w:val="16"/>
              </w:rPr>
              <w:t>Законо</w:t>
            </w:r>
            <w:proofErr w:type="spellEnd"/>
            <w:r w:rsidRPr="004847AD">
              <w:rPr>
                <w:rFonts w:cs="Arial"/>
                <w:b/>
                <w:spacing w:val="-6"/>
                <w:kern w:val="24"/>
                <w:sz w:val="14"/>
                <w:szCs w:val="16"/>
              </w:rPr>
              <w:t>-</w:t>
            </w:r>
          </w:p>
          <w:p w14:paraId="54ADB00C" w14:textId="77777777" w:rsidR="005D3B27" w:rsidRPr="004847AD" w:rsidRDefault="005D3B27">
            <w:pPr>
              <w:ind w:left="-113" w:right="-113"/>
              <w:jc w:val="center"/>
              <w:rPr>
                <w:rFonts w:cs="Arial"/>
                <w:b/>
                <w:spacing w:val="-6"/>
                <w:kern w:val="24"/>
                <w:sz w:val="14"/>
                <w:szCs w:val="16"/>
              </w:rPr>
            </w:pPr>
            <w:r w:rsidRPr="004847AD">
              <w:rPr>
                <w:rFonts w:cs="Arial"/>
                <w:b/>
                <w:spacing w:val="-6"/>
                <w:kern w:val="24"/>
                <w:sz w:val="14"/>
                <w:szCs w:val="16"/>
              </w:rPr>
              <w:t>проект</w:t>
            </w:r>
          </w:p>
        </w:tc>
        <w:tc>
          <w:tcPr>
            <w:tcW w:w="515" w:type="pct"/>
            <w:vAlign w:val="center"/>
          </w:tcPr>
          <w:p w14:paraId="2647A017" w14:textId="77777777" w:rsidR="005D3B27" w:rsidRPr="004847AD" w:rsidRDefault="005D3B27">
            <w:pPr>
              <w:ind w:left="-113" w:right="-113"/>
              <w:jc w:val="center"/>
              <w:rPr>
                <w:rFonts w:cs="Arial"/>
                <w:b/>
                <w:spacing w:val="-6"/>
                <w:kern w:val="24"/>
                <w:sz w:val="14"/>
                <w:szCs w:val="16"/>
              </w:rPr>
            </w:pPr>
            <w:r w:rsidRPr="004847AD">
              <w:rPr>
                <w:b/>
                <w:sz w:val="14"/>
                <w:szCs w:val="16"/>
              </w:rPr>
              <w:t>Δ к законопроекту на 2024 год, %</w:t>
            </w:r>
          </w:p>
        </w:tc>
      </w:tr>
      <w:tr w:rsidR="005D3B27" w:rsidRPr="001E614B" w14:paraId="33DDD6E7" w14:textId="77777777">
        <w:trPr>
          <w:trHeight w:val="308"/>
          <w:tblHeader/>
          <w:jc w:val="center"/>
        </w:trPr>
        <w:tc>
          <w:tcPr>
            <w:tcW w:w="1179" w:type="pct"/>
            <w:shd w:val="clear" w:color="auto" w:fill="auto"/>
            <w:vAlign w:val="center"/>
          </w:tcPr>
          <w:p w14:paraId="2948BB7C" w14:textId="77777777" w:rsidR="005D3B27" w:rsidRPr="001E614B" w:rsidRDefault="005D3B27">
            <w:pPr>
              <w:jc w:val="center"/>
              <w:rPr>
                <w:sz w:val="14"/>
                <w:szCs w:val="16"/>
              </w:rPr>
            </w:pPr>
            <w:r w:rsidRPr="001E614B">
              <w:rPr>
                <w:sz w:val="14"/>
                <w:szCs w:val="16"/>
              </w:rPr>
              <w:t>1</w:t>
            </w:r>
          </w:p>
        </w:tc>
        <w:tc>
          <w:tcPr>
            <w:tcW w:w="368" w:type="pct"/>
            <w:vAlign w:val="center"/>
          </w:tcPr>
          <w:p w14:paraId="664D5D5C" w14:textId="77777777" w:rsidR="005D3B27" w:rsidRPr="001E614B" w:rsidRDefault="005D3B27">
            <w:pPr>
              <w:ind w:left="-113" w:right="-113"/>
              <w:jc w:val="center"/>
              <w:rPr>
                <w:sz w:val="14"/>
                <w:szCs w:val="16"/>
              </w:rPr>
            </w:pPr>
            <w:r w:rsidRPr="001E614B">
              <w:rPr>
                <w:sz w:val="14"/>
                <w:szCs w:val="16"/>
              </w:rPr>
              <w:t>2</w:t>
            </w:r>
          </w:p>
        </w:tc>
        <w:tc>
          <w:tcPr>
            <w:tcW w:w="368" w:type="pct"/>
            <w:shd w:val="clear" w:color="auto" w:fill="auto"/>
            <w:vAlign w:val="center"/>
          </w:tcPr>
          <w:p w14:paraId="4103800B" w14:textId="77777777" w:rsidR="005D3B27" w:rsidRPr="001E614B" w:rsidRDefault="005D3B27">
            <w:pPr>
              <w:ind w:left="-113" w:right="-113" w:hanging="55"/>
              <w:jc w:val="center"/>
              <w:rPr>
                <w:sz w:val="14"/>
                <w:szCs w:val="16"/>
              </w:rPr>
            </w:pPr>
            <w:r w:rsidRPr="001E614B">
              <w:rPr>
                <w:sz w:val="14"/>
                <w:szCs w:val="16"/>
              </w:rPr>
              <w:t>3</w:t>
            </w:r>
          </w:p>
        </w:tc>
        <w:tc>
          <w:tcPr>
            <w:tcW w:w="368" w:type="pct"/>
            <w:vAlign w:val="center"/>
          </w:tcPr>
          <w:p w14:paraId="3E53F5DF" w14:textId="77777777" w:rsidR="005D3B27" w:rsidRPr="001E614B" w:rsidRDefault="005D3B27">
            <w:pPr>
              <w:ind w:left="-113" w:right="-113"/>
              <w:jc w:val="center"/>
              <w:rPr>
                <w:sz w:val="14"/>
                <w:szCs w:val="16"/>
              </w:rPr>
            </w:pPr>
            <w:r w:rsidRPr="001E614B">
              <w:rPr>
                <w:sz w:val="14"/>
                <w:szCs w:val="16"/>
              </w:rPr>
              <w:t>4</w:t>
            </w:r>
          </w:p>
        </w:tc>
        <w:tc>
          <w:tcPr>
            <w:tcW w:w="366" w:type="pct"/>
            <w:shd w:val="clear" w:color="auto" w:fill="auto"/>
            <w:tcMar>
              <w:left w:w="57" w:type="dxa"/>
              <w:right w:w="57" w:type="dxa"/>
            </w:tcMar>
            <w:vAlign w:val="center"/>
          </w:tcPr>
          <w:p w14:paraId="360C379E" w14:textId="77777777" w:rsidR="005D3B27" w:rsidRPr="001E614B" w:rsidRDefault="005D3B27">
            <w:pPr>
              <w:ind w:left="-113" w:right="-113"/>
              <w:jc w:val="center"/>
              <w:rPr>
                <w:sz w:val="14"/>
                <w:szCs w:val="16"/>
              </w:rPr>
            </w:pPr>
            <w:r w:rsidRPr="001E614B">
              <w:rPr>
                <w:sz w:val="14"/>
                <w:szCs w:val="16"/>
              </w:rPr>
              <w:t>5</w:t>
            </w:r>
          </w:p>
        </w:tc>
        <w:tc>
          <w:tcPr>
            <w:tcW w:w="368" w:type="pct"/>
            <w:shd w:val="clear" w:color="auto" w:fill="auto"/>
            <w:tcMar>
              <w:left w:w="57" w:type="dxa"/>
              <w:right w:w="57" w:type="dxa"/>
            </w:tcMar>
            <w:vAlign w:val="center"/>
          </w:tcPr>
          <w:p w14:paraId="0DBE6671" w14:textId="77777777" w:rsidR="005D3B27" w:rsidRPr="001E614B" w:rsidRDefault="005D3B27">
            <w:pPr>
              <w:ind w:left="-113" w:right="-113"/>
              <w:jc w:val="center"/>
              <w:rPr>
                <w:sz w:val="14"/>
                <w:szCs w:val="16"/>
              </w:rPr>
            </w:pPr>
            <w:r w:rsidRPr="001E614B">
              <w:rPr>
                <w:sz w:val="14"/>
                <w:szCs w:val="16"/>
              </w:rPr>
              <w:t>6=5/4*100</w:t>
            </w:r>
          </w:p>
        </w:tc>
        <w:tc>
          <w:tcPr>
            <w:tcW w:w="367" w:type="pct"/>
            <w:vAlign w:val="center"/>
          </w:tcPr>
          <w:p w14:paraId="5C6CBFCF" w14:textId="77777777" w:rsidR="005D3B27" w:rsidRPr="001E614B" w:rsidRDefault="005D3B27">
            <w:pPr>
              <w:ind w:left="-113" w:right="-113" w:hanging="55"/>
              <w:jc w:val="center"/>
              <w:rPr>
                <w:sz w:val="14"/>
                <w:szCs w:val="16"/>
              </w:rPr>
            </w:pPr>
            <w:r w:rsidRPr="001E614B">
              <w:rPr>
                <w:sz w:val="14"/>
                <w:szCs w:val="16"/>
              </w:rPr>
              <w:t>7</w:t>
            </w:r>
          </w:p>
        </w:tc>
        <w:tc>
          <w:tcPr>
            <w:tcW w:w="367" w:type="pct"/>
            <w:vAlign w:val="center"/>
          </w:tcPr>
          <w:p w14:paraId="53076255" w14:textId="77777777" w:rsidR="005D3B27" w:rsidRPr="001E614B" w:rsidRDefault="005D3B27">
            <w:pPr>
              <w:ind w:left="-113" w:right="-113" w:hanging="55"/>
              <w:jc w:val="center"/>
              <w:rPr>
                <w:sz w:val="14"/>
                <w:szCs w:val="16"/>
              </w:rPr>
            </w:pPr>
            <w:r w:rsidRPr="001E614B">
              <w:rPr>
                <w:sz w:val="14"/>
                <w:szCs w:val="16"/>
              </w:rPr>
              <w:t>8</w:t>
            </w:r>
          </w:p>
        </w:tc>
        <w:tc>
          <w:tcPr>
            <w:tcW w:w="366" w:type="pct"/>
            <w:shd w:val="clear" w:color="auto" w:fill="auto"/>
            <w:vAlign w:val="center"/>
          </w:tcPr>
          <w:p w14:paraId="5D543390" w14:textId="77777777" w:rsidR="005D3B27" w:rsidRPr="001E614B" w:rsidRDefault="005D3B27">
            <w:pPr>
              <w:ind w:left="-113" w:right="-113" w:hanging="55"/>
              <w:jc w:val="center"/>
              <w:rPr>
                <w:sz w:val="14"/>
                <w:szCs w:val="16"/>
              </w:rPr>
            </w:pPr>
            <w:r w:rsidRPr="001E614B">
              <w:rPr>
                <w:sz w:val="14"/>
                <w:szCs w:val="16"/>
              </w:rPr>
              <w:t>9=8/7*100</w:t>
            </w:r>
          </w:p>
        </w:tc>
        <w:tc>
          <w:tcPr>
            <w:tcW w:w="367" w:type="pct"/>
            <w:shd w:val="clear" w:color="auto" w:fill="auto"/>
            <w:vAlign w:val="center"/>
          </w:tcPr>
          <w:p w14:paraId="024B0F9B" w14:textId="77777777" w:rsidR="005D3B27" w:rsidRPr="001E614B" w:rsidRDefault="005D3B27">
            <w:pPr>
              <w:ind w:left="-113" w:right="-113" w:hanging="55"/>
              <w:jc w:val="center"/>
              <w:rPr>
                <w:sz w:val="14"/>
                <w:szCs w:val="16"/>
              </w:rPr>
            </w:pPr>
            <w:r w:rsidRPr="001E614B">
              <w:rPr>
                <w:sz w:val="14"/>
                <w:szCs w:val="16"/>
              </w:rPr>
              <w:t>10</w:t>
            </w:r>
          </w:p>
        </w:tc>
        <w:tc>
          <w:tcPr>
            <w:tcW w:w="515" w:type="pct"/>
            <w:vAlign w:val="center"/>
          </w:tcPr>
          <w:p w14:paraId="14A25D31" w14:textId="77777777" w:rsidR="005D3B27" w:rsidRPr="001E614B" w:rsidRDefault="005D3B27">
            <w:pPr>
              <w:ind w:left="-113" w:right="-113" w:hanging="55"/>
              <w:jc w:val="center"/>
              <w:rPr>
                <w:sz w:val="14"/>
                <w:szCs w:val="16"/>
              </w:rPr>
            </w:pPr>
            <w:r w:rsidRPr="001E614B">
              <w:rPr>
                <w:sz w:val="14"/>
                <w:szCs w:val="16"/>
              </w:rPr>
              <w:t>11=10/8*100</w:t>
            </w:r>
          </w:p>
        </w:tc>
      </w:tr>
      <w:tr w:rsidR="005D3B27" w:rsidRPr="001E614B" w14:paraId="7A325631" w14:textId="77777777">
        <w:trPr>
          <w:trHeight w:val="308"/>
          <w:jc w:val="center"/>
        </w:trPr>
        <w:tc>
          <w:tcPr>
            <w:tcW w:w="1179" w:type="pct"/>
            <w:shd w:val="clear" w:color="auto" w:fill="auto"/>
            <w:vAlign w:val="center"/>
          </w:tcPr>
          <w:p w14:paraId="608A2BF1" w14:textId="77777777" w:rsidR="005D3B27" w:rsidRPr="001E614B" w:rsidRDefault="005D3B27">
            <w:pPr>
              <w:ind w:left="-57" w:right="-57"/>
              <w:textAlignment w:val="center"/>
              <w:rPr>
                <w:sz w:val="16"/>
                <w:szCs w:val="16"/>
              </w:rPr>
            </w:pPr>
            <w:r w:rsidRPr="001E614B">
              <w:rPr>
                <w:kern w:val="24"/>
                <w:sz w:val="16"/>
                <w:szCs w:val="16"/>
              </w:rPr>
              <w:t xml:space="preserve">Цены на нефть </w:t>
            </w:r>
            <w:r w:rsidRPr="001E614B">
              <w:rPr>
                <w:kern w:val="24"/>
                <w:sz w:val="16"/>
                <w:szCs w:val="16"/>
                <w:lang w:val="en-US"/>
              </w:rPr>
              <w:t>Urals</w:t>
            </w:r>
            <w:r w:rsidRPr="001E614B">
              <w:rPr>
                <w:kern w:val="24"/>
                <w:sz w:val="16"/>
                <w:szCs w:val="16"/>
              </w:rPr>
              <w:t>, долл./</w:t>
            </w:r>
            <w:proofErr w:type="spellStart"/>
            <w:r w:rsidRPr="001E614B">
              <w:rPr>
                <w:kern w:val="24"/>
                <w:sz w:val="16"/>
                <w:szCs w:val="16"/>
              </w:rPr>
              <w:t>барр</w:t>
            </w:r>
            <w:proofErr w:type="spellEnd"/>
            <w:r w:rsidRPr="001E614B">
              <w:rPr>
                <w:kern w:val="24"/>
                <w:sz w:val="16"/>
                <w:szCs w:val="16"/>
              </w:rPr>
              <w:t>.</w:t>
            </w:r>
          </w:p>
        </w:tc>
        <w:tc>
          <w:tcPr>
            <w:tcW w:w="368" w:type="pct"/>
            <w:shd w:val="clear" w:color="auto" w:fill="FFFFFF"/>
            <w:vAlign w:val="center"/>
          </w:tcPr>
          <w:p w14:paraId="2FC49617" w14:textId="77777777" w:rsidR="005D3B27" w:rsidRPr="001E614B" w:rsidRDefault="005D3B27">
            <w:pPr>
              <w:ind w:left="-113" w:right="-113" w:hanging="55"/>
              <w:jc w:val="center"/>
              <w:rPr>
                <w:b/>
                <w:sz w:val="18"/>
                <w:szCs w:val="18"/>
              </w:rPr>
            </w:pPr>
            <w:r w:rsidRPr="001E614B">
              <w:rPr>
                <w:sz w:val="16"/>
                <w:szCs w:val="16"/>
              </w:rPr>
              <w:t>69,1</w:t>
            </w:r>
          </w:p>
        </w:tc>
        <w:tc>
          <w:tcPr>
            <w:tcW w:w="368" w:type="pct"/>
            <w:shd w:val="clear" w:color="auto" w:fill="FFFFFF"/>
            <w:vAlign w:val="center"/>
          </w:tcPr>
          <w:p w14:paraId="23BECC85" w14:textId="77777777" w:rsidR="005D3B27" w:rsidRPr="001E614B" w:rsidRDefault="005D3B27">
            <w:pPr>
              <w:ind w:left="-113" w:right="-113" w:hanging="55"/>
              <w:jc w:val="center"/>
              <w:rPr>
                <w:b/>
                <w:sz w:val="18"/>
                <w:szCs w:val="18"/>
              </w:rPr>
            </w:pPr>
            <w:r w:rsidRPr="001E614B">
              <w:rPr>
                <w:sz w:val="16"/>
                <w:szCs w:val="16"/>
              </w:rPr>
              <w:t>80,0</w:t>
            </w:r>
          </w:p>
        </w:tc>
        <w:tc>
          <w:tcPr>
            <w:tcW w:w="368" w:type="pct"/>
            <w:shd w:val="clear" w:color="auto" w:fill="FFFFFF"/>
            <w:vAlign w:val="center"/>
          </w:tcPr>
          <w:p w14:paraId="69B8CDD3" w14:textId="77777777" w:rsidR="005D3B27" w:rsidRPr="001E614B" w:rsidRDefault="005D3B27">
            <w:pPr>
              <w:ind w:left="-113" w:right="-113" w:hanging="55"/>
              <w:jc w:val="center"/>
              <w:rPr>
                <w:b/>
                <w:sz w:val="18"/>
                <w:szCs w:val="18"/>
              </w:rPr>
            </w:pPr>
            <w:r w:rsidRPr="001E614B">
              <w:rPr>
                <w:sz w:val="16"/>
                <w:szCs w:val="16"/>
              </w:rPr>
              <w:t>58,4</w:t>
            </w:r>
          </w:p>
        </w:tc>
        <w:tc>
          <w:tcPr>
            <w:tcW w:w="366" w:type="pct"/>
            <w:shd w:val="clear" w:color="auto" w:fill="FFFFFF"/>
            <w:tcMar>
              <w:left w:w="57" w:type="dxa"/>
              <w:right w:w="57" w:type="dxa"/>
            </w:tcMar>
            <w:vAlign w:val="center"/>
          </w:tcPr>
          <w:p w14:paraId="71BD0ABD" w14:textId="77777777" w:rsidR="005D3B27" w:rsidRPr="001E614B" w:rsidRDefault="005D3B27">
            <w:pPr>
              <w:ind w:left="-113" w:right="-113" w:hanging="55"/>
              <w:jc w:val="center"/>
              <w:rPr>
                <w:b/>
                <w:sz w:val="18"/>
                <w:szCs w:val="18"/>
              </w:rPr>
            </w:pPr>
            <w:r w:rsidRPr="001E614B">
              <w:rPr>
                <w:sz w:val="16"/>
                <w:szCs w:val="16"/>
              </w:rPr>
              <w:t>70,1</w:t>
            </w:r>
          </w:p>
        </w:tc>
        <w:tc>
          <w:tcPr>
            <w:tcW w:w="368" w:type="pct"/>
            <w:shd w:val="clear" w:color="auto" w:fill="FFFFFF"/>
            <w:tcMar>
              <w:left w:w="57" w:type="dxa"/>
              <w:right w:w="57" w:type="dxa"/>
            </w:tcMar>
            <w:vAlign w:val="center"/>
          </w:tcPr>
          <w:p w14:paraId="7C51F4DC" w14:textId="77777777" w:rsidR="005D3B27" w:rsidRPr="001E614B" w:rsidRDefault="005D3B27">
            <w:pPr>
              <w:ind w:left="-113" w:right="-113" w:hanging="4"/>
              <w:jc w:val="center"/>
              <w:rPr>
                <w:b/>
                <w:sz w:val="18"/>
                <w:szCs w:val="18"/>
              </w:rPr>
            </w:pPr>
            <w:r w:rsidRPr="001E614B">
              <w:rPr>
                <w:sz w:val="16"/>
                <w:szCs w:val="16"/>
              </w:rPr>
              <w:t>120,1</w:t>
            </w:r>
          </w:p>
        </w:tc>
        <w:tc>
          <w:tcPr>
            <w:tcW w:w="367" w:type="pct"/>
            <w:shd w:val="clear" w:color="auto" w:fill="FFFFFF"/>
            <w:vAlign w:val="center"/>
          </w:tcPr>
          <w:p w14:paraId="6F2B9408" w14:textId="77777777" w:rsidR="005D3B27" w:rsidRPr="001E614B" w:rsidRDefault="005D3B27">
            <w:pPr>
              <w:ind w:left="-113" w:right="-113" w:hanging="55"/>
              <w:jc w:val="center"/>
              <w:rPr>
                <w:b/>
                <w:sz w:val="18"/>
                <w:szCs w:val="18"/>
              </w:rPr>
            </w:pPr>
            <w:r w:rsidRPr="001E614B">
              <w:rPr>
                <w:sz w:val="16"/>
                <w:szCs w:val="16"/>
              </w:rPr>
              <w:t>55,7</w:t>
            </w:r>
          </w:p>
        </w:tc>
        <w:tc>
          <w:tcPr>
            <w:tcW w:w="367" w:type="pct"/>
            <w:shd w:val="clear" w:color="auto" w:fill="FFFFFF"/>
            <w:vAlign w:val="center"/>
          </w:tcPr>
          <w:p w14:paraId="75DAD756" w14:textId="77777777" w:rsidR="005D3B27" w:rsidRPr="001E614B" w:rsidRDefault="005D3B27">
            <w:pPr>
              <w:ind w:left="-113" w:right="-113" w:hanging="55"/>
              <w:jc w:val="center"/>
              <w:rPr>
                <w:b/>
                <w:sz w:val="18"/>
                <w:szCs w:val="18"/>
              </w:rPr>
            </w:pPr>
            <w:r w:rsidRPr="001E614B">
              <w:rPr>
                <w:sz w:val="16"/>
                <w:szCs w:val="16"/>
              </w:rPr>
              <w:t>67,5</w:t>
            </w:r>
          </w:p>
        </w:tc>
        <w:tc>
          <w:tcPr>
            <w:tcW w:w="366" w:type="pct"/>
            <w:shd w:val="clear" w:color="auto" w:fill="FFFFFF"/>
            <w:vAlign w:val="center"/>
          </w:tcPr>
          <w:p w14:paraId="6783F5C0" w14:textId="77777777" w:rsidR="005D3B27" w:rsidRPr="001E614B" w:rsidRDefault="005D3B27">
            <w:pPr>
              <w:ind w:left="-113" w:right="-113" w:hanging="55"/>
              <w:jc w:val="center"/>
              <w:rPr>
                <w:b/>
                <w:sz w:val="18"/>
                <w:szCs w:val="18"/>
              </w:rPr>
            </w:pPr>
            <w:r w:rsidRPr="001E614B">
              <w:rPr>
                <w:sz w:val="16"/>
                <w:szCs w:val="16"/>
              </w:rPr>
              <w:t>121,2</w:t>
            </w:r>
          </w:p>
        </w:tc>
        <w:tc>
          <w:tcPr>
            <w:tcW w:w="367" w:type="pct"/>
            <w:shd w:val="clear" w:color="auto" w:fill="FFFFFF"/>
            <w:vAlign w:val="center"/>
          </w:tcPr>
          <w:p w14:paraId="4C77BC2A" w14:textId="77777777" w:rsidR="005D3B27" w:rsidRPr="001E614B" w:rsidRDefault="005D3B27">
            <w:pPr>
              <w:ind w:left="-113" w:right="-113" w:hanging="55"/>
              <w:jc w:val="center"/>
              <w:rPr>
                <w:b/>
                <w:sz w:val="18"/>
                <w:szCs w:val="18"/>
              </w:rPr>
            </w:pPr>
            <w:r w:rsidRPr="001E614B">
              <w:rPr>
                <w:sz w:val="16"/>
                <w:szCs w:val="16"/>
              </w:rPr>
              <w:t>65,0</w:t>
            </w:r>
          </w:p>
        </w:tc>
        <w:tc>
          <w:tcPr>
            <w:tcW w:w="515" w:type="pct"/>
            <w:shd w:val="clear" w:color="auto" w:fill="FFFFFF"/>
            <w:vAlign w:val="center"/>
          </w:tcPr>
          <w:p w14:paraId="287A62F0" w14:textId="77777777" w:rsidR="005D3B27" w:rsidRPr="001E614B" w:rsidRDefault="005D3B27">
            <w:pPr>
              <w:ind w:left="-113" w:right="-113" w:hanging="55"/>
              <w:jc w:val="center"/>
              <w:rPr>
                <w:b/>
                <w:sz w:val="18"/>
                <w:szCs w:val="18"/>
              </w:rPr>
            </w:pPr>
            <w:r w:rsidRPr="001E614B">
              <w:rPr>
                <w:sz w:val="16"/>
                <w:szCs w:val="16"/>
              </w:rPr>
              <w:t>96,2</w:t>
            </w:r>
          </w:p>
        </w:tc>
      </w:tr>
      <w:tr w:rsidR="005D3B27" w:rsidRPr="001E614B" w14:paraId="249AE53F" w14:textId="77777777">
        <w:trPr>
          <w:trHeight w:val="267"/>
          <w:jc w:val="center"/>
        </w:trPr>
        <w:tc>
          <w:tcPr>
            <w:tcW w:w="1179" w:type="pct"/>
            <w:shd w:val="clear" w:color="auto" w:fill="auto"/>
            <w:vAlign w:val="center"/>
          </w:tcPr>
          <w:p w14:paraId="7821A12A" w14:textId="77777777" w:rsidR="005D3B27" w:rsidRPr="001E614B" w:rsidRDefault="005D3B27">
            <w:pPr>
              <w:ind w:left="-57" w:right="-57"/>
              <w:textAlignment w:val="center"/>
              <w:rPr>
                <w:sz w:val="16"/>
                <w:szCs w:val="16"/>
              </w:rPr>
            </w:pPr>
            <w:r w:rsidRPr="001E614B">
              <w:rPr>
                <w:kern w:val="24"/>
                <w:sz w:val="16"/>
                <w:szCs w:val="16"/>
              </w:rPr>
              <w:t>Цены на газ (</w:t>
            </w:r>
            <w:proofErr w:type="spellStart"/>
            <w:r w:rsidRPr="001E614B">
              <w:rPr>
                <w:kern w:val="24"/>
                <w:sz w:val="16"/>
                <w:szCs w:val="16"/>
              </w:rPr>
              <w:t>среднеконтрактные</w:t>
            </w:r>
            <w:proofErr w:type="spellEnd"/>
            <w:r w:rsidRPr="001E614B">
              <w:rPr>
                <w:kern w:val="24"/>
                <w:sz w:val="16"/>
                <w:szCs w:val="16"/>
              </w:rPr>
              <w:t xml:space="preserve"> включая страны СНГ), долл./тыс. куб. м</w:t>
            </w:r>
          </w:p>
        </w:tc>
        <w:tc>
          <w:tcPr>
            <w:tcW w:w="368" w:type="pct"/>
            <w:shd w:val="clear" w:color="auto" w:fill="FFFFFF"/>
            <w:vAlign w:val="center"/>
          </w:tcPr>
          <w:p w14:paraId="3D30C2C4" w14:textId="77777777" w:rsidR="005D3B27" w:rsidRPr="001E614B" w:rsidRDefault="005D3B27">
            <w:pPr>
              <w:ind w:left="-113" w:right="-113"/>
              <w:jc w:val="center"/>
              <w:rPr>
                <w:sz w:val="18"/>
                <w:szCs w:val="18"/>
              </w:rPr>
            </w:pPr>
            <w:r w:rsidRPr="001E614B">
              <w:rPr>
                <w:sz w:val="16"/>
                <w:szCs w:val="16"/>
              </w:rPr>
              <w:t>274,3</w:t>
            </w:r>
          </w:p>
        </w:tc>
        <w:tc>
          <w:tcPr>
            <w:tcW w:w="368" w:type="pct"/>
            <w:shd w:val="clear" w:color="auto" w:fill="FFFFFF"/>
            <w:vAlign w:val="center"/>
          </w:tcPr>
          <w:p w14:paraId="12ACB272" w14:textId="77777777" w:rsidR="005D3B27" w:rsidRPr="001E614B" w:rsidRDefault="005D3B27">
            <w:pPr>
              <w:ind w:left="-113" w:right="-113"/>
              <w:jc w:val="center"/>
              <w:rPr>
                <w:sz w:val="18"/>
                <w:szCs w:val="18"/>
              </w:rPr>
            </w:pPr>
            <w:r w:rsidRPr="001E614B">
              <w:rPr>
                <w:sz w:val="16"/>
                <w:szCs w:val="16"/>
              </w:rPr>
              <w:t>691,2</w:t>
            </w:r>
          </w:p>
        </w:tc>
        <w:tc>
          <w:tcPr>
            <w:tcW w:w="368" w:type="pct"/>
            <w:shd w:val="clear" w:color="auto" w:fill="FFFFFF"/>
            <w:vAlign w:val="center"/>
          </w:tcPr>
          <w:p w14:paraId="06467FB5" w14:textId="77777777" w:rsidR="005D3B27" w:rsidRPr="001E614B" w:rsidRDefault="005D3B27">
            <w:pPr>
              <w:ind w:left="-113" w:right="-113"/>
              <w:jc w:val="center"/>
              <w:rPr>
                <w:sz w:val="18"/>
                <w:szCs w:val="18"/>
              </w:rPr>
            </w:pPr>
            <w:r w:rsidRPr="001E614B">
              <w:rPr>
                <w:sz w:val="16"/>
                <w:szCs w:val="16"/>
              </w:rPr>
              <w:t>192,3</w:t>
            </w:r>
          </w:p>
        </w:tc>
        <w:tc>
          <w:tcPr>
            <w:tcW w:w="366" w:type="pct"/>
            <w:shd w:val="clear" w:color="auto" w:fill="FFFFFF"/>
            <w:tcMar>
              <w:left w:w="57" w:type="dxa"/>
              <w:right w:w="57" w:type="dxa"/>
            </w:tcMar>
            <w:vAlign w:val="center"/>
          </w:tcPr>
          <w:p w14:paraId="599DF062" w14:textId="77777777" w:rsidR="005D3B27" w:rsidRPr="001E614B" w:rsidRDefault="005D3B27">
            <w:pPr>
              <w:ind w:left="-113" w:right="-113"/>
              <w:jc w:val="center"/>
              <w:rPr>
                <w:sz w:val="18"/>
                <w:szCs w:val="18"/>
              </w:rPr>
            </w:pPr>
            <w:r w:rsidRPr="001E614B">
              <w:rPr>
                <w:sz w:val="16"/>
                <w:szCs w:val="16"/>
              </w:rPr>
              <w:t>592,2</w:t>
            </w:r>
          </w:p>
        </w:tc>
        <w:tc>
          <w:tcPr>
            <w:tcW w:w="368" w:type="pct"/>
            <w:shd w:val="clear" w:color="auto" w:fill="FFFFFF"/>
            <w:tcMar>
              <w:left w:w="57" w:type="dxa"/>
              <w:right w:w="57" w:type="dxa"/>
            </w:tcMar>
            <w:vAlign w:val="center"/>
          </w:tcPr>
          <w:p w14:paraId="1B1BD132" w14:textId="77777777" w:rsidR="005D3B27" w:rsidRPr="001E614B" w:rsidRDefault="005D3B27">
            <w:pPr>
              <w:ind w:left="-113" w:right="-113"/>
              <w:jc w:val="center"/>
              <w:rPr>
                <w:sz w:val="18"/>
                <w:szCs w:val="18"/>
              </w:rPr>
            </w:pPr>
            <w:r w:rsidRPr="001E614B">
              <w:rPr>
                <w:sz w:val="16"/>
                <w:szCs w:val="16"/>
              </w:rPr>
              <w:t>307,9</w:t>
            </w:r>
          </w:p>
        </w:tc>
        <w:tc>
          <w:tcPr>
            <w:tcW w:w="367" w:type="pct"/>
            <w:shd w:val="clear" w:color="auto" w:fill="FFFFFF"/>
            <w:vAlign w:val="center"/>
          </w:tcPr>
          <w:p w14:paraId="15352CBB" w14:textId="77777777" w:rsidR="005D3B27" w:rsidRPr="001E614B" w:rsidRDefault="005D3B27">
            <w:pPr>
              <w:ind w:left="-113" w:right="-113"/>
              <w:jc w:val="center"/>
              <w:rPr>
                <w:sz w:val="18"/>
                <w:szCs w:val="18"/>
              </w:rPr>
            </w:pPr>
            <w:r w:rsidRPr="001E614B">
              <w:rPr>
                <w:sz w:val="16"/>
                <w:szCs w:val="16"/>
              </w:rPr>
              <w:t>180,6</w:t>
            </w:r>
          </w:p>
        </w:tc>
        <w:tc>
          <w:tcPr>
            <w:tcW w:w="367" w:type="pct"/>
            <w:shd w:val="clear" w:color="auto" w:fill="FFFFFF"/>
            <w:vAlign w:val="center"/>
          </w:tcPr>
          <w:p w14:paraId="3401B2F0" w14:textId="77777777" w:rsidR="005D3B27" w:rsidRPr="001E614B" w:rsidRDefault="005D3B27">
            <w:pPr>
              <w:ind w:left="-113" w:right="-113"/>
              <w:jc w:val="center"/>
              <w:rPr>
                <w:sz w:val="18"/>
                <w:szCs w:val="18"/>
              </w:rPr>
            </w:pPr>
            <w:r w:rsidRPr="001E614B">
              <w:rPr>
                <w:sz w:val="16"/>
                <w:szCs w:val="16"/>
              </w:rPr>
              <w:t>477,1</w:t>
            </w:r>
          </w:p>
        </w:tc>
        <w:tc>
          <w:tcPr>
            <w:tcW w:w="366" w:type="pct"/>
            <w:shd w:val="clear" w:color="auto" w:fill="FFFFFF"/>
            <w:vAlign w:val="center"/>
          </w:tcPr>
          <w:p w14:paraId="403A7316" w14:textId="77777777" w:rsidR="005D3B27" w:rsidRPr="001E614B" w:rsidRDefault="005D3B27">
            <w:pPr>
              <w:ind w:left="-113" w:right="-113"/>
              <w:jc w:val="center"/>
              <w:rPr>
                <w:sz w:val="18"/>
                <w:szCs w:val="18"/>
              </w:rPr>
            </w:pPr>
            <w:r w:rsidRPr="001E614B">
              <w:rPr>
                <w:sz w:val="16"/>
                <w:szCs w:val="16"/>
              </w:rPr>
              <w:t>264,2</w:t>
            </w:r>
          </w:p>
        </w:tc>
        <w:tc>
          <w:tcPr>
            <w:tcW w:w="367" w:type="pct"/>
            <w:shd w:val="clear" w:color="auto" w:fill="FFFFFF"/>
            <w:vAlign w:val="center"/>
          </w:tcPr>
          <w:p w14:paraId="1D5DDAED" w14:textId="77777777" w:rsidR="005D3B27" w:rsidRPr="001E614B" w:rsidRDefault="005D3B27">
            <w:pPr>
              <w:ind w:left="-113" w:right="-113"/>
              <w:jc w:val="center"/>
              <w:rPr>
                <w:sz w:val="18"/>
                <w:szCs w:val="18"/>
              </w:rPr>
            </w:pPr>
            <w:r w:rsidRPr="001E614B">
              <w:rPr>
                <w:sz w:val="16"/>
                <w:szCs w:val="16"/>
              </w:rPr>
              <w:t>400,1</w:t>
            </w:r>
          </w:p>
        </w:tc>
        <w:tc>
          <w:tcPr>
            <w:tcW w:w="515" w:type="pct"/>
            <w:shd w:val="clear" w:color="auto" w:fill="FFFFFF"/>
            <w:vAlign w:val="center"/>
          </w:tcPr>
          <w:p w14:paraId="34A477F6" w14:textId="77777777" w:rsidR="005D3B27" w:rsidRPr="001E614B" w:rsidRDefault="005D3B27">
            <w:pPr>
              <w:ind w:left="-113" w:right="-113"/>
              <w:jc w:val="center"/>
              <w:rPr>
                <w:sz w:val="18"/>
                <w:szCs w:val="18"/>
              </w:rPr>
            </w:pPr>
            <w:r w:rsidRPr="001E614B">
              <w:rPr>
                <w:sz w:val="16"/>
                <w:szCs w:val="16"/>
              </w:rPr>
              <w:t>83,9</w:t>
            </w:r>
          </w:p>
        </w:tc>
      </w:tr>
      <w:tr w:rsidR="005D3B27" w:rsidRPr="001E614B" w14:paraId="29292FA7" w14:textId="77777777">
        <w:trPr>
          <w:trHeight w:val="267"/>
          <w:jc w:val="center"/>
        </w:trPr>
        <w:tc>
          <w:tcPr>
            <w:tcW w:w="1179" w:type="pct"/>
            <w:shd w:val="clear" w:color="auto" w:fill="auto"/>
            <w:vAlign w:val="center"/>
          </w:tcPr>
          <w:p w14:paraId="6559634C" w14:textId="77777777" w:rsidR="005D3B27" w:rsidRPr="001E614B" w:rsidRDefault="005D3B27">
            <w:pPr>
              <w:ind w:left="-57" w:right="-57"/>
              <w:textAlignment w:val="center"/>
              <w:rPr>
                <w:sz w:val="16"/>
                <w:szCs w:val="16"/>
              </w:rPr>
            </w:pPr>
            <w:r w:rsidRPr="001E614B">
              <w:rPr>
                <w:kern w:val="24"/>
                <w:sz w:val="16"/>
                <w:szCs w:val="16"/>
              </w:rPr>
              <w:t xml:space="preserve">ВВП, </w:t>
            </w:r>
            <w:proofErr w:type="gramStart"/>
            <w:r w:rsidRPr="001E614B">
              <w:rPr>
                <w:kern w:val="24"/>
                <w:sz w:val="16"/>
                <w:szCs w:val="16"/>
              </w:rPr>
              <w:t>млрд</w:t>
            </w:r>
            <w:proofErr w:type="gramEnd"/>
            <w:r w:rsidRPr="001E614B">
              <w:rPr>
                <w:kern w:val="24"/>
                <w:sz w:val="16"/>
                <w:szCs w:val="16"/>
              </w:rPr>
              <w:t xml:space="preserve"> руб.</w:t>
            </w:r>
          </w:p>
        </w:tc>
        <w:tc>
          <w:tcPr>
            <w:tcW w:w="368" w:type="pct"/>
            <w:shd w:val="clear" w:color="auto" w:fill="FFFFFF"/>
            <w:vAlign w:val="center"/>
          </w:tcPr>
          <w:p w14:paraId="31434A67" w14:textId="77777777" w:rsidR="005D3B27" w:rsidRPr="001E614B" w:rsidRDefault="005D3B27">
            <w:pPr>
              <w:ind w:left="-113" w:right="-113"/>
              <w:jc w:val="center"/>
              <w:rPr>
                <w:sz w:val="18"/>
                <w:szCs w:val="18"/>
              </w:rPr>
            </w:pPr>
            <w:r w:rsidRPr="001E614B">
              <w:rPr>
                <w:sz w:val="16"/>
                <w:szCs w:val="16"/>
              </w:rPr>
              <w:t>131015</w:t>
            </w:r>
          </w:p>
        </w:tc>
        <w:tc>
          <w:tcPr>
            <w:tcW w:w="368" w:type="pct"/>
            <w:shd w:val="clear" w:color="auto" w:fill="FFFFFF"/>
            <w:vAlign w:val="center"/>
          </w:tcPr>
          <w:p w14:paraId="7D8A2B8E" w14:textId="77777777" w:rsidR="005D3B27" w:rsidRPr="001E614B" w:rsidRDefault="005D3B27">
            <w:pPr>
              <w:ind w:left="-113" w:right="-113"/>
              <w:jc w:val="center"/>
              <w:rPr>
                <w:sz w:val="18"/>
                <w:szCs w:val="18"/>
              </w:rPr>
            </w:pPr>
            <w:r w:rsidRPr="001E614B">
              <w:rPr>
                <w:sz w:val="16"/>
                <w:szCs w:val="16"/>
              </w:rPr>
              <w:t>146065</w:t>
            </w:r>
          </w:p>
        </w:tc>
        <w:tc>
          <w:tcPr>
            <w:tcW w:w="368" w:type="pct"/>
            <w:shd w:val="clear" w:color="auto" w:fill="FFFFFF"/>
            <w:vAlign w:val="center"/>
          </w:tcPr>
          <w:p w14:paraId="38B5D422" w14:textId="77777777" w:rsidR="005D3B27" w:rsidRPr="001E614B" w:rsidRDefault="005D3B27">
            <w:pPr>
              <w:ind w:left="-113" w:right="-113"/>
              <w:jc w:val="center"/>
              <w:rPr>
                <w:sz w:val="18"/>
                <w:szCs w:val="18"/>
              </w:rPr>
            </w:pPr>
            <w:r w:rsidRPr="001E614B">
              <w:rPr>
                <w:sz w:val="16"/>
                <w:szCs w:val="16"/>
              </w:rPr>
              <w:t>141881</w:t>
            </w:r>
          </w:p>
        </w:tc>
        <w:tc>
          <w:tcPr>
            <w:tcW w:w="366" w:type="pct"/>
            <w:shd w:val="clear" w:color="auto" w:fill="FFFFFF"/>
            <w:tcMar>
              <w:left w:w="57" w:type="dxa"/>
              <w:right w:w="57" w:type="dxa"/>
            </w:tcMar>
            <w:vAlign w:val="center"/>
          </w:tcPr>
          <w:p w14:paraId="3297E568" w14:textId="77777777" w:rsidR="005D3B27" w:rsidRPr="001E614B" w:rsidRDefault="005D3B27">
            <w:pPr>
              <w:ind w:left="-113" w:right="-113"/>
              <w:jc w:val="center"/>
              <w:rPr>
                <w:sz w:val="18"/>
                <w:szCs w:val="18"/>
              </w:rPr>
            </w:pPr>
            <w:r w:rsidRPr="001E614B">
              <w:rPr>
                <w:sz w:val="16"/>
                <w:szCs w:val="16"/>
              </w:rPr>
              <w:t>149949</w:t>
            </w:r>
          </w:p>
        </w:tc>
        <w:tc>
          <w:tcPr>
            <w:tcW w:w="368" w:type="pct"/>
            <w:shd w:val="clear" w:color="auto" w:fill="FFFFFF"/>
            <w:tcMar>
              <w:left w:w="57" w:type="dxa"/>
              <w:right w:w="57" w:type="dxa"/>
            </w:tcMar>
            <w:vAlign w:val="center"/>
          </w:tcPr>
          <w:p w14:paraId="0848A472" w14:textId="77777777" w:rsidR="005D3B27" w:rsidRPr="001E614B" w:rsidRDefault="005D3B27">
            <w:pPr>
              <w:ind w:left="-113" w:right="-113"/>
              <w:jc w:val="center"/>
              <w:rPr>
                <w:sz w:val="18"/>
                <w:szCs w:val="18"/>
              </w:rPr>
            </w:pPr>
            <w:r w:rsidRPr="001E614B">
              <w:rPr>
                <w:sz w:val="16"/>
                <w:szCs w:val="16"/>
              </w:rPr>
              <w:t>105,7</w:t>
            </w:r>
          </w:p>
        </w:tc>
        <w:tc>
          <w:tcPr>
            <w:tcW w:w="367" w:type="pct"/>
            <w:shd w:val="clear" w:color="auto" w:fill="FFFFFF"/>
            <w:vAlign w:val="center"/>
          </w:tcPr>
          <w:p w14:paraId="65D95ED6" w14:textId="77777777" w:rsidR="005D3B27" w:rsidRPr="001E614B" w:rsidRDefault="005D3B27">
            <w:pPr>
              <w:ind w:left="-113" w:right="-113"/>
              <w:jc w:val="center"/>
              <w:rPr>
                <w:sz w:val="18"/>
                <w:szCs w:val="18"/>
              </w:rPr>
            </w:pPr>
            <w:r w:rsidRPr="001E614B">
              <w:rPr>
                <w:sz w:val="16"/>
                <w:szCs w:val="16"/>
              </w:rPr>
              <w:t>151513</w:t>
            </w:r>
          </w:p>
        </w:tc>
        <w:tc>
          <w:tcPr>
            <w:tcW w:w="367" w:type="pct"/>
            <w:shd w:val="clear" w:color="auto" w:fill="FFFFFF"/>
            <w:vAlign w:val="center"/>
          </w:tcPr>
          <w:p w14:paraId="5F182523" w14:textId="77777777" w:rsidR="005D3B27" w:rsidRPr="001E614B" w:rsidRDefault="005D3B27">
            <w:pPr>
              <w:ind w:left="-113" w:right="-113"/>
              <w:jc w:val="center"/>
              <w:rPr>
                <w:sz w:val="18"/>
                <w:szCs w:val="18"/>
              </w:rPr>
            </w:pPr>
            <w:r w:rsidRPr="001E614B">
              <w:rPr>
                <w:sz w:val="16"/>
                <w:szCs w:val="16"/>
              </w:rPr>
              <w:t>159714</w:t>
            </w:r>
          </w:p>
        </w:tc>
        <w:tc>
          <w:tcPr>
            <w:tcW w:w="366" w:type="pct"/>
            <w:shd w:val="clear" w:color="auto" w:fill="FFFFFF"/>
            <w:vAlign w:val="center"/>
          </w:tcPr>
          <w:p w14:paraId="3C55910C" w14:textId="77777777" w:rsidR="005D3B27" w:rsidRPr="001E614B" w:rsidRDefault="005D3B27">
            <w:pPr>
              <w:ind w:left="-113" w:right="-113"/>
              <w:jc w:val="center"/>
              <w:rPr>
                <w:sz w:val="18"/>
                <w:szCs w:val="18"/>
              </w:rPr>
            </w:pPr>
            <w:r w:rsidRPr="001E614B">
              <w:rPr>
                <w:sz w:val="16"/>
                <w:szCs w:val="16"/>
              </w:rPr>
              <w:t>105,4</w:t>
            </w:r>
          </w:p>
        </w:tc>
        <w:tc>
          <w:tcPr>
            <w:tcW w:w="367" w:type="pct"/>
            <w:shd w:val="clear" w:color="auto" w:fill="FFFFFF"/>
            <w:vAlign w:val="center"/>
          </w:tcPr>
          <w:p w14:paraId="39AA5153" w14:textId="77777777" w:rsidR="005D3B27" w:rsidRPr="001E614B" w:rsidRDefault="005D3B27">
            <w:pPr>
              <w:ind w:left="-113" w:right="-113"/>
              <w:jc w:val="center"/>
              <w:rPr>
                <w:sz w:val="18"/>
                <w:szCs w:val="18"/>
              </w:rPr>
            </w:pPr>
            <w:r w:rsidRPr="001E614B">
              <w:rPr>
                <w:sz w:val="16"/>
                <w:szCs w:val="16"/>
              </w:rPr>
              <w:t>170598</w:t>
            </w:r>
          </w:p>
        </w:tc>
        <w:tc>
          <w:tcPr>
            <w:tcW w:w="515" w:type="pct"/>
            <w:shd w:val="clear" w:color="auto" w:fill="FFFFFF"/>
            <w:vAlign w:val="center"/>
          </w:tcPr>
          <w:p w14:paraId="55FEC06E" w14:textId="77777777" w:rsidR="005D3B27" w:rsidRPr="001E614B" w:rsidRDefault="005D3B27">
            <w:pPr>
              <w:ind w:left="-113" w:right="-113"/>
              <w:jc w:val="center"/>
              <w:rPr>
                <w:sz w:val="18"/>
                <w:szCs w:val="18"/>
              </w:rPr>
            </w:pPr>
            <w:r w:rsidRPr="001E614B">
              <w:rPr>
                <w:sz w:val="16"/>
                <w:szCs w:val="16"/>
              </w:rPr>
              <w:t>106,8</w:t>
            </w:r>
          </w:p>
        </w:tc>
      </w:tr>
      <w:tr w:rsidR="005D3B27" w:rsidRPr="001E614B" w14:paraId="2A945A0C" w14:textId="77777777">
        <w:trPr>
          <w:trHeight w:val="267"/>
          <w:jc w:val="center"/>
        </w:trPr>
        <w:tc>
          <w:tcPr>
            <w:tcW w:w="1179" w:type="pct"/>
            <w:shd w:val="clear" w:color="auto" w:fill="auto"/>
            <w:vAlign w:val="center"/>
          </w:tcPr>
          <w:p w14:paraId="2C15DE87" w14:textId="77777777" w:rsidR="005D3B27" w:rsidRPr="001E614B" w:rsidRDefault="005D3B27">
            <w:pPr>
              <w:ind w:left="-57" w:right="-57"/>
              <w:textAlignment w:val="center"/>
              <w:rPr>
                <w:sz w:val="16"/>
                <w:szCs w:val="16"/>
              </w:rPr>
            </w:pPr>
            <w:r w:rsidRPr="001E614B">
              <w:rPr>
                <w:iCs/>
                <w:kern w:val="24"/>
                <w:sz w:val="16"/>
                <w:szCs w:val="16"/>
              </w:rPr>
              <w:t>Рост ВВП, %</w:t>
            </w:r>
          </w:p>
        </w:tc>
        <w:tc>
          <w:tcPr>
            <w:tcW w:w="368" w:type="pct"/>
            <w:shd w:val="clear" w:color="auto" w:fill="FFFFFF"/>
            <w:vAlign w:val="center"/>
          </w:tcPr>
          <w:p w14:paraId="5E06B81C" w14:textId="77777777" w:rsidR="005D3B27" w:rsidRPr="001E614B" w:rsidRDefault="005D3B27">
            <w:pPr>
              <w:ind w:left="-113" w:right="-113" w:hanging="69"/>
              <w:jc w:val="center"/>
              <w:rPr>
                <w:sz w:val="18"/>
                <w:szCs w:val="18"/>
              </w:rPr>
            </w:pPr>
            <w:r w:rsidRPr="001E614B">
              <w:rPr>
                <w:sz w:val="16"/>
                <w:szCs w:val="16"/>
              </w:rPr>
              <w:t>4,7</w:t>
            </w:r>
          </w:p>
        </w:tc>
        <w:tc>
          <w:tcPr>
            <w:tcW w:w="368" w:type="pct"/>
            <w:shd w:val="clear" w:color="auto" w:fill="FFFFFF"/>
            <w:vAlign w:val="center"/>
          </w:tcPr>
          <w:p w14:paraId="42D1E68F" w14:textId="77777777" w:rsidR="005D3B27" w:rsidRPr="001E614B" w:rsidRDefault="005D3B27">
            <w:pPr>
              <w:ind w:left="-113" w:right="-113" w:hanging="69"/>
              <w:jc w:val="center"/>
              <w:rPr>
                <w:sz w:val="18"/>
                <w:szCs w:val="18"/>
              </w:rPr>
            </w:pPr>
            <w:r w:rsidRPr="001E614B">
              <w:rPr>
                <w:sz w:val="16"/>
                <w:szCs w:val="16"/>
              </w:rPr>
              <w:t>-2,9</w:t>
            </w:r>
          </w:p>
        </w:tc>
        <w:tc>
          <w:tcPr>
            <w:tcW w:w="368" w:type="pct"/>
            <w:shd w:val="clear" w:color="auto" w:fill="FFFFFF"/>
            <w:vAlign w:val="center"/>
          </w:tcPr>
          <w:p w14:paraId="0986D45E" w14:textId="77777777" w:rsidR="005D3B27" w:rsidRPr="001E614B" w:rsidRDefault="005D3B27">
            <w:pPr>
              <w:ind w:left="-113" w:right="-113"/>
              <w:jc w:val="center"/>
              <w:rPr>
                <w:sz w:val="18"/>
                <w:szCs w:val="18"/>
              </w:rPr>
            </w:pPr>
            <w:r w:rsidRPr="001E614B">
              <w:rPr>
                <w:sz w:val="16"/>
                <w:szCs w:val="16"/>
              </w:rPr>
              <w:t>3,0</w:t>
            </w:r>
          </w:p>
        </w:tc>
        <w:tc>
          <w:tcPr>
            <w:tcW w:w="366" w:type="pct"/>
            <w:shd w:val="clear" w:color="auto" w:fill="FFFFFF"/>
            <w:tcMar>
              <w:left w:w="57" w:type="dxa"/>
              <w:right w:w="57" w:type="dxa"/>
            </w:tcMar>
            <w:vAlign w:val="center"/>
          </w:tcPr>
          <w:p w14:paraId="148DDA84" w14:textId="77777777" w:rsidR="005D3B27" w:rsidRPr="001E614B" w:rsidRDefault="005D3B27">
            <w:pPr>
              <w:ind w:left="-113" w:right="-113"/>
              <w:jc w:val="center"/>
              <w:rPr>
                <w:sz w:val="18"/>
                <w:szCs w:val="18"/>
              </w:rPr>
            </w:pPr>
            <w:r w:rsidRPr="001E614B">
              <w:rPr>
                <w:sz w:val="16"/>
                <w:szCs w:val="16"/>
              </w:rPr>
              <w:t>-0,8</w:t>
            </w:r>
          </w:p>
        </w:tc>
        <w:tc>
          <w:tcPr>
            <w:tcW w:w="368" w:type="pct"/>
            <w:shd w:val="clear" w:color="auto" w:fill="FFFFFF"/>
            <w:tcMar>
              <w:left w:w="57" w:type="dxa"/>
              <w:right w:w="57" w:type="dxa"/>
            </w:tcMar>
            <w:vAlign w:val="center"/>
          </w:tcPr>
          <w:p w14:paraId="2104AE8E" w14:textId="77777777" w:rsidR="005D3B27" w:rsidRPr="001E614B" w:rsidRDefault="005D3B27">
            <w:pPr>
              <w:ind w:left="-113" w:right="-113"/>
              <w:jc w:val="center"/>
              <w:rPr>
                <w:sz w:val="18"/>
                <w:szCs w:val="18"/>
              </w:rPr>
            </w:pPr>
            <w:r w:rsidRPr="001E614B">
              <w:rPr>
                <w:sz w:val="16"/>
                <w:szCs w:val="16"/>
              </w:rPr>
              <w:t>-28,0</w:t>
            </w:r>
          </w:p>
        </w:tc>
        <w:tc>
          <w:tcPr>
            <w:tcW w:w="367" w:type="pct"/>
            <w:shd w:val="clear" w:color="auto" w:fill="FFFFFF"/>
            <w:vAlign w:val="center"/>
          </w:tcPr>
          <w:p w14:paraId="4BA944B1" w14:textId="77777777" w:rsidR="005D3B27" w:rsidRPr="001E614B" w:rsidRDefault="005D3B27">
            <w:pPr>
              <w:ind w:left="-113" w:right="-113"/>
              <w:jc w:val="center"/>
              <w:rPr>
                <w:sz w:val="18"/>
                <w:szCs w:val="18"/>
              </w:rPr>
            </w:pPr>
            <w:r w:rsidRPr="001E614B">
              <w:rPr>
                <w:sz w:val="16"/>
                <w:szCs w:val="16"/>
              </w:rPr>
              <w:t>3,0</w:t>
            </w:r>
          </w:p>
        </w:tc>
        <w:tc>
          <w:tcPr>
            <w:tcW w:w="367" w:type="pct"/>
            <w:shd w:val="clear" w:color="auto" w:fill="FFFFFF"/>
            <w:vAlign w:val="center"/>
          </w:tcPr>
          <w:p w14:paraId="37BD229A" w14:textId="77777777" w:rsidR="005D3B27" w:rsidRPr="001E614B" w:rsidRDefault="005D3B27">
            <w:pPr>
              <w:ind w:left="-113" w:right="-113"/>
              <w:jc w:val="center"/>
              <w:rPr>
                <w:sz w:val="18"/>
                <w:szCs w:val="18"/>
              </w:rPr>
            </w:pPr>
            <w:r w:rsidRPr="001E614B">
              <w:rPr>
                <w:sz w:val="16"/>
                <w:szCs w:val="16"/>
              </w:rPr>
              <w:t>2,6</w:t>
            </w:r>
          </w:p>
        </w:tc>
        <w:tc>
          <w:tcPr>
            <w:tcW w:w="366" w:type="pct"/>
            <w:shd w:val="clear" w:color="auto" w:fill="FFFFFF"/>
            <w:vAlign w:val="center"/>
          </w:tcPr>
          <w:p w14:paraId="6DE541CA" w14:textId="77777777" w:rsidR="005D3B27" w:rsidRPr="001E614B" w:rsidRDefault="005D3B27">
            <w:pPr>
              <w:ind w:left="-113" w:right="-113"/>
              <w:jc w:val="center"/>
              <w:rPr>
                <w:sz w:val="18"/>
                <w:szCs w:val="18"/>
              </w:rPr>
            </w:pPr>
            <w:r w:rsidRPr="001E614B">
              <w:rPr>
                <w:sz w:val="16"/>
                <w:szCs w:val="16"/>
              </w:rPr>
              <w:t>85,0</w:t>
            </w:r>
          </w:p>
        </w:tc>
        <w:tc>
          <w:tcPr>
            <w:tcW w:w="367" w:type="pct"/>
            <w:shd w:val="clear" w:color="auto" w:fill="FFFFFF"/>
            <w:vAlign w:val="center"/>
          </w:tcPr>
          <w:p w14:paraId="0F19C60A" w14:textId="77777777" w:rsidR="005D3B27" w:rsidRPr="001E614B" w:rsidRDefault="005D3B27">
            <w:pPr>
              <w:ind w:left="-113" w:right="-113"/>
              <w:jc w:val="center"/>
              <w:rPr>
                <w:sz w:val="18"/>
                <w:szCs w:val="18"/>
              </w:rPr>
            </w:pPr>
            <w:r w:rsidRPr="001E614B">
              <w:rPr>
                <w:sz w:val="16"/>
                <w:szCs w:val="16"/>
              </w:rPr>
              <w:t>2,6</w:t>
            </w:r>
          </w:p>
        </w:tc>
        <w:tc>
          <w:tcPr>
            <w:tcW w:w="515" w:type="pct"/>
            <w:shd w:val="clear" w:color="auto" w:fill="FFFFFF"/>
            <w:vAlign w:val="center"/>
          </w:tcPr>
          <w:p w14:paraId="6ACF3796" w14:textId="77777777" w:rsidR="005D3B27" w:rsidRPr="001E614B" w:rsidRDefault="005D3B27">
            <w:pPr>
              <w:ind w:left="-113" w:right="-113"/>
              <w:jc w:val="center"/>
              <w:rPr>
                <w:sz w:val="18"/>
                <w:szCs w:val="18"/>
              </w:rPr>
            </w:pPr>
            <w:r w:rsidRPr="001E614B">
              <w:rPr>
                <w:sz w:val="16"/>
                <w:szCs w:val="16"/>
              </w:rPr>
              <w:t>100,7</w:t>
            </w:r>
          </w:p>
        </w:tc>
      </w:tr>
      <w:tr w:rsidR="005D3B27" w:rsidRPr="001E614B" w14:paraId="0E950DA7" w14:textId="77777777">
        <w:trPr>
          <w:trHeight w:val="267"/>
          <w:jc w:val="center"/>
        </w:trPr>
        <w:tc>
          <w:tcPr>
            <w:tcW w:w="1179" w:type="pct"/>
            <w:shd w:val="clear" w:color="auto" w:fill="auto"/>
            <w:vAlign w:val="center"/>
          </w:tcPr>
          <w:p w14:paraId="184F4F36" w14:textId="77777777" w:rsidR="005D3B27" w:rsidRPr="001E614B" w:rsidRDefault="005D3B27">
            <w:pPr>
              <w:ind w:left="-57" w:right="-57"/>
              <w:textAlignment w:val="center"/>
              <w:rPr>
                <w:kern w:val="24"/>
                <w:sz w:val="16"/>
                <w:szCs w:val="16"/>
              </w:rPr>
            </w:pPr>
            <w:r w:rsidRPr="001E614B">
              <w:rPr>
                <w:kern w:val="24"/>
                <w:sz w:val="16"/>
                <w:szCs w:val="16"/>
              </w:rPr>
              <w:t>Инфляция (ИПЦ), % к декабрю пред</w:t>
            </w:r>
            <w:proofErr w:type="gramStart"/>
            <w:r w:rsidRPr="001E614B">
              <w:rPr>
                <w:kern w:val="24"/>
                <w:sz w:val="16"/>
                <w:szCs w:val="16"/>
              </w:rPr>
              <w:t>.</w:t>
            </w:r>
            <w:proofErr w:type="gramEnd"/>
            <w:r w:rsidRPr="001E614B">
              <w:rPr>
                <w:kern w:val="24"/>
                <w:sz w:val="16"/>
                <w:szCs w:val="16"/>
              </w:rPr>
              <w:t xml:space="preserve"> </w:t>
            </w:r>
            <w:proofErr w:type="gramStart"/>
            <w:r w:rsidRPr="001E614B">
              <w:rPr>
                <w:kern w:val="24"/>
                <w:sz w:val="16"/>
                <w:szCs w:val="16"/>
              </w:rPr>
              <w:t>г</w:t>
            </w:r>
            <w:proofErr w:type="gramEnd"/>
            <w:r w:rsidRPr="001E614B">
              <w:rPr>
                <w:kern w:val="24"/>
                <w:sz w:val="16"/>
                <w:szCs w:val="16"/>
              </w:rPr>
              <w:t>ода</w:t>
            </w:r>
          </w:p>
        </w:tc>
        <w:tc>
          <w:tcPr>
            <w:tcW w:w="368" w:type="pct"/>
            <w:shd w:val="clear" w:color="auto" w:fill="FFFFFF"/>
            <w:vAlign w:val="center"/>
          </w:tcPr>
          <w:p w14:paraId="359E7DB8" w14:textId="77777777" w:rsidR="005D3B27" w:rsidRPr="001E614B" w:rsidRDefault="005D3B27">
            <w:pPr>
              <w:ind w:left="-113" w:right="-113"/>
              <w:jc w:val="center"/>
              <w:rPr>
                <w:sz w:val="18"/>
                <w:szCs w:val="18"/>
              </w:rPr>
            </w:pPr>
            <w:r w:rsidRPr="001E614B">
              <w:rPr>
                <w:sz w:val="16"/>
                <w:szCs w:val="16"/>
              </w:rPr>
              <w:t>8,4</w:t>
            </w:r>
          </w:p>
        </w:tc>
        <w:tc>
          <w:tcPr>
            <w:tcW w:w="368" w:type="pct"/>
            <w:shd w:val="clear" w:color="auto" w:fill="FFFFFF"/>
            <w:vAlign w:val="center"/>
          </w:tcPr>
          <w:p w14:paraId="1C49D10A" w14:textId="77777777" w:rsidR="005D3B27" w:rsidRPr="001E614B" w:rsidRDefault="005D3B27">
            <w:pPr>
              <w:ind w:left="-113" w:right="-113"/>
              <w:jc w:val="center"/>
              <w:rPr>
                <w:sz w:val="18"/>
                <w:szCs w:val="18"/>
              </w:rPr>
            </w:pPr>
            <w:r w:rsidRPr="001E614B">
              <w:rPr>
                <w:sz w:val="16"/>
                <w:szCs w:val="16"/>
              </w:rPr>
              <w:t>12,4</w:t>
            </w:r>
          </w:p>
        </w:tc>
        <w:tc>
          <w:tcPr>
            <w:tcW w:w="368" w:type="pct"/>
            <w:shd w:val="clear" w:color="auto" w:fill="FFFFFF"/>
            <w:vAlign w:val="center"/>
          </w:tcPr>
          <w:p w14:paraId="56E53443" w14:textId="77777777" w:rsidR="005D3B27" w:rsidRPr="001E614B" w:rsidRDefault="005D3B27">
            <w:pPr>
              <w:ind w:left="-113" w:right="-113"/>
              <w:jc w:val="center"/>
              <w:rPr>
                <w:sz w:val="18"/>
                <w:szCs w:val="18"/>
              </w:rPr>
            </w:pPr>
            <w:r w:rsidRPr="001E614B">
              <w:rPr>
                <w:sz w:val="16"/>
                <w:szCs w:val="16"/>
              </w:rPr>
              <w:t>4,0</w:t>
            </w:r>
          </w:p>
        </w:tc>
        <w:tc>
          <w:tcPr>
            <w:tcW w:w="366" w:type="pct"/>
            <w:shd w:val="clear" w:color="auto" w:fill="FFFFFF"/>
            <w:tcMar>
              <w:left w:w="57" w:type="dxa"/>
              <w:right w:w="57" w:type="dxa"/>
            </w:tcMar>
            <w:vAlign w:val="center"/>
          </w:tcPr>
          <w:p w14:paraId="3212E10E" w14:textId="77777777" w:rsidR="005D3B27" w:rsidRPr="001E614B" w:rsidRDefault="005D3B27">
            <w:pPr>
              <w:ind w:left="-113" w:right="-113"/>
              <w:jc w:val="center"/>
              <w:rPr>
                <w:sz w:val="18"/>
                <w:szCs w:val="18"/>
              </w:rPr>
            </w:pPr>
            <w:r w:rsidRPr="001E614B">
              <w:rPr>
                <w:sz w:val="16"/>
                <w:szCs w:val="16"/>
              </w:rPr>
              <w:t>5,5</w:t>
            </w:r>
          </w:p>
        </w:tc>
        <w:tc>
          <w:tcPr>
            <w:tcW w:w="368" w:type="pct"/>
            <w:shd w:val="clear" w:color="auto" w:fill="FFFFFF"/>
            <w:tcMar>
              <w:left w:w="57" w:type="dxa"/>
              <w:right w:w="57" w:type="dxa"/>
            </w:tcMar>
            <w:vAlign w:val="center"/>
          </w:tcPr>
          <w:p w14:paraId="1950B373" w14:textId="77777777" w:rsidR="005D3B27" w:rsidRPr="001E614B" w:rsidRDefault="005D3B27">
            <w:pPr>
              <w:ind w:left="-113" w:right="-113"/>
              <w:jc w:val="center"/>
              <w:rPr>
                <w:sz w:val="18"/>
                <w:szCs w:val="18"/>
              </w:rPr>
            </w:pPr>
            <w:r w:rsidRPr="001E614B">
              <w:rPr>
                <w:sz w:val="16"/>
                <w:szCs w:val="16"/>
              </w:rPr>
              <w:t>137,5</w:t>
            </w:r>
          </w:p>
        </w:tc>
        <w:tc>
          <w:tcPr>
            <w:tcW w:w="367" w:type="pct"/>
            <w:shd w:val="clear" w:color="auto" w:fill="FFFFFF"/>
            <w:vAlign w:val="center"/>
          </w:tcPr>
          <w:p w14:paraId="480102B1" w14:textId="77777777" w:rsidR="005D3B27" w:rsidRPr="001E614B" w:rsidRDefault="005D3B27">
            <w:pPr>
              <w:ind w:left="-113" w:right="-113"/>
              <w:jc w:val="center"/>
              <w:rPr>
                <w:sz w:val="18"/>
                <w:szCs w:val="18"/>
              </w:rPr>
            </w:pPr>
            <w:r w:rsidRPr="001E614B">
              <w:rPr>
                <w:sz w:val="16"/>
                <w:szCs w:val="16"/>
              </w:rPr>
              <w:t>4,0</w:t>
            </w:r>
          </w:p>
        </w:tc>
        <w:tc>
          <w:tcPr>
            <w:tcW w:w="367" w:type="pct"/>
            <w:shd w:val="clear" w:color="auto" w:fill="FFFFFF"/>
            <w:vAlign w:val="center"/>
          </w:tcPr>
          <w:p w14:paraId="69D117D1" w14:textId="77777777" w:rsidR="005D3B27" w:rsidRPr="001E614B" w:rsidRDefault="005D3B27">
            <w:pPr>
              <w:ind w:left="-113" w:right="-113"/>
              <w:jc w:val="center"/>
              <w:rPr>
                <w:sz w:val="18"/>
                <w:szCs w:val="18"/>
              </w:rPr>
            </w:pPr>
            <w:r w:rsidRPr="001E614B">
              <w:rPr>
                <w:sz w:val="16"/>
                <w:szCs w:val="16"/>
              </w:rPr>
              <w:t>4,0</w:t>
            </w:r>
          </w:p>
        </w:tc>
        <w:tc>
          <w:tcPr>
            <w:tcW w:w="366" w:type="pct"/>
            <w:shd w:val="clear" w:color="auto" w:fill="FFFFFF"/>
            <w:vAlign w:val="center"/>
          </w:tcPr>
          <w:p w14:paraId="158B8CC3" w14:textId="77777777" w:rsidR="005D3B27" w:rsidRPr="001E614B" w:rsidRDefault="005D3B27">
            <w:pPr>
              <w:ind w:left="-113" w:right="-113"/>
              <w:jc w:val="center"/>
              <w:rPr>
                <w:sz w:val="18"/>
                <w:szCs w:val="18"/>
              </w:rPr>
            </w:pPr>
            <w:r w:rsidRPr="001E614B">
              <w:rPr>
                <w:sz w:val="16"/>
                <w:szCs w:val="16"/>
              </w:rPr>
              <w:t>100,0</w:t>
            </w:r>
          </w:p>
        </w:tc>
        <w:tc>
          <w:tcPr>
            <w:tcW w:w="367" w:type="pct"/>
            <w:shd w:val="clear" w:color="auto" w:fill="FFFFFF"/>
            <w:vAlign w:val="center"/>
          </w:tcPr>
          <w:p w14:paraId="25A3D488" w14:textId="77777777" w:rsidR="005D3B27" w:rsidRPr="001E614B" w:rsidRDefault="005D3B27">
            <w:pPr>
              <w:ind w:left="-113" w:right="-113"/>
              <w:jc w:val="center"/>
              <w:rPr>
                <w:sz w:val="18"/>
                <w:szCs w:val="18"/>
              </w:rPr>
            </w:pPr>
            <w:r w:rsidRPr="001E614B">
              <w:rPr>
                <w:sz w:val="16"/>
                <w:szCs w:val="16"/>
              </w:rPr>
              <w:t>4,0</w:t>
            </w:r>
          </w:p>
        </w:tc>
        <w:tc>
          <w:tcPr>
            <w:tcW w:w="515" w:type="pct"/>
            <w:shd w:val="clear" w:color="auto" w:fill="FFFFFF"/>
            <w:vAlign w:val="center"/>
          </w:tcPr>
          <w:p w14:paraId="191D2805" w14:textId="77777777" w:rsidR="005D3B27" w:rsidRPr="001E614B" w:rsidRDefault="005D3B27">
            <w:pPr>
              <w:ind w:left="-113" w:right="-113"/>
              <w:jc w:val="center"/>
              <w:rPr>
                <w:sz w:val="18"/>
                <w:szCs w:val="18"/>
              </w:rPr>
            </w:pPr>
            <w:r w:rsidRPr="001E614B">
              <w:rPr>
                <w:sz w:val="16"/>
                <w:szCs w:val="16"/>
              </w:rPr>
              <w:t>100,0</w:t>
            </w:r>
          </w:p>
        </w:tc>
      </w:tr>
      <w:tr w:rsidR="005D3B27" w:rsidRPr="001E614B" w14:paraId="34F3E9A8" w14:textId="77777777">
        <w:trPr>
          <w:trHeight w:val="267"/>
          <w:jc w:val="center"/>
        </w:trPr>
        <w:tc>
          <w:tcPr>
            <w:tcW w:w="1179" w:type="pct"/>
            <w:shd w:val="clear" w:color="auto" w:fill="auto"/>
            <w:vAlign w:val="center"/>
          </w:tcPr>
          <w:p w14:paraId="07397E3D" w14:textId="77777777" w:rsidR="005D3B27" w:rsidRPr="001E614B" w:rsidRDefault="005D3B27">
            <w:pPr>
              <w:ind w:left="-57" w:right="-57"/>
              <w:textAlignment w:val="center"/>
              <w:rPr>
                <w:kern w:val="24"/>
                <w:sz w:val="16"/>
                <w:szCs w:val="16"/>
              </w:rPr>
            </w:pPr>
            <w:r w:rsidRPr="001E614B">
              <w:rPr>
                <w:kern w:val="24"/>
                <w:sz w:val="16"/>
                <w:szCs w:val="16"/>
              </w:rPr>
              <w:t>Курс доллара, рублей за доллар США</w:t>
            </w:r>
          </w:p>
        </w:tc>
        <w:tc>
          <w:tcPr>
            <w:tcW w:w="368" w:type="pct"/>
            <w:shd w:val="clear" w:color="auto" w:fill="FFFFFF"/>
            <w:vAlign w:val="center"/>
          </w:tcPr>
          <w:p w14:paraId="43AC90F9" w14:textId="77777777" w:rsidR="005D3B27" w:rsidRPr="001E614B" w:rsidRDefault="005D3B27">
            <w:pPr>
              <w:ind w:left="-113" w:right="-113"/>
              <w:jc w:val="center"/>
              <w:rPr>
                <w:sz w:val="18"/>
                <w:szCs w:val="18"/>
              </w:rPr>
            </w:pPr>
            <w:r w:rsidRPr="001E614B">
              <w:rPr>
                <w:sz w:val="16"/>
                <w:szCs w:val="16"/>
              </w:rPr>
              <w:t>73,6</w:t>
            </w:r>
          </w:p>
        </w:tc>
        <w:tc>
          <w:tcPr>
            <w:tcW w:w="368" w:type="pct"/>
            <w:shd w:val="clear" w:color="auto" w:fill="FFFFFF"/>
            <w:vAlign w:val="center"/>
          </w:tcPr>
          <w:p w14:paraId="4E427DBE" w14:textId="77777777" w:rsidR="005D3B27" w:rsidRPr="001E614B" w:rsidRDefault="005D3B27">
            <w:pPr>
              <w:ind w:left="-113" w:right="-113"/>
              <w:jc w:val="center"/>
              <w:rPr>
                <w:sz w:val="18"/>
                <w:szCs w:val="18"/>
              </w:rPr>
            </w:pPr>
            <w:r w:rsidRPr="001E614B">
              <w:rPr>
                <w:sz w:val="16"/>
                <w:szCs w:val="16"/>
              </w:rPr>
              <w:t>68,1</w:t>
            </w:r>
          </w:p>
        </w:tc>
        <w:tc>
          <w:tcPr>
            <w:tcW w:w="368" w:type="pct"/>
            <w:shd w:val="clear" w:color="auto" w:fill="FFFFFF"/>
            <w:vAlign w:val="center"/>
          </w:tcPr>
          <w:p w14:paraId="67DEC155" w14:textId="77777777" w:rsidR="005D3B27" w:rsidRPr="001E614B" w:rsidRDefault="005D3B27">
            <w:pPr>
              <w:ind w:left="-113" w:right="-113"/>
              <w:jc w:val="center"/>
              <w:rPr>
                <w:sz w:val="18"/>
                <w:szCs w:val="18"/>
              </w:rPr>
            </w:pPr>
            <w:r w:rsidRPr="001E614B">
              <w:rPr>
                <w:sz w:val="16"/>
                <w:szCs w:val="16"/>
              </w:rPr>
              <w:t>72,7</w:t>
            </w:r>
          </w:p>
        </w:tc>
        <w:tc>
          <w:tcPr>
            <w:tcW w:w="366" w:type="pct"/>
            <w:shd w:val="clear" w:color="auto" w:fill="FFFFFF"/>
            <w:tcMar>
              <w:left w:w="57" w:type="dxa"/>
              <w:right w:w="57" w:type="dxa"/>
            </w:tcMar>
            <w:vAlign w:val="center"/>
          </w:tcPr>
          <w:p w14:paraId="67ABB584" w14:textId="77777777" w:rsidR="005D3B27" w:rsidRPr="001E614B" w:rsidRDefault="005D3B27">
            <w:pPr>
              <w:ind w:left="-113" w:right="-113"/>
              <w:jc w:val="center"/>
              <w:rPr>
                <w:sz w:val="18"/>
                <w:szCs w:val="18"/>
              </w:rPr>
            </w:pPr>
            <w:r w:rsidRPr="001E614B">
              <w:rPr>
                <w:sz w:val="16"/>
                <w:szCs w:val="16"/>
              </w:rPr>
              <w:t>68,3</w:t>
            </w:r>
          </w:p>
        </w:tc>
        <w:tc>
          <w:tcPr>
            <w:tcW w:w="368" w:type="pct"/>
            <w:shd w:val="clear" w:color="auto" w:fill="FFFFFF"/>
            <w:tcMar>
              <w:left w:w="57" w:type="dxa"/>
              <w:right w:w="57" w:type="dxa"/>
            </w:tcMar>
            <w:vAlign w:val="center"/>
          </w:tcPr>
          <w:p w14:paraId="415F6869" w14:textId="77777777" w:rsidR="005D3B27" w:rsidRPr="001E614B" w:rsidRDefault="005D3B27">
            <w:pPr>
              <w:ind w:left="-113" w:right="-113"/>
              <w:jc w:val="center"/>
              <w:rPr>
                <w:sz w:val="18"/>
                <w:szCs w:val="18"/>
              </w:rPr>
            </w:pPr>
            <w:r w:rsidRPr="001E614B">
              <w:rPr>
                <w:sz w:val="16"/>
                <w:szCs w:val="16"/>
              </w:rPr>
              <w:t>94,0</w:t>
            </w:r>
          </w:p>
        </w:tc>
        <w:tc>
          <w:tcPr>
            <w:tcW w:w="367" w:type="pct"/>
            <w:shd w:val="clear" w:color="auto" w:fill="FFFFFF"/>
            <w:vAlign w:val="center"/>
          </w:tcPr>
          <w:p w14:paraId="04356DB9" w14:textId="77777777" w:rsidR="005D3B27" w:rsidRPr="001E614B" w:rsidRDefault="005D3B27">
            <w:pPr>
              <w:ind w:left="-113" w:right="-113"/>
              <w:jc w:val="center"/>
              <w:rPr>
                <w:sz w:val="18"/>
                <w:szCs w:val="18"/>
              </w:rPr>
            </w:pPr>
            <w:r w:rsidRPr="001E614B">
              <w:rPr>
                <w:sz w:val="16"/>
                <w:szCs w:val="16"/>
              </w:rPr>
              <w:t>73,6</w:t>
            </w:r>
          </w:p>
        </w:tc>
        <w:tc>
          <w:tcPr>
            <w:tcW w:w="367" w:type="pct"/>
            <w:shd w:val="clear" w:color="auto" w:fill="FFFFFF"/>
            <w:vAlign w:val="center"/>
          </w:tcPr>
          <w:p w14:paraId="10BF0310" w14:textId="77777777" w:rsidR="005D3B27" w:rsidRPr="001E614B" w:rsidRDefault="005D3B27">
            <w:pPr>
              <w:ind w:left="-113" w:right="-113"/>
              <w:jc w:val="center"/>
              <w:rPr>
                <w:sz w:val="18"/>
                <w:szCs w:val="18"/>
              </w:rPr>
            </w:pPr>
            <w:r w:rsidRPr="001E614B">
              <w:rPr>
                <w:sz w:val="16"/>
                <w:szCs w:val="16"/>
              </w:rPr>
              <w:t>70,9</w:t>
            </w:r>
          </w:p>
        </w:tc>
        <w:tc>
          <w:tcPr>
            <w:tcW w:w="366" w:type="pct"/>
            <w:shd w:val="clear" w:color="auto" w:fill="FFFFFF"/>
            <w:vAlign w:val="center"/>
          </w:tcPr>
          <w:p w14:paraId="0AE540C7" w14:textId="77777777" w:rsidR="005D3B27" w:rsidRPr="001E614B" w:rsidRDefault="005D3B27">
            <w:pPr>
              <w:ind w:left="-113" w:right="-113"/>
              <w:jc w:val="center"/>
              <w:rPr>
                <w:sz w:val="18"/>
                <w:szCs w:val="18"/>
              </w:rPr>
            </w:pPr>
            <w:r w:rsidRPr="001E614B">
              <w:rPr>
                <w:sz w:val="16"/>
                <w:szCs w:val="16"/>
              </w:rPr>
              <w:t>96,4</w:t>
            </w:r>
          </w:p>
        </w:tc>
        <w:tc>
          <w:tcPr>
            <w:tcW w:w="367" w:type="pct"/>
            <w:shd w:val="clear" w:color="auto" w:fill="FFFFFF"/>
            <w:vAlign w:val="center"/>
          </w:tcPr>
          <w:p w14:paraId="17F2BC1B" w14:textId="77777777" w:rsidR="005D3B27" w:rsidRPr="001E614B" w:rsidRDefault="005D3B27">
            <w:pPr>
              <w:ind w:left="-113" w:right="-113"/>
              <w:jc w:val="center"/>
              <w:rPr>
                <w:sz w:val="18"/>
                <w:szCs w:val="18"/>
              </w:rPr>
            </w:pPr>
            <w:r w:rsidRPr="001E614B">
              <w:rPr>
                <w:sz w:val="16"/>
                <w:szCs w:val="16"/>
              </w:rPr>
              <w:t>72,2</w:t>
            </w:r>
          </w:p>
        </w:tc>
        <w:tc>
          <w:tcPr>
            <w:tcW w:w="515" w:type="pct"/>
            <w:shd w:val="clear" w:color="auto" w:fill="FFFFFF"/>
            <w:vAlign w:val="center"/>
          </w:tcPr>
          <w:p w14:paraId="562718EC" w14:textId="77777777" w:rsidR="005D3B27" w:rsidRPr="001E614B" w:rsidRDefault="005D3B27">
            <w:pPr>
              <w:ind w:left="-113" w:right="-113"/>
              <w:jc w:val="center"/>
              <w:rPr>
                <w:sz w:val="18"/>
                <w:szCs w:val="18"/>
              </w:rPr>
            </w:pPr>
            <w:r w:rsidRPr="001E614B">
              <w:rPr>
                <w:sz w:val="16"/>
                <w:szCs w:val="16"/>
              </w:rPr>
              <w:t>101,9</w:t>
            </w:r>
          </w:p>
        </w:tc>
      </w:tr>
    </w:tbl>
    <w:p w14:paraId="0C57964B" w14:textId="1DC20366" w:rsidR="005D3B27" w:rsidRPr="00223C8F" w:rsidRDefault="005D3B27" w:rsidP="00223C8F">
      <w:pPr>
        <w:autoSpaceDE w:val="0"/>
        <w:autoSpaceDN w:val="0"/>
        <w:adjustRightInd w:val="0"/>
        <w:spacing w:line="360" w:lineRule="auto"/>
        <w:ind w:firstLine="567"/>
        <w:contextualSpacing/>
        <w:jc w:val="both"/>
        <w:rPr>
          <w:rFonts w:cs="Arial"/>
          <w:sz w:val="20"/>
          <w:szCs w:val="20"/>
        </w:rPr>
      </w:pPr>
      <w:r w:rsidRPr="00223C8F">
        <w:rPr>
          <w:rFonts w:eastAsia="Calibri"/>
          <w:i/>
          <w:sz w:val="20"/>
          <w:szCs w:val="20"/>
        </w:rPr>
        <w:t>Источник</w:t>
      </w:r>
      <w:r w:rsidR="00223C8F">
        <w:rPr>
          <w:rFonts w:eastAsia="Calibri"/>
          <w:sz w:val="20"/>
          <w:szCs w:val="20"/>
        </w:rPr>
        <w:t xml:space="preserve">: Пояснительная записка, </w:t>
      </w:r>
      <w:r w:rsidRPr="00223C8F">
        <w:rPr>
          <w:sz w:val="20"/>
          <w:szCs w:val="20"/>
          <w:lang w:val="en-US"/>
        </w:rPr>
        <w:t>c</w:t>
      </w:r>
      <w:r w:rsidRPr="00223C8F">
        <w:rPr>
          <w:sz w:val="20"/>
          <w:szCs w:val="20"/>
        </w:rPr>
        <w:t>. 26.</w:t>
      </w:r>
    </w:p>
    <w:p w14:paraId="172D80EF" w14:textId="2A1A78DB" w:rsidR="005D3B27" w:rsidRPr="001E614B" w:rsidRDefault="005D3B27" w:rsidP="00DC5282">
      <w:pPr>
        <w:autoSpaceDE w:val="0"/>
        <w:autoSpaceDN w:val="0"/>
        <w:adjustRightInd w:val="0"/>
        <w:spacing w:line="360" w:lineRule="auto"/>
        <w:ind w:firstLine="709"/>
        <w:contextualSpacing/>
        <w:jc w:val="both"/>
        <w:rPr>
          <w:rFonts w:cs="Arial"/>
          <w:sz w:val="28"/>
          <w:szCs w:val="28"/>
        </w:rPr>
      </w:pPr>
      <w:r w:rsidRPr="001E614B">
        <w:rPr>
          <w:rFonts w:cs="Arial"/>
          <w:sz w:val="28"/>
          <w:szCs w:val="28"/>
        </w:rPr>
        <w:t xml:space="preserve">Из таблицы </w:t>
      </w:r>
      <w:r w:rsidR="00901ACF">
        <w:rPr>
          <w:rFonts w:cs="Arial"/>
          <w:sz w:val="28"/>
          <w:szCs w:val="28"/>
        </w:rPr>
        <w:t>2</w:t>
      </w:r>
      <w:r w:rsidRPr="001E614B">
        <w:rPr>
          <w:rFonts w:cs="Arial"/>
          <w:sz w:val="28"/>
          <w:szCs w:val="28"/>
        </w:rPr>
        <w:t xml:space="preserve"> следует, </w:t>
      </w:r>
      <w:proofErr w:type="gramStart"/>
      <w:r w:rsidRPr="001E614B">
        <w:rPr>
          <w:rFonts w:cs="Arial"/>
          <w:sz w:val="28"/>
          <w:szCs w:val="28"/>
        </w:rPr>
        <w:t>что</w:t>
      </w:r>
      <w:proofErr w:type="gramEnd"/>
      <w:r w:rsidRPr="001E614B">
        <w:rPr>
          <w:rFonts w:cs="Arial"/>
          <w:sz w:val="28"/>
          <w:szCs w:val="28"/>
        </w:rPr>
        <w:t xml:space="preserve"> несмотря на кардинальное изменение внешних условий в 2022 году – </w:t>
      </w:r>
      <w:r w:rsidRPr="001E614B">
        <w:rPr>
          <w:sz w:val="28"/>
          <w:szCs w:val="28"/>
        </w:rPr>
        <w:t xml:space="preserve">резкое ограничение внешней торговли, затруднения в закупках и сырья, и комплектующих, объявления о прекращении поставок ряда зарубежных товаров на российский рынок, действие беспрецедентных финансовых ограничений, </w:t>
      </w:r>
      <w:r w:rsidRPr="001E614B">
        <w:rPr>
          <w:rFonts w:cs="Arial"/>
          <w:sz w:val="28"/>
          <w:szCs w:val="28"/>
        </w:rPr>
        <w:t xml:space="preserve">благодаря реализации широкомасштабного антикризисного пакета мер государственной поддержки, снижение российской экономики прогнозируется более сдержанными темпами, чем предполагали первоначальные оценки и масштаб внешнего шока. По предварительным данным, в I полугодии 2022 года </w:t>
      </w:r>
      <w:r w:rsidRPr="001E614B">
        <w:rPr>
          <w:sz w:val="28"/>
          <w:szCs w:val="28"/>
        </w:rPr>
        <w:t xml:space="preserve">темпы роста ВВП сократились на сдержанные </w:t>
      </w:r>
      <w:r w:rsidRPr="001E614B">
        <w:rPr>
          <w:rFonts w:cs="Arial"/>
          <w:sz w:val="28"/>
          <w:szCs w:val="28"/>
        </w:rPr>
        <w:t>0,4% г/г (+3,5% в I квартале и - 4,1% во II квартале 2021 года соответственно). Снижение ВВП по итогам 2022 года</w:t>
      </w:r>
      <w:r w:rsidRPr="001E614B">
        <w:rPr>
          <w:rFonts w:eastAsia="Calibri"/>
        </w:rPr>
        <w:t xml:space="preserve"> </w:t>
      </w:r>
      <w:r w:rsidRPr="001E614B">
        <w:rPr>
          <w:rFonts w:cs="Arial"/>
          <w:sz w:val="28"/>
          <w:szCs w:val="28"/>
        </w:rPr>
        <w:t>в условиях вынужденного разрыва ряда производственных процессов и сокращения внутреннего спроса (как потребительского, так и инвестиционного) оценивается на уровне умеренных 2,9%.</w:t>
      </w:r>
      <w:r w:rsidRPr="001E614B">
        <w:rPr>
          <w:rFonts w:eastAsia="Calibri"/>
        </w:rPr>
        <w:t xml:space="preserve"> </w:t>
      </w:r>
      <w:r w:rsidRPr="001E614B">
        <w:rPr>
          <w:rFonts w:cs="Arial"/>
          <w:sz w:val="28"/>
          <w:szCs w:val="28"/>
        </w:rPr>
        <w:t xml:space="preserve">По мере исчерпания шоков спроса и предложения ожидается, что спад экономики замедлится до 0,8% в 2023 году. В 2024-2025 </w:t>
      </w:r>
      <w:proofErr w:type="gramStart"/>
      <w:r w:rsidRPr="001E614B">
        <w:rPr>
          <w:rFonts w:cs="Arial"/>
          <w:sz w:val="28"/>
          <w:szCs w:val="28"/>
        </w:rPr>
        <w:t>г</w:t>
      </w:r>
      <w:r w:rsidR="00DE7089">
        <w:rPr>
          <w:rFonts w:cs="Arial"/>
          <w:sz w:val="28"/>
          <w:szCs w:val="28"/>
        </w:rPr>
        <w:t>одах</w:t>
      </w:r>
      <w:proofErr w:type="gramEnd"/>
      <w:r w:rsidRPr="001E614B">
        <w:rPr>
          <w:rFonts w:cs="Arial"/>
          <w:sz w:val="28"/>
          <w:szCs w:val="28"/>
        </w:rPr>
        <w:t>, в том числе благодаря реализации мер экономической политики, направленных на содействие адаптации к происходящим структурным изменениям, прогнозируется восстановительный рост (+2,6% ежегодно)</w:t>
      </w:r>
      <w:r w:rsidR="00DE7089">
        <w:rPr>
          <w:rStyle w:val="aa"/>
          <w:rFonts w:cs="Arial"/>
          <w:sz w:val="28"/>
          <w:szCs w:val="28"/>
        </w:rPr>
        <w:footnoteReference w:id="4"/>
      </w:r>
      <w:r w:rsidRPr="001E614B">
        <w:rPr>
          <w:sz w:val="28"/>
          <w:szCs w:val="20"/>
        </w:rPr>
        <w:t>.</w:t>
      </w:r>
    </w:p>
    <w:p w14:paraId="47B80174" w14:textId="7C9F6A1E" w:rsidR="005D3B27" w:rsidRPr="001E614B" w:rsidRDefault="005D3B27" w:rsidP="00DC5282">
      <w:pPr>
        <w:autoSpaceDE w:val="0"/>
        <w:autoSpaceDN w:val="0"/>
        <w:adjustRightInd w:val="0"/>
        <w:spacing w:line="360" w:lineRule="auto"/>
        <w:ind w:firstLine="709"/>
        <w:contextualSpacing/>
        <w:jc w:val="both"/>
        <w:rPr>
          <w:rFonts w:cs="Arial"/>
          <w:sz w:val="28"/>
          <w:szCs w:val="28"/>
        </w:rPr>
      </w:pPr>
      <w:r w:rsidRPr="001E614B">
        <w:rPr>
          <w:rFonts w:cs="Arial"/>
          <w:sz w:val="28"/>
          <w:szCs w:val="28"/>
        </w:rPr>
        <w:t xml:space="preserve">После резкого всплеска потребительских цен в марте-апреле 2022 года благодаря стабилизации на финансовых рынках и укреплению рубля, реализации внешнеторговых антикризисных мер (направленных на обеспечение баланса ключевых продовольственных рынков), коррекции чрезмерно выросших </w:t>
      </w:r>
      <w:r w:rsidR="004327DD">
        <w:rPr>
          <w:rFonts w:cs="Arial"/>
          <w:sz w:val="28"/>
          <w:szCs w:val="28"/>
        </w:rPr>
        <w:t xml:space="preserve">за </w:t>
      </w:r>
      <w:r w:rsidRPr="001E614B">
        <w:rPr>
          <w:rFonts w:cs="Arial"/>
          <w:sz w:val="28"/>
          <w:szCs w:val="28"/>
        </w:rPr>
        <w:t>предыдущи</w:t>
      </w:r>
      <w:r w:rsidR="004327DD">
        <w:rPr>
          <w:rFonts w:cs="Arial"/>
          <w:sz w:val="28"/>
          <w:szCs w:val="28"/>
        </w:rPr>
        <w:t>е</w:t>
      </w:r>
      <w:r w:rsidRPr="001E614B">
        <w:rPr>
          <w:rFonts w:cs="Arial"/>
          <w:sz w:val="28"/>
          <w:szCs w:val="28"/>
        </w:rPr>
        <w:t xml:space="preserve"> месяц</w:t>
      </w:r>
      <w:r w:rsidR="004327DD">
        <w:rPr>
          <w:rFonts w:cs="Arial"/>
          <w:sz w:val="28"/>
          <w:szCs w:val="28"/>
        </w:rPr>
        <w:t xml:space="preserve">ы </w:t>
      </w:r>
      <w:r w:rsidR="004327DD" w:rsidRPr="001E614B">
        <w:rPr>
          <w:rFonts w:cs="Arial"/>
          <w:sz w:val="28"/>
          <w:szCs w:val="28"/>
        </w:rPr>
        <w:t>цен</w:t>
      </w:r>
      <w:r w:rsidRPr="001E614B">
        <w:rPr>
          <w:rFonts w:cs="Arial"/>
          <w:sz w:val="28"/>
          <w:szCs w:val="28"/>
        </w:rPr>
        <w:t xml:space="preserve"> и сдержанной динамике потребительского спроса, темпы роста цен постепенно нормализовались. Тем не менее, в условиях импортных ограничений и перестройки производственно-логистических цепочек ожидается, что сжатие предложения будет более серьезным, чем сокращение спроса. Это создаст повышенное инфляционное давление на протяжении 2022-2023 г</w:t>
      </w:r>
      <w:r w:rsidR="00397805">
        <w:rPr>
          <w:rFonts w:cs="Arial"/>
          <w:sz w:val="28"/>
          <w:szCs w:val="28"/>
        </w:rPr>
        <w:t>одов</w:t>
      </w:r>
      <w:r w:rsidRPr="001E614B">
        <w:rPr>
          <w:rFonts w:cs="Arial"/>
          <w:sz w:val="28"/>
          <w:szCs w:val="28"/>
        </w:rPr>
        <w:t xml:space="preserve"> (12,4% и 5,5% соответственно). В </w:t>
      </w:r>
      <w:proofErr w:type="gramStart"/>
      <w:r w:rsidRPr="001E614B">
        <w:rPr>
          <w:rFonts w:cs="Arial"/>
          <w:sz w:val="28"/>
          <w:szCs w:val="28"/>
        </w:rPr>
        <w:t>дальнейшем</w:t>
      </w:r>
      <w:proofErr w:type="gramEnd"/>
      <w:r w:rsidRPr="001E614B">
        <w:rPr>
          <w:rFonts w:cs="Arial"/>
          <w:sz w:val="28"/>
          <w:szCs w:val="28"/>
        </w:rPr>
        <w:t xml:space="preserve"> режим </w:t>
      </w:r>
      <w:proofErr w:type="spellStart"/>
      <w:r w:rsidRPr="001E614B">
        <w:rPr>
          <w:rFonts w:cs="Arial"/>
          <w:sz w:val="28"/>
          <w:szCs w:val="28"/>
        </w:rPr>
        <w:t>таргетирования</w:t>
      </w:r>
      <w:proofErr w:type="spellEnd"/>
      <w:r w:rsidRPr="001E614B">
        <w:rPr>
          <w:rFonts w:cs="Arial"/>
          <w:sz w:val="28"/>
          <w:szCs w:val="28"/>
        </w:rPr>
        <w:t xml:space="preserve"> инфляции и </w:t>
      </w:r>
      <w:r w:rsidR="00397805">
        <w:rPr>
          <w:rFonts w:cs="Arial"/>
          <w:sz w:val="28"/>
          <w:szCs w:val="28"/>
        </w:rPr>
        <w:t xml:space="preserve">действие </w:t>
      </w:r>
      <w:r w:rsidRPr="001E614B">
        <w:rPr>
          <w:rFonts w:cs="Arial"/>
          <w:sz w:val="28"/>
          <w:szCs w:val="28"/>
        </w:rPr>
        <w:t>обновле</w:t>
      </w:r>
      <w:r w:rsidR="00397805">
        <w:rPr>
          <w:rFonts w:cs="Arial"/>
          <w:sz w:val="28"/>
          <w:szCs w:val="28"/>
        </w:rPr>
        <w:t>нной</w:t>
      </w:r>
      <w:r w:rsidRPr="001E614B">
        <w:rPr>
          <w:rFonts w:cs="Arial"/>
          <w:sz w:val="28"/>
          <w:szCs w:val="28"/>
        </w:rPr>
        <w:t xml:space="preserve"> конструкции «бюджетных правил» с 2023 года</w:t>
      </w:r>
      <w:r w:rsidR="00397805">
        <w:rPr>
          <w:rFonts w:cs="Arial"/>
          <w:sz w:val="28"/>
          <w:szCs w:val="28"/>
        </w:rPr>
        <w:t xml:space="preserve"> должны привести </w:t>
      </w:r>
      <w:r w:rsidRPr="001E614B">
        <w:rPr>
          <w:rFonts w:cs="Arial"/>
          <w:sz w:val="28"/>
          <w:szCs w:val="28"/>
        </w:rPr>
        <w:t>к возвращению инфляции к целевому ориентиру в 4%</w:t>
      </w:r>
      <w:r w:rsidR="00397805">
        <w:rPr>
          <w:rStyle w:val="aa"/>
          <w:rFonts w:cs="Arial"/>
          <w:sz w:val="28"/>
          <w:szCs w:val="28"/>
        </w:rPr>
        <w:footnoteReference w:id="5"/>
      </w:r>
      <w:r w:rsidRPr="001E614B">
        <w:rPr>
          <w:sz w:val="28"/>
          <w:szCs w:val="20"/>
        </w:rPr>
        <w:t>.</w:t>
      </w:r>
    </w:p>
    <w:p w14:paraId="6E7A9C4C" w14:textId="6CD1F2A1" w:rsidR="005D3B27" w:rsidRDefault="0085442D" w:rsidP="00DC5282">
      <w:pPr>
        <w:widowControl w:val="0"/>
        <w:autoSpaceDE w:val="0"/>
        <w:autoSpaceDN w:val="0"/>
        <w:adjustRightInd w:val="0"/>
        <w:spacing w:line="360" w:lineRule="auto"/>
        <w:ind w:firstLine="709"/>
        <w:jc w:val="both"/>
        <w:rPr>
          <w:sz w:val="28"/>
          <w:szCs w:val="20"/>
        </w:rPr>
      </w:pPr>
      <w:proofErr w:type="gramStart"/>
      <w:r>
        <w:rPr>
          <w:sz w:val="28"/>
          <w:szCs w:val="20"/>
        </w:rPr>
        <w:t>П</w:t>
      </w:r>
      <w:r w:rsidR="005D3B27" w:rsidRPr="001E614B">
        <w:rPr>
          <w:sz w:val="28"/>
          <w:szCs w:val="20"/>
        </w:rPr>
        <w:t xml:space="preserve">о мнению составителей </w:t>
      </w:r>
      <w:r>
        <w:rPr>
          <w:sz w:val="28"/>
          <w:szCs w:val="20"/>
        </w:rPr>
        <w:t>Законопроекта</w:t>
      </w:r>
      <w:r w:rsidR="005D3B27" w:rsidRPr="001E614B">
        <w:rPr>
          <w:sz w:val="28"/>
          <w:szCs w:val="20"/>
        </w:rPr>
        <w:t xml:space="preserve">, основные параметры баланса </w:t>
      </w:r>
      <w:r>
        <w:rPr>
          <w:sz w:val="28"/>
          <w:szCs w:val="20"/>
        </w:rPr>
        <w:t xml:space="preserve">к 2025 году </w:t>
      </w:r>
      <w:r w:rsidR="005D3B27" w:rsidRPr="001E614B">
        <w:rPr>
          <w:sz w:val="28"/>
          <w:szCs w:val="20"/>
        </w:rPr>
        <w:t>выходят на безопасный уровень, при этом основным драйвером экономического роста в среднесрочном периоде должен стать потребительский спрос, темп роста которого на всем прогнозном интервале будет колеб</w:t>
      </w:r>
      <w:r w:rsidR="009C4461">
        <w:rPr>
          <w:sz w:val="28"/>
          <w:szCs w:val="20"/>
        </w:rPr>
        <w:t>аться в диапазоне с 2,6% до 3,1%</w:t>
      </w:r>
      <w:r w:rsidR="005D3B27" w:rsidRPr="001E614B">
        <w:rPr>
          <w:sz w:val="28"/>
          <w:szCs w:val="20"/>
        </w:rPr>
        <w:t xml:space="preserve">. Между тем, Счетная палата </w:t>
      </w:r>
      <w:r>
        <w:rPr>
          <w:sz w:val="28"/>
          <w:szCs w:val="20"/>
        </w:rPr>
        <w:t>указывает на</w:t>
      </w:r>
      <w:r w:rsidR="005D3B27" w:rsidRPr="001E614B">
        <w:rPr>
          <w:sz w:val="28"/>
          <w:szCs w:val="20"/>
        </w:rPr>
        <w:t xml:space="preserve"> риски достижения подобных темпо</w:t>
      </w:r>
      <w:r>
        <w:rPr>
          <w:sz w:val="28"/>
          <w:szCs w:val="20"/>
        </w:rPr>
        <w:t>в роста</w:t>
      </w:r>
      <w:r w:rsidR="005D3B27" w:rsidRPr="001E614B">
        <w:rPr>
          <w:rStyle w:val="aa"/>
          <w:szCs w:val="20"/>
        </w:rPr>
        <w:footnoteReference w:id="6"/>
      </w:r>
      <w:r w:rsidR="005D3B27" w:rsidRPr="001E614B">
        <w:rPr>
          <w:sz w:val="28"/>
          <w:szCs w:val="20"/>
        </w:rPr>
        <w:t>. Заметные изменения планируются в доходной части бюджетной</w:t>
      </w:r>
      <w:proofErr w:type="gramEnd"/>
      <w:r w:rsidR="005D3B27" w:rsidRPr="001E614B">
        <w:rPr>
          <w:sz w:val="28"/>
          <w:szCs w:val="20"/>
        </w:rPr>
        <w:t xml:space="preserve"> системы, при которой доходы бюджета по отношению к ВВП снизятся с 19,0% в текущем году до 16,4% в 2025 году.</w:t>
      </w:r>
      <w:r w:rsidR="005D3B27" w:rsidRPr="001E614B">
        <w:t xml:space="preserve"> </w:t>
      </w:r>
      <w:r w:rsidR="005D3B27" w:rsidRPr="001E614B">
        <w:rPr>
          <w:sz w:val="28"/>
          <w:szCs w:val="20"/>
        </w:rPr>
        <w:t xml:space="preserve">Основными источниками финансирования дефицита федерального бюджета в трехлетнем периоде будут выступать государственные заимствования Российской Федерации. В связи с этим, государственный долг по прогнозу увеличится с 16,0% ВВП в 2022 году до 17,5% в 2025 году, что </w:t>
      </w:r>
      <w:r w:rsidR="00D80A8B">
        <w:rPr>
          <w:sz w:val="28"/>
          <w:szCs w:val="20"/>
        </w:rPr>
        <w:t>считается</w:t>
      </w:r>
      <w:r w:rsidR="005D3B27" w:rsidRPr="001E614B">
        <w:rPr>
          <w:sz w:val="28"/>
          <w:szCs w:val="20"/>
        </w:rPr>
        <w:t xml:space="preserve"> умеренным и безопасным для финансовой устойчивости бюджетной системы.</w:t>
      </w:r>
    </w:p>
    <w:p w14:paraId="70CB0B50" w14:textId="6FC9354E" w:rsidR="005D3B27" w:rsidRPr="001E614B" w:rsidRDefault="005D3B27" w:rsidP="00DC5282">
      <w:pPr>
        <w:widowControl w:val="0"/>
        <w:autoSpaceDE w:val="0"/>
        <w:autoSpaceDN w:val="0"/>
        <w:adjustRightInd w:val="0"/>
        <w:spacing w:line="360" w:lineRule="auto"/>
        <w:ind w:firstLine="709"/>
        <w:jc w:val="both"/>
        <w:rPr>
          <w:sz w:val="28"/>
          <w:szCs w:val="20"/>
        </w:rPr>
      </w:pPr>
      <w:r w:rsidRPr="001E614B">
        <w:rPr>
          <w:sz w:val="28"/>
          <w:szCs w:val="20"/>
        </w:rPr>
        <w:t xml:space="preserve">Реальные располагаемые </w:t>
      </w:r>
      <w:proofErr w:type="gramStart"/>
      <w:r w:rsidRPr="001E614B">
        <w:rPr>
          <w:sz w:val="28"/>
          <w:szCs w:val="20"/>
        </w:rPr>
        <w:t>доходы</w:t>
      </w:r>
      <w:proofErr w:type="gramEnd"/>
      <w:r w:rsidRPr="001E614B">
        <w:rPr>
          <w:sz w:val="28"/>
          <w:szCs w:val="20"/>
        </w:rPr>
        <w:t xml:space="preserve"> достигнут положительной динамики уже в следующем году, в 2023 году </w:t>
      </w:r>
      <w:r w:rsidR="00E574AF">
        <w:rPr>
          <w:sz w:val="28"/>
          <w:szCs w:val="20"/>
        </w:rPr>
        <w:t>их прирост</w:t>
      </w:r>
      <w:r w:rsidRPr="001E614B">
        <w:rPr>
          <w:sz w:val="28"/>
          <w:szCs w:val="20"/>
        </w:rPr>
        <w:t xml:space="preserve"> составит 1,6%, а в трехлетнем периоде реальные располагаемые доходы будут иметь положительную динамику, что вызывает определенный устойчивый скепсис, вызванный тем, что уже на протяжении восьми лет реальные доходы</w:t>
      </w:r>
      <w:r w:rsidR="00D80A8B">
        <w:rPr>
          <w:sz w:val="28"/>
          <w:szCs w:val="20"/>
        </w:rPr>
        <w:t xml:space="preserve"> населения</w:t>
      </w:r>
      <w:r w:rsidRPr="001E614B">
        <w:rPr>
          <w:sz w:val="28"/>
          <w:szCs w:val="20"/>
        </w:rPr>
        <w:t xml:space="preserve"> падают, цены растут.</w:t>
      </w:r>
      <w:r w:rsidR="00E574AF">
        <w:rPr>
          <w:sz w:val="28"/>
          <w:szCs w:val="20"/>
        </w:rPr>
        <w:t xml:space="preserve"> В </w:t>
      </w:r>
      <w:proofErr w:type="gramStart"/>
      <w:r w:rsidR="00E574AF">
        <w:rPr>
          <w:sz w:val="28"/>
          <w:szCs w:val="20"/>
        </w:rPr>
        <w:t>условиях</w:t>
      </w:r>
      <w:proofErr w:type="gramEnd"/>
      <w:r w:rsidR="00E574AF">
        <w:rPr>
          <w:sz w:val="28"/>
          <w:szCs w:val="20"/>
        </w:rPr>
        <w:t xml:space="preserve"> ограниченных возможностей бюджета по финансированию социальных расходов особое значение приобретают меры, направленные на сдерживание инфляции.</w:t>
      </w:r>
    </w:p>
    <w:p w14:paraId="24FFD837" w14:textId="6FA47D9E" w:rsidR="005D3B27" w:rsidRDefault="005D3B27"/>
    <w:p w14:paraId="15DC5F0A" w14:textId="74E2BAD6" w:rsidR="00D80A8B" w:rsidRPr="0096730A" w:rsidRDefault="00D80A8B" w:rsidP="0096730A">
      <w:pPr>
        <w:pStyle w:val="a4"/>
        <w:numPr>
          <w:ilvl w:val="0"/>
          <w:numId w:val="19"/>
        </w:numPr>
        <w:spacing w:after="160" w:line="259" w:lineRule="auto"/>
        <w:ind w:left="426"/>
        <w:jc w:val="both"/>
        <w:outlineLvl w:val="0"/>
        <w:rPr>
          <w:b/>
          <w:bCs/>
          <w:sz w:val="28"/>
          <w:szCs w:val="28"/>
        </w:rPr>
      </w:pPr>
      <w:bookmarkStart w:id="2" w:name="_Toc116561833"/>
      <w:r w:rsidRPr="00D80A8B">
        <w:rPr>
          <w:b/>
          <w:bCs/>
          <w:sz w:val="28"/>
          <w:szCs w:val="28"/>
        </w:rPr>
        <w:t>Доходы Федерального бюджета на 2023 год и плановый период 2024 и 2025 годов</w:t>
      </w:r>
      <w:bookmarkEnd w:id="2"/>
    </w:p>
    <w:p w14:paraId="0E75C75D" w14:textId="77777777" w:rsidR="00D80A8B" w:rsidRDefault="00D80A8B" w:rsidP="00D80A8B">
      <w:pPr>
        <w:pStyle w:val="a4"/>
        <w:jc w:val="both"/>
      </w:pPr>
    </w:p>
    <w:p w14:paraId="51121BFB" w14:textId="150EF5AA" w:rsidR="00DC5282" w:rsidRDefault="00DC5282" w:rsidP="00DC5282">
      <w:pPr>
        <w:spacing w:line="360" w:lineRule="auto"/>
        <w:ind w:firstLine="709"/>
        <w:jc w:val="both"/>
        <w:rPr>
          <w:sz w:val="28"/>
          <w:szCs w:val="28"/>
        </w:rPr>
      </w:pPr>
      <w:r>
        <w:rPr>
          <w:sz w:val="28"/>
          <w:szCs w:val="28"/>
        </w:rPr>
        <w:t>Основными факторами, которые будут определять формирование доходов федерального бюджета в 2023 году и последующий плановый период 2024 и 2025 годов</w:t>
      </w:r>
      <w:r w:rsidR="00E574AF">
        <w:rPr>
          <w:sz w:val="28"/>
          <w:szCs w:val="28"/>
        </w:rPr>
        <w:t>,</w:t>
      </w:r>
      <w:r>
        <w:rPr>
          <w:sz w:val="28"/>
          <w:szCs w:val="28"/>
        </w:rPr>
        <w:t xml:space="preserve"> являются:</w:t>
      </w:r>
    </w:p>
    <w:p w14:paraId="3EC8425A" w14:textId="79F325D7" w:rsidR="00DC5282" w:rsidRPr="007565B8" w:rsidRDefault="00DC5282" w:rsidP="00DC5282">
      <w:pPr>
        <w:pStyle w:val="a4"/>
        <w:numPr>
          <w:ilvl w:val="0"/>
          <w:numId w:val="16"/>
        </w:numPr>
        <w:suppressAutoHyphens/>
        <w:spacing w:line="360" w:lineRule="auto"/>
        <w:ind w:left="993"/>
        <w:jc w:val="both"/>
        <w:rPr>
          <w:sz w:val="28"/>
          <w:szCs w:val="28"/>
        </w:rPr>
      </w:pPr>
      <w:r w:rsidRPr="007565B8">
        <w:rPr>
          <w:sz w:val="28"/>
          <w:szCs w:val="28"/>
        </w:rPr>
        <w:t>динамика мировых сырьевых рынков (в первую очередь, динамика цен на нефть, природный газ, металлы и некоторые другие товары), которая определяет поступления нефтегазовых доходов в федеральный бюджет, а также</w:t>
      </w:r>
      <w:r w:rsidR="00E574AF">
        <w:rPr>
          <w:sz w:val="28"/>
          <w:szCs w:val="28"/>
        </w:rPr>
        <w:t>,</w:t>
      </w:r>
      <w:r w:rsidRPr="007565B8">
        <w:rPr>
          <w:sz w:val="28"/>
          <w:szCs w:val="28"/>
        </w:rPr>
        <w:t xml:space="preserve"> опосредованно, динамику некоторых категорий </w:t>
      </w:r>
      <w:proofErr w:type="spellStart"/>
      <w:r w:rsidRPr="007565B8">
        <w:rPr>
          <w:sz w:val="28"/>
          <w:szCs w:val="28"/>
        </w:rPr>
        <w:t>ненефтегазовых</w:t>
      </w:r>
      <w:proofErr w:type="spellEnd"/>
      <w:r w:rsidRPr="007565B8">
        <w:rPr>
          <w:sz w:val="28"/>
          <w:szCs w:val="28"/>
        </w:rPr>
        <w:t xml:space="preserve"> доходов;</w:t>
      </w:r>
    </w:p>
    <w:p w14:paraId="23A64C31" w14:textId="58E3FA98" w:rsidR="00DC5282" w:rsidRPr="007565B8" w:rsidRDefault="00DC5282" w:rsidP="00DC5282">
      <w:pPr>
        <w:pStyle w:val="a4"/>
        <w:numPr>
          <w:ilvl w:val="0"/>
          <w:numId w:val="16"/>
        </w:numPr>
        <w:suppressAutoHyphens/>
        <w:spacing w:line="360" w:lineRule="auto"/>
        <w:ind w:left="993"/>
        <w:jc w:val="both"/>
        <w:rPr>
          <w:sz w:val="28"/>
          <w:szCs w:val="28"/>
        </w:rPr>
      </w:pPr>
      <w:r w:rsidRPr="007565B8">
        <w:rPr>
          <w:sz w:val="28"/>
          <w:szCs w:val="28"/>
        </w:rPr>
        <w:t xml:space="preserve">динамика валютного курса, в значительной мере определяемая в настоящее время политикой </w:t>
      </w:r>
      <w:r w:rsidR="00E574AF">
        <w:rPr>
          <w:sz w:val="28"/>
          <w:szCs w:val="28"/>
        </w:rPr>
        <w:t>валютных ограничений</w:t>
      </w:r>
      <w:r w:rsidRPr="007565B8">
        <w:rPr>
          <w:sz w:val="28"/>
          <w:szCs w:val="28"/>
        </w:rPr>
        <w:t xml:space="preserve"> с учетом общего состояния платежного баланса;</w:t>
      </w:r>
    </w:p>
    <w:p w14:paraId="3DC5B0F1" w14:textId="60F0BE33" w:rsidR="00DC5282" w:rsidRPr="007565B8" w:rsidRDefault="00DC5282" w:rsidP="00DC5282">
      <w:pPr>
        <w:pStyle w:val="a4"/>
        <w:numPr>
          <w:ilvl w:val="0"/>
          <w:numId w:val="16"/>
        </w:numPr>
        <w:suppressAutoHyphens/>
        <w:spacing w:line="360" w:lineRule="auto"/>
        <w:ind w:left="993"/>
        <w:jc w:val="both"/>
        <w:rPr>
          <w:sz w:val="28"/>
          <w:szCs w:val="28"/>
        </w:rPr>
      </w:pPr>
      <w:r w:rsidRPr="007565B8">
        <w:rPr>
          <w:sz w:val="28"/>
          <w:szCs w:val="28"/>
        </w:rPr>
        <w:t>скорость и формы адаптации отечественной экономики</w:t>
      </w:r>
      <w:r w:rsidR="00E574AF">
        <w:rPr>
          <w:sz w:val="28"/>
          <w:szCs w:val="28"/>
        </w:rPr>
        <w:t xml:space="preserve"> к</w:t>
      </w:r>
      <w:r w:rsidRPr="007565B8">
        <w:rPr>
          <w:sz w:val="28"/>
          <w:szCs w:val="28"/>
        </w:rPr>
        <w:t xml:space="preserve"> глобальным геополитическим изменениям и их экономическим последствиям;</w:t>
      </w:r>
    </w:p>
    <w:p w14:paraId="6421EFC8" w14:textId="1AB6BC9B" w:rsidR="00DC5282" w:rsidRPr="007565B8" w:rsidRDefault="00DC5282" w:rsidP="00DC5282">
      <w:pPr>
        <w:pStyle w:val="a4"/>
        <w:numPr>
          <w:ilvl w:val="0"/>
          <w:numId w:val="16"/>
        </w:numPr>
        <w:suppressAutoHyphens/>
        <w:spacing w:line="360" w:lineRule="auto"/>
        <w:ind w:left="993"/>
        <w:jc w:val="both"/>
        <w:rPr>
          <w:sz w:val="28"/>
          <w:szCs w:val="28"/>
        </w:rPr>
      </w:pPr>
      <w:r w:rsidRPr="007565B8">
        <w:rPr>
          <w:sz w:val="28"/>
          <w:szCs w:val="28"/>
        </w:rPr>
        <w:t xml:space="preserve">изменения налогового законодательства, нацеленные, в частности, </w:t>
      </w:r>
      <w:r w:rsidR="00E574AF">
        <w:rPr>
          <w:sz w:val="28"/>
          <w:szCs w:val="28"/>
        </w:rPr>
        <w:t xml:space="preserve">на </w:t>
      </w:r>
      <w:r w:rsidRPr="007565B8">
        <w:rPr>
          <w:sz w:val="28"/>
          <w:szCs w:val="28"/>
        </w:rPr>
        <w:t>подстройку действующей налоговой модели к новым реалиям сырьевых рынков.</w:t>
      </w:r>
    </w:p>
    <w:p w14:paraId="04F8AA85" w14:textId="5FFA59D1" w:rsidR="00DC5282" w:rsidRDefault="00DC5282" w:rsidP="00DC5282">
      <w:pPr>
        <w:spacing w:line="360" w:lineRule="auto"/>
        <w:ind w:firstLine="709"/>
        <w:jc w:val="both"/>
        <w:rPr>
          <w:sz w:val="28"/>
          <w:szCs w:val="28"/>
        </w:rPr>
      </w:pPr>
      <w:r>
        <w:rPr>
          <w:sz w:val="28"/>
          <w:szCs w:val="28"/>
        </w:rPr>
        <w:t xml:space="preserve">В 2023 году общая сумма </w:t>
      </w:r>
      <w:r>
        <w:rPr>
          <w:b/>
          <w:bCs/>
          <w:i/>
          <w:iCs/>
          <w:sz w:val="28"/>
          <w:szCs w:val="28"/>
        </w:rPr>
        <w:t>доходов федерального бюджета</w:t>
      </w:r>
      <w:r>
        <w:rPr>
          <w:sz w:val="28"/>
          <w:szCs w:val="28"/>
        </w:rPr>
        <w:t xml:space="preserve"> прогнозируется на уровне 17,4% ВВП с некоторым снижением этого показателя в последующие годы планового периода (до 17,1% в 2024 г</w:t>
      </w:r>
      <w:r w:rsidR="00AA7D0E">
        <w:rPr>
          <w:sz w:val="28"/>
          <w:szCs w:val="28"/>
        </w:rPr>
        <w:t>оду</w:t>
      </w:r>
      <w:r>
        <w:rPr>
          <w:sz w:val="28"/>
          <w:szCs w:val="28"/>
        </w:rPr>
        <w:t xml:space="preserve"> и 16,4% в 2024 г</w:t>
      </w:r>
      <w:r w:rsidR="00AA7D0E">
        <w:rPr>
          <w:sz w:val="28"/>
          <w:szCs w:val="28"/>
        </w:rPr>
        <w:t>оду</w:t>
      </w:r>
      <w:r>
        <w:rPr>
          <w:sz w:val="28"/>
          <w:szCs w:val="28"/>
        </w:rPr>
        <w:t xml:space="preserve">). </w:t>
      </w:r>
      <w:proofErr w:type="gramStart"/>
      <w:r>
        <w:rPr>
          <w:sz w:val="28"/>
          <w:szCs w:val="28"/>
        </w:rPr>
        <w:t xml:space="preserve">Таким образом, в рамках планового трехлетнего периода будет иметь место снижение объема доходов бюджета относительно ВВП на 2,9 </w:t>
      </w:r>
      <w:proofErr w:type="spellStart"/>
      <w:r>
        <w:rPr>
          <w:sz w:val="28"/>
          <w:szCs w:val="28"/>
        </w:rPr>
        <w:t>п.п</w:t>
      </w:r>
      <w:proofErr w:type="spellEnd"/>
      <w:r>
        <w:rPr>
          <w:sz w:val="28"/>
          <w:szCs w:val="28"/>
        </w:rPr>
        <w:t xml:space="preserve">. по сравнению с фактическими итогами 2021 года и на 3,8 </w:t>
      </w:r>
      <w:proofErr w:type="spellStart"/>
      <w:r>
        <w:rPr>
          <w:sz w:val="28"/>
          <w:szCs w:val="28"/>
        </w:rPr>
        <w:t>п.п</w:t>
      </w:r>
      <w:proofErr w:type="spellEnd"/>
      <w:r>
        <w:rPr>
          <w:sz w:val="28"/>
          <w:szCs w:val="28"/>
        </w:rPr>
        <w:t xml:space="preserve">. по сравнению с фактическими итогами первого полугодия текущего года, когда эти показатели составляли соответственно 19,3% и 20,2% (см. таблицу </w:t>
      </w:r>
      <w:r w:rsidR="00901ACF">
        <w:rPr>
          <w:sz w:val="28"/>
          <w:szCs w:val="28"/>
        </w:rPr>
        <w:t>3</w:t>
      </w:r>
      <w:r>
        <w:rPr>
          <w:sz w:val="28"/>
          <w:szCs w:val="28"/>
        </w:rPr>
        <w:t xml:space="preserve">). </w:t>
      </w:r>
      <w:proofErr w:type="gramEnd"/>
    </w:p>
    <w:p w14:paraId="52B26225" w14:textId="77777777" w:rsidR="00DC5282" w:rsidRDefault="00DC5282" w:rsidP="00DC5282">
      <w:pPr>
        <w:ind w:firstLine="709"/>
        <w:jc w:val="center"/>
        <w:rPr>
          <w:sz w:val="28"/>
          <w:szCs w:val="28"/>
        </w:rPr>
      </w:pPr>
    </w:p>
    <w:p w14:paraId="206BF744" w14:textId="20861DBD" w:rsidR="00DC5282" w:rsidRDefault="00DC5282" w:rsidP="00F60BC1">
      <w:pPr>
        <w:jc w:val="both"/>
        <w:rPr>
          <w:sz w:val="28"/>
          <w:szCs w:val="28"/>
        </w:rPr>
      </w:pPr>
      <w:r w:rsidRPr="008856E2">
        <w:rPr>
          <w:sz w:val="28"/>
          <w:szCs w:val="28"/>
        </w:rPr>
        <w:t xml:space="preserve">Таблица </w:t>
      </w:r>
      <w:r w:rsidR="00901ACF">
        <w:rPr>
          <w:sz w:val="28"/>
          <w:szCs w:val="28"/>
        </w:rPr>
        <w:t>3</w:t>
      </w:r>
      <w:r w:rsidRPr="008856E2">
        <w:rPr>
          <w:sz w:val="28"/>
          <w:szCs w:val="28"/>
        </w:rPr>
        <w:t xml:space="preserve"> - Доходы федерального бюджета, 2019–2025 г</w:t>
      </w:r>
      <w:r>
        <w:rPr>
          <w:sz w:val="28"/>
          <w:szCs w:val="28"/>
        </w:rPr>
        <w:t>одов</w:t>
      </w:r>
      <w:r w:rsidRPr="008856E2">
        <w:rPr>
          <w:rStyle w:val="af1"/>
          <w:sz w:val="28"/>
          <w:szCs w:val="28"/>
        </w:rPr>
        <w:footnoteReference w:id="7"/>
      </w:r>
    </w:p>
    <w:p w14:paraId="0AA486DB" w14:textId="77777777" w:rsidR="00DC5282" w:rsidRDefault="00DC5282" w:rsidP="00DC5282">
      <w:pPr>
        <w:ind w:firstLine="709"/>
        <w:jc w:val="both"/>
        <w:rPr>
          <w:sz w:val="28"/>
          <w:szCs w:val="28"/>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850"/>
        <w:gridCol w:w="851"/>
        <w:gridCol w:w="992"/>
        <w:gridCol w:w="991"/>
        <w:gridCol w:w="993"/>
        <w:gridCol w:w="952"/>
        <w:gridCol w:w="891"/>
        <w:gridCol w:w="850"/>
      </w:tblGrid>
      <w:tr w:rsidR="00DC5282" w14:paraId="7832ADDE" w14:textId="77777777" w:rsidTr="00005928">
        <w:trPr>
          <w:trHeight w:val="315"/>
        </w:trPr>
        <w:tc>
          <w:tcPr>
            <w:tcW w:w="2138" w:type="dxa"/>
            <w:vMerge w:val="restart"/>
            <w:shd w:val="clear" w:color="auto" w:fill="auto"/>
            <w:vAlign w:val="center"/>
          </w:tcPr>
          <w:p w14:paraId="68F9ACAA" w14:textId="77777777" w:rsidR="00DC5282" w:rsidRDefault="00DC5282" w:rsidP="00005928">
            <w:pPr>
              <w:widowControl w:val="0"/>
              <w:jc w:val="center"/>
              <w:rPr>
                <w:color w:val="000000"/>
                <w:sz w:val="18"/>
                <w:szCs w:val="18"/>
              </w:rPr>
            </w:pPr>
            <w:r>
              <w:rPr>
                <w:color w:val="000000"/>
                <w:sz w:val="18"/>
                <w:szCs w:val="18"/>
              </w:rPr>
              <w:t>Показатель</w:t>
            </w:r>
          </w:p>
        </w:tc>
        <w:tc>
          <w:tcPr>
            <w:tcW w:w="850" w:type="dxa"/>
            <w:vMerge w:val="restart"/>
            <w:shd w:val="clear" w:color="auto" w:fill="auto"/>
            <w:vAlign w:val="center"/>
          </w:tcPr>
          <w:p w14:paraId="4D61E21B" w14:textId="77777777" w:rsidR="00DC5282" w:rsidRDefault="00DC5282" w:rsidP="00005928">
            <w:pPr>
              <w:widowControl w:val="0"/>
              <w:jc w:val="center"/>
              <w:rPr>
                <w:color w:val="000000"/>
                <w:sz w:val="18"/>
                <w:szCs w:val="18"/>
              </w:rPr>
            </w:pPr>
            <w:r>
              <w:rPr>
                <w:color w:val="000000"/>
                <w:sz w:val="18"/>
                <w:szCs w:val="18"/>
              </w:rPr>
              <w:t>2019 г.</w:t>
            </w:r>
          </w:p>
          <w:p w14:paraId="3F2BF250" w14:textId="77777777" w:rsidR="00DC5282" w:rsidRDefault="00DC5282" w:rsidP="00005928">
            <w:pPr>
              <w:widowControl w:val="0"/>
              <w:jc w:val="center"/>
              <w:rPr>
                <w:color w:val="000000"/>
                <w:sz w:val="18"/>
                <w:szCs w:val="18"/>
              </w:rPr>
            </w:pPr>
            <w:r>
              <w:rPr>
                <w:color w:val="000000"/>
                <w:sz w:val="18"/>
                <w:szCs w:val="18"/>
              </w:rPr>
              <w:t> </w:t>
            </w:r>
          </w:p>
        </w:tc>
        <w:tc>
          <w:tcPr>
            <w:tcW w:w="851" w:type="dxa"/>
            <w:vMerge w:val="restart"/>
            <w:shd w:val="clear" w:color="auto" w:fill="auto"/>
            <w:vAlign w:val="center"/>
          </w:tcPr>
          <w:p w14:paraId="13FBAC00" w14:textId="77777777" w:rsidR="00DC5282" w:rsidRDefault="00DC5282" w:rsidP="00005928">
            <w:pPr>
              <w:widowControl w:val="0"/>
              <w:jc w:val="center"/>
              <w:rPr>
                <w:color w:val="000000"/>
                <w:sz w:val="18"/>
                <w:szCs w:val="18"/>
              </w:rPr>
            </w:pPr>
            <w:r>
              <w:rPr>
                <w:color w:val="000000"/>
                <w:sz w:val="18"/>
                <w:szCs w:val="18"/>
              </w:rPr>
              <w:t>2020 г.</w:t>
            </w:r>
          </w:p>
          <w:p w14:paraId="390233AC" w14:textId="77777777" w:rsidR="00DC5282" w:rsidRDefault="00DC5282" w:rsidP="00005928">
            <w:pPr>
              <w:widowControl w:val="0"/>
              <w:jc w:val="center"/>
              <w:rPr>
                <w:color w:val="000000"/>
                <w:sz w:val="18"/>
                <w:szCs w:val="18"/>
              </w:rPr>
            </w:pPr>
            <w:r>
              <w:rPr>
                <w:color w:val="000000"/>
                <w:sz w:val="18"/>
                <w:szCs w:val="18"/>
              </w:rPr>
              <w:t> </w:t>
            </w:r>
          </w:p>
        </w:tc>
        <w:tc>
          <w:tcPr>
            <w:tcW w:w="992" w:type="dxa"/>
            <w:vMerge w:val="restart"/>
            <w:shd w:val="clear" w:color="auto" w:fill="auto"/>
            <w:vAlign w:val="center"/>
          </w:tcPr>
          <w:p w14:paraId="248525C0" w14:textId="77777777" w:rsidR="00DC5282" w:rsidRDefault="00DC5282" w:rsidP="00005928">
            <w:pPr>
              <w:widowControl w:val="0"/>
              <w:jc w:val="center"/>
              <w:rPr>
                <w:color w:val="000000"/>
                <w:sz w:val="18"/>
                <w:szCs w:val="18"/>
              </w:rPr>
            </w:pPr>
            <w:r>
              <w:rPr>
                <w:color w:val="000000"/>
                <w:sz w:val="18"/>
                <w:szCs w:val="18"/>
              </w:rPr>
              <w:t>2021 г.</w:t>
            </w:r>
          </w:p>
          <w:p w14:paraId="23060F8B" w14:textId="77777777" w:rsidR="00DC5282" w:rsidRDefault="00DC5282" w:rsidP="00005928">
            <w:pPr>
              <w:widowControl w:val="0"/>
              <w:jc w:val="center"/>
              <w:rPr>
                <w:color w:val="000000"/>
                <w:sz w:val="18"/>
                <w:szCs w:val="18"/>
              </w:rPr>
            </w:pPr>
            <w:r>
              <w:rPr>
                <w:color w:val="000000"/>
                <w:sz w:val="18"/>
                <w:szCs w:val="18"/>
              </w:rPr>
              <w:t> </w:t>
            </w:r>
          </w:p>
        </w:tc>
        <w:tc>
          <w:tcPr>
            <w:tcW w:w="991" w:type="dxa"/>
            <w:vMerge w:val="restart"/>
            <w:shd w:val="clear" w:color="auto" w:fill="auto"/>
            <w:vAlign w:val="center"/>
          </w:tcPr>
          <w:p w14:paraId="3A8F0457" w14:textId="77777777" w:rsidR="00DC5282" w:rsidRDefault="00DC5282" w:rsidP="00005928">
            <w:pPr>
              <w:widowControl w:val="0"/>
              <w:jc w:val="center"/>
              <w:rPr>
                <w:color w:val="000000"/>
                <w:sz w:val="18"/>
                <w:szCs w:val="18"/>
              </w:rPr>
            </w:pPr>
            <w:r>
              <w:rPr>
                <w:color w:val="000000"/>
                <w:sz w:val="18"/>
                <w:szCs w:val="18"/>
                <w:lang w:val="en-US"/>
              </w:rPr>
              <w:t>I</w:t>
            </w:r>
            <w:r>
              <w:rPr>
                <w:color w:val="000000"/>
                <w:sz w:val="18"/>
                <w:szCs w:val="18"/>
              </w:rPr>
              <w:t xml:space="preserve"> полу</w:t>
            </w:r>
          </w:p>
          <w:p w14:paraId="1BA643F7" w14:textId="77777777" w:rsidR="00DC5282" w:rsidRDefault="00DC5282" w:rsidP="00005928">
            <w:pPr>
              <w:widowControl w:val="0"/>
              <w:jc w:val="center"/>
              <w:rPr>
                <w:color w:val="000000"/>
                <w:sz w:val="18"/>
                <w:szCs w:val="18"/>
              </w:rPr>
            </w:pPr>
            <w:proofErr w:type="spellStart"/>
            <w:r>
              <w:rPr>
                <w:color w:val="000000"/>
                <w:sz w:val="18"/>
                <w:szCs w:val="18"/>
              </w:rPr>
              <w:t>годие</w:t>
            </w:r>
            <w:proofErr w:type="spellEnd"/>
            <w:r>
              <w:rPr>
                <w:color w:val="000000"/>
                <w:sz w:val="18"/>
                <w:szCs w:val="18"/>
              </w:rPr>
              <w:t xml:space="preserve"> </w:t>
            </w:r>
          </w:p>
          <w:p w14:paraId="548A23B6" w14:textId="77777777" w:rsidR="00DC5282" w:rsidRDefault="00DC5282" w:rsidP="00005928">
            <w:pPr>
              <w:widowControl w:val="0"/>
              <w:jc w:val="center"/>
              <w:rPr>
                <w:color w:val="000000"/>
                <w:sz w:val="18"/>
                <w:szCs w:val="18"/>
              </w:rPr>
            </w:pPr>
            <w:r>
              <w:rPr>
                <w:color w:val="000000"/>
                <w:sz w:val="18"/>
                <w:szCs w:val="18"/>
              </w:rPr>
              <w:t>2022 г.</w:t>
            </w:r>
          </w:p>
          <w:p w14:paraId="5288D3CF" w14:textId="77777777" w:rsidR="00DC5282" w:rsidRDefault="00DC5282" w:rsidP="00005928">
            <w:pPr>
              <w:widowControl w:val="0"/>
              <w:jc w:val="center"/>
              <w:rPr>
                <w:color w:val="000000"/>
                <w:sz w:val="18"/>
                <w:szCs w:val="18"/>
              </w:rPr>
            </w:pPr>
          </w:p>
        </w:tc>
        <w:tc>
          <w:tcPr>
            <w:tcW w:w="993" w:type="dxa"/>
            <w:vMerge w:val="restart"/>
            <w:shd w:val="clear" w:color="auto" w:fill="auto"/>
            <w:vAlign w:val="center"/>
          </w:tcPr>
          <w:p w14:paraId="66328C1B" w14:textId="77777777" w:rsidR="00DC5282" w:rsidRDefault="00DC5282" w:rsidP="00005928">
            <w:pPr>
              <w:widowControl w:val="0"/>
              <w:jc w:val="center"/>
              <w:rPr>
                <w:color w:val="000000"/>
                <w:sz w:val="18"/>
                <w:szCs w:val="18"/>
              </w:rPr>
            </w:pPr>
            <w:r>
              <w:rPr>
                <w:color w:val="000000"/>
                <w:sz w:val="18"/>
                <w:szCs w:val="18"/>
              </w:rPr>
              <w:t>2022 г. (оценка)</w:t>
            </w:r>
          </w:p>
        </w:tc>
        <w:tc>
          <w:tcPr>
            <w:tcW w:w="2693" w:type="dxa"/>
            <w:gridSpan w:val="3"/>
            <w:shd w:val="clear" w:color="auto" w:fill="auto"/>
            <w:vAlign w:val="center"/>
          </w:tcPr>
          <w:p w14:paraId="3C35D4D4" w14:textId="77777777" w:rsidR="00DC5282" w:rsidRDefault="00DC5282" w:rsidP="00005928">
            <w:pPr>
              <w:widowControl w:val="0"/>
              <w:jc w:val="center"/>
              <w:rPr>
                <w:color w:val="000000"/>
                <w:sz w:val="18"/>
                <w:szCs w:val="18"/>
              </w:rPr>
            </w:pPr>
            <w:r>
              <w:rPr>
                <w:color w:val="000000"/>
                <w:sz w:val="18"/>
                <w:szCs w:val="18"/>
              </w:rPr>
              <w:t>Законопроект</w:t>
            </w:r>
          </w:p>
        </w:tc>
      </w:tr>
      <w:tr w:rsidR="00DC5282" w14:paraId="13DEF95D" w14:textId="77777777" w:rsidTr="00005928">
        <w:trPr>
          <w:trHeight w:val="315"/>
        </w:trPr>
        <w:tc>
          <w:tcPr>
            <w:tcW w:w="2138" w:type="dxa"/>
            <w:vMerge/>
            <w:vAlign w:val="center"/>
          </w:tcPr>
          <w:p w14:paraId="4B450A38" w14:textId="77777777" w:rsidR="00DC5282" w:rsidRDefault="00DC5282" w:rsidP="00005928">
            <w:pPr>
              <w:widowControl w:val="0"/>
              <w:rPr>
                <w:color w:val="000000"/>
                <w:sz w:val="18"/>
                <w:szCs w:val="18"/>
              </w:rPr>
            </w:pPr>
          </w:p>
        </w:tc>
        <w:tc>
          <w:tcPr>
            <w:tcW w:w="850" w:type="dxa"/>
            <w:vMerge/>
            <w:shd w:val="clear" w:color="auto" w:fill="auto"/>
            <w:vAlign w:val="bottom"/>
          </w:tcPr>
          <w:p w14:paraId="32A5E7D4" w14:textId="77777777" w:rsidR="00DC5282" w:rsidRDefault="00DC5282" w:rsidP="00005928">
            <w:pPr>
              <w:widowControl w:val="0"/>
              <w:jc w:val="center"/>
              <w:rPr>
                <w:color w:val="000000"/>
                <w:sz w:val="18"/>
                <w:szCs w:val="18"/>
              </w:rPr>
            </w:pPr>
          </w:p>
        </w:tc>
        <w:tc>
          <w:tcPr>
            <w:tcW w:w="851" w:type="dxa"/>
            <w:vMerge/>
            <w:shd w:val="clear" w:color="auto" w:fill="auto"/>
            <w:vAlign w:val="bottom"/>
          </w:tcPr>
          <w:p w14:paraId="21BB6F8F" w14:textId="77777777" w:rsidR="00DC5282" w:rsidRDefault="00DC5282" w:rsidP="00005928">
            <w:pPr>
              <w:widowControl w:val="0"/>
              <w:jc w:val="center"/>
              <w:rPr>
                <w:color w:val="000000"/>
                <w:sz w:val="18"/>
                <w:szCs w:val="18"/>
              </w:rPr>
            </w:pPr>
          </w:p>
        </w:tc>
        <w:tc>
          <w:tcPr>
            <w:tcW w:w="992" w:type="dxa"/>
            <w:vMerge/>
            <w:shd w:val="clear" w:color="auto" w:fill="auto"/>
            <w:vAlign w:val="bottom"/>
          </w:tcPr>
          <w:p w14:paraId="2EB375A0" w14:textId="77777777" w:rsidR="00DC5282" w:rsidRDefault="00DC5282" w:rsidP="00005928">
            <w:pPr>
              <w:widowControl w:val="0"/>
              <w:jc w:val="center"/>
              <w:rPr>
                <w:color w:val="000000"/>
                <w:sz w:val="18"/>
                <w:szCs w:val="18"/>
              </w:rPr>
            </w:pPr>
          </w:p>
        </w:tc>
        <w:tc>
          <w:tcPr>
            <w:tcW w:w="991" w:type="dxa"/>
            <w:vMerge/>
            <w:shd w:val="clear" w:color="auto" w:fill="auto"/>
            <w:vAlign w:val="bottom"/>
          </w:tcPr>
          <w:p w14:paraId="35B44934" w14:textId="77777777" w:rsidR="00DC5282" w:rsidRDefault="00DC5282" w:rsidP="00005928">
            <w:pPr>
              <w:widowControl w:val="0"/>
              <w:jc w:val="center"/>
              <w:rPr>
                <w:color w:val="000000"/>
                <w:sz w:val="18"/>
                <w:szCs w:val="18"/>
              </w:rPr>
            </w:pPr>
          </w:p>
        </w:tc>
        <w:tc>
          <w:tcPr>
            <w:tcW w:w="993" w:type="dxa"/>
            <w:vMerge/>
            <w:vAlign w:val="center"/>
          </w:tcPr>
          <w:p w14:paraId="60690DB4" w14:textId="77777777" w:rsidR="00DC5282" w:rsidRDefault="00DC5282" w:rsidP="00005928">
            <w:pPr>
              <w:widowControl w:val="0"/>
              <w:rPr>
                <w:color w:val="000000"/>
                <w:sz w:val="18"/>
                <w:szCs w:val="18"/>
              </w:rPr>
            </w:pPr>
          </w:p>
        </w:tc>
        <w:tc>
          <w:tcPr>
            <w:tcW w:w="952" w:type="dxa"/>
            <w:shd w:val="clear" w:color="auto" w:fill="auto"/>
            <w:vAlign w:val="center"/>
          </w:tcPr>
          <w:p w14:paraId="393FACF9" w14:textId="77777777" w:rsidR="00DC5282" w:rsidRDefault="00DC5282" w:rsidP="00005928">
            <w:pPr>
              <w:widowControl w:val="0"/>
              <w:jc w:val="center"/>
              <w:rPr>
                <w:color w:val="000000"/>
                <w:sz w:val="18"/>
                <w:szCs w:val="18"/>
              </w:rPr>
            </w:pPr>
            <w:r>
              <w:rPr>
                <w:color w:val="000000"/>
                <w:sz w:val="18"/>
                <w:szCs w:val="18"/>
              </w:rPr>
              <w:t>2023 г.</w:t>
            </w:r>
          </w:p>
        </w:tc>
        <w:tc>
          <w:tcPr>
            <w:tcW w:w="891" w:type="dxa"/>
            <w:shd w:val="clear" w:color="auto" w:fill="auto"/>
            <w:vAlign w:val="center"/>
          </w:tcPr>
          <w:p w14:paraId="5ADBAC97" w14:textId="77777777" w:rsidR="00DC5282" w:rsidRDefault="00DC5282" w:rsidP="00005928">
            <w:pPr>
              <w:widowControl w:val="0"/>
              <w:jc w:val="center"/>
              <w:rPr>
                <w:color w:val="000000"/>
                <w:sz w:val="18"/>
                <w:szCs w:val="18"/>
              </w:rPr>
            </w:pPr>
            <w:r>
              <w:rPr>
                <w:color w:val="000000"/>
                <w:sz w:val="18"/>
                <w:szCs w:val="18"/>
              </w:rPr>
              <w:t>2024 г.</w:t>
            </w:r>
          </w:p>
        </w:tc>
        <w:tc>
          <w:tcPr>
            <w:tcW w:w="850" w:type="dxa"/>
            <w:shd w:val="clear" w:color="auto" w:fill="auto"/>
            <w:vAlign w:val="center"/>
          </w:tcPr>
          <w:p w14:paraId="3878F86B" w14:textId="77777777" w:rsidR="00DC5282" w:rsidRDefault="00DC5282" w:rsidP="00005928">
            <w:pPr>
              <w:widowControl w:val="0"/>
              <w:jc w:val="center"/>
              <w:rPr>
                <w:color w:val="000000"/>
                <w:sz w:val="18"/>
                <w:szCs w:val="18"/>
              </w:rPr>
            </w:pPr>
            <w:r>
              <w:rPr>
                <w:color w:val="000000"/>
                <w:sz w:val="18"/>
                <w:szCs w:val="18"/>
              </w:rPr>
              <w:t>2025 г.</w:t>
            </w:r>
          </w:p>
        </w:tc>
      </w:tr>
      <w:tr w:rsidR="00DC5282" w14:paraId="18DCB631" w14:textId="77777777" w:rsidTr="00005928">
        <w:trPr>
          <w:trHeight w:val="315"/>
        </w:trPr>
        <w:tc>
          <w:tcPr>
            <w:tcW w:w="2138" w:type="dxa"/>
            <w:shd w:val="clear" w:color="auto" w:fill="auto"/>
            <w:vAlign w:val="bottom"/>
          </w:tcPr>
          <w:p w14:paraId="6C112C1D" w14:textId="77777777" w:rsidR="00DC5282" w:rsidRDefault="00DC5282" w:rsidP="00005928">
            <w:pPr>
              <w:widowControl w:val="0"/>
              <w:rPr>
                <w:b/>
                <w:bCs/>
                <w:color w:val="000000"/>
                <w:sz w:val="18"/>
                <w:szCs w:val="18"/>
              </w:rPr>
            </w:pPr>
            <w:r>
              <w:rPr>
                <w:b/>
                <w:bCs/>
                <w:color w:val="000000"/>
                <w:sz w:val="18"/>
                <w:szCs w:val="18"/>
              </w:rPr>
              <w:t xml:space="preserve">Доходы, всего </w:t>
            </w:r>
          </w:p>
        </w:tc>
        <w:tc>
          <w:tcPr>
            <w:tcW w:w="850" w:type="dxa"/>
            <w:shd w:val="clear" w:color="auto" w:fill="auto"/>
            <w:vAlign w:val="bottom"/>
          </w:tcPr>
          <w:p w14:paraId="69D651BD" w14:textId="77777777" w:rsidR="00DC5282" w:rsidRDefault="00DC5282" w:rsidP="00005928">
            <w:pPr>
              <w:widowControl w:val="0"/>
              <w:jc w:val="center"/>
              <w:rPr>
                <w:color w:val="000000"/>
                <w:sz w:val="16"/>
                <w:szCs w:val="16"/>
              </w:rPr>
            </w:pPr>
            <w:r>
              <w:rPr>
                <w:color w:val="000000"/>
                <w:sz w:val="16"/>
                <w:szCs w:val="16"/>
              </w:rPr>
              <w:t>20187,2</w:t>
            </w:r>
          </w:p>
        </w:tc>
        <w:tc>
          <w:tcPr>
            <w:tcW w:w="851" w:type="dxa"/>
            <w:shd w:val="clear" w:color="auto" w:fill="auto"/>
            <w:vAlign w:val="bottom"/>
          </w:tcPr>
          <w:p w14:paraId="5E0AAD94" w14:textId="77777777" w:rsidR="00DC5282" w:rsidRDefault="00DC5282" w:rsidP="00005928">
            <w:pPr>
              <w:widowControl w:val="0"/>
              <w:jc w:val="center"/>
              <w:rPr>
                <w:color w:val="000000"/>
                <w:sz w:val="16"/>
                <w:szCs w:val="16"/>
              </w:rPr>
            </w:pPr>
            <w:r>
              <w:rPr>
                <w:color w:val="000000"/>
                <w:sz w:val="16"/>
                <w:szCs w:val="16"/>
              </w:rPr>
              <w:t>18719</w:t>
            </w:r>
          </w:p>
        </w:tc>
        <w:tc>
          <w:tcPr>
            <w:tcW w:w="992" w:type="dxa"/>
            <w:shd w:val="clear" w:color="auto" w:fill="auto"/>
            <w:vAlign w:val="bottom"/>
          </w:tcPr>
          <w:p w14:paraId="5AB1F283" w14:textId="77777777" w:rsidR="00DC5282" w:rsidRDefault="00DC5282" w:rsidP="00005928">
            <w:pPr>
              <w:widowControl w:val="0"/>
              <w:jc w:val="center"/>
              <w:rPr>
                <w:color w:val="000000"/>
                <w:sz w:val="16"/>
                <w:szCs w:val="16"/>
              </w:rPr>
            </w:pPr>
            <w:r>
              <w:rPr>
                <w:color w:val="000000"/>
                <w:sz w:val="16"/>
                <w:szCs w:val="16"/>
              </w:rPr>
              <w:t>25 286,40</w:t>
            </w:r>
          </w:p>
        </w:tc>
        <w:tc>
          <w:tcPr>
            <w:tcW w:w="991" w:type="dxa"/>
            <w:shd w:val="clear" w:color="000000" w:fill="FFFFFF"/>
            <w:vAlign w:val="center"/>
          </w:tcPr>
          <w:p w14:paraId="77B16D12" w14:textId="77777777" w:rsidR="00DC5282" w:rsidRDefault="00DC5282" w:rsidP="00005928">
            <w:pPr>
              <w:widowControl w:val="0"/>
              <w:jc w:val="center"/>
              <w:rPr>
                <w:color w:val="000000"/>
                <w:sz w:val="16"/>
                <w:szCs w:val="16"/>
              </w:rPr>
            </w:pPr>
            <w:r>
              <w:rPr>
                <w:color w:val="000000"/>
                <w:sz w:val="16"/>
                <w:szCs w:val="16"/>
              </w:rPr>
              <w:t>14 016,8</w:t>
            </w:r>
          </w:p>
        </w:tc>
        <w:tc>
          <w:tcPr>
            <w:tcW w:w="993" w:type="dxa"/>
            <w:shd w:val="clear" w:color="auto" w:fill="auto"/>
            <w:vAlign w:val="bottom"/>
          </w:tcPr>
          <w:p w14:paraId="6CB23170" w14:textId="77777777" w:rsidR="00DC5282" w:rsidRDefault="00DC5282" w:rsidP="00005928">
            <w:pPr>
              <w:widowControl w:val="0"/>
              <w:jc w:val="center"/>
              <w:rPr>
                <w:color w:val="000000"/>
                <w:sz w:val="16"/>
                <w:szCs w:val="16"/>
              </w:rPr>
            </w:pPr>
            <w:r>
              <w:rPr>
                <w:color w:val="000000"/>
                <w:sz w:val="16"/>
                <w:szCs w:val="16"/>
              </w:rPr>
              <w:t>27 693,1</w:t>
            </w:r>
          </w:p>
        </w:tc>
        <w:tc>
          <w:tcPr>
            <w:tcW w:w="952" w:type="dxa"/>
            <w:shd w:val="clear" w:color="auto" w:fill="auto"/>
            <w:vAlign w:val="bottom"/>
          </w:tcPr>
          <w:p w14:paraId="0B1F9718" w14:textId="77777777" w:rsidR="00DC5282" w:rsidRDefault="00DC5282" w:rsidP="00005928">
            <w:pPr>
              <w:widowControl w:val="0"/>
              <w:jc w:val="center"/>
              <w:rPr>
                <w:color w:val="000000"/>
                <w:sz w:val="16"/>
                <w:szCs w:val="16"/>
              </w:rPr>
            </w:pPr>
            <w:r>
              <w:rPr>
                <w:color w:val="000000"/>
                <w:sz w:val="16"/>
                <w:szCs w:val="16"/>
              </w:rPr>
              <w:t>26 130,30</w:t>
            </w:r>
          </w:p>
        </w:tc>
        <w:tc>
          <w:tcPr>
            <w:tcW w:w="891" w:type="dxa"/>
            <w:shd w:val="clear" w:color="auto" w:fill="auto"/>
            <w:vAlign w:val="bottom"/>
          </w:tcPr>
          <w:p w14:paraId="55F41B81" w14:textId="77777777" w:rsidR="00DC5282" w:rsidRDefault="00DC5282" w:rsidP="00005928">
            <w:pPr>
              <w:widowControl w:val="0"/>
              <w:jc w:val="center"/>
              <w:rPr>
                <w:color w:val="000000"/>
                <w:sz w:val="16"/>
                <w:szCs w:val="16"/>
              </w:rPr>
            </w:pPr>
            <w:r>
              <w:rPr>
                <w:color w:val="000000"/>
                <w:sz w:val="16"/>
                <w:szCs w:val="16"/>
              </w:rPr>
              <w:t>27 239,80</w:t>
            </w:r>
          </w:p>
        </w:tc>
        <w:tc>
          <w:tcPr>
            <w:tcW w:w="850" w:type="dxa"/>
            <w:shd w:val="clear" w:color="auto" w:fill="auto"/>
            <w:vAlign w:val="bottom"/>
          </w:tcPr>
          <w:p w14:paraId="10D00F04" w14:textId="77777777" w:rsidR="00DC5282" w:rsidRDefault="00DC5282" w:rsidP="00005928">
            <w:pPr>
              <w:widowControl w:val="0"/>
              <w:jc w:val="center"/>
              <w:rPr>
                <w:color w:val="000000"/>
                <w:sz w:val="16"/>
                <w:szCs w:val="16"/>
              </w:rPr>
            </w:pPr>
            <w:r>
              <w:rPr>
                <w:color w:val="000000"/>
                <w:sz w:val="16"/>
                <w:szCs w:val="16"/>
              </w:rPr>
              <w:t>27 979,4</w:t>
            </w:r>
          </w:p>
        </w:tc>
      </w:tr>
      <w:tr w:rsidR="00DC5282" w14:paraId="10FFFD91" w14:textId="77777777" w:rsidTr="00005928">
        <w:trPr>
          <w:trHeight w:val="315"/>
        </w:trPr>
        <w:tc>
          <w:tcPr>
            <w:tcW w:w="2138" w:type="dxa"/>
            <w:shd w:val="clear" w:color="auto" w:fill="auto"/>
            <w:vAlign w:val="bottom"/>
          </w:tcPr>
          <w:p w14:paraId="66462FF1" w14:textId="77777777" w:rsidR="00DC5282" w:rsidRDefault="00DC5282" w:rsidP="00005928">
            <w:pPr>
              <w:widowControl w:val="0"/>
              <w:rPr>
                <w:color w:val="000000"/>
                <w:sz w:val="18"/>
                <w:szCs w:val="18"/>
              </w:rPr>
            </w:pPr>
            <w:proofErr w:type="gramStart"/>
            <w:r>
              <w:rPr>
                <w:color w:val="000000"/>
                <w:sz w:val="18"/>
                <w:szCs w:val="18"/>
              </w:rPr>
              <w:t>в</w:t>
            </w:r>
            <w:proofErr w:type="gramEnd"/>
            <w:r>
              <w:rPr>
                <w:color w:val="000000"/>
                <w:sz w:val="18"/>
                <w:szCs w:val="18"/>
              </w:rPr>
              <w:t xml:space="preserve"> %% к ВВП</w:t>
            </w:r>
          </w:p>
        </w:tc>
        <w:tc>
          <w:tcPr>
            <w:tcW w:w="850" w:type="dxa"/>
            <w:shd w:val="clear" w:color="auto" w:fill="auto"/>
            <w:vAlign w:val="bottom"/>
          </w:tcPr>
          <w:p w14:paraId="2DAA2EF5" w14:textId="77777777" w:rsidR="00DC5282" w:rsidRDefault="00DC5282" w:rsidP="00005928">
            <w:pPr>
              <w:widowControl w:val="0"/>
              <w:jc w:val="center"/>
              <w:rPr>
                <w:color w:val="000000"/>
                <w:sz w:val="16"/>
                <w:szCs w:val="16"/>
              </w:rPr>
            </w:pPr>
            <w:r>
              <w:rPr>
                <w:color w:val="000000"/>
                <w:sz w:val="16"/>
                <w:szCs w:val="16"/>
              </w:rPr>
              <w:t>18,3</w:t>
            </w:r>
          </w:p>
        </w:tc>
        <w:tc>
          <w:tcPr>
            <w:tcW w:w="851" w:type="dxa"/>
            <w:shd w:val="clear" w:color="auto" w:fill="auto"/>
            <w:vAlign w:val="bottom"/>
          </w:tcPr>
          <w:p w14:paraId="74D830E3" w14:textId="77777777" w:rsidR="00DC5282" w:rsidRDefault="00DC5282" w:rsidP="00005928">
            <w:pPr>
              <w:widowControl w:val="0"/>
              <w:jc w:val="center"/>
              <w:rPr>
                <w:color w:val="000000"/>
                <w:sz w:val="16"/>
                <w:szCs w:val="16"/>
              </w:rPr>
            </w:pPr>
            <w:r>
              <w:rPr>
                <w:color w:val="000000"/>
                <w:sz w:val="16"/>
                <w:szCs w:val="16"/>
              </w:rPr>
              <w:t>17,5</w:t>
            </w:r>
          </w:p>
        </w:tc>
        <w:tc>
          <w:tcPr>
            <w:tcW w:w="992" w:type="dxa"/>
            <w:shd w:val="clear" w:color="auto" w:fill="auto"/>
            <w:vAlign w:val="bottom"/>
          </w:tcPr>
          <w:p w14:paraId="24D86409" w14:textId="77777777" w:rsidR="00DC5282" w:rsidRDefault="00DC5282" w:rsidP="00005928">
            <w:pPr>
              <w:widowControl w:val="0"/>
              <w:jc w:val="center"/>
              <w:rPr>
                <w:i/>
                <w:iCs/>
                <w:color w:val="000000"/>
                <w:sz w:val="16"/>
                <w:szCs w:val="16"/>
              </w:rPr>
            </w:pPr>
            <w:r>
              <w:rPr>
                <w:i/>
                <w:iCs/>
                <w:color w:val="000000"/>
                <w:sz w:val="16"/>
                <w:szCs w:val="16"/>
              </w:rPr>
              <w:t>19,3</w:t>
            </w:r>
          </w:p>
        </w:tc>
        <w:tc>
          <w:tcPr>
            <w:tcW w:w="991" w:type="dxa"/>
            <w:shd w:val="clear" w:color="auto" w:fill="auto"/>
            <w:vAlign w:val="bottom"/>
          </w:tcPr>
          <w:p w14:paraId="1C827295" w14:textId="77777777" w:rsidR="00DC5282" w:rsidRDefault="00DC5282" w:rsidP="00005928">
            <w:pPr>
              <w:widowControl w:val="0"/>
              <w:jc w:val="center"/>
              <w:rPr>
                <w:color w:val="000000"/>
                <w:sz w:val="16"/>
                <w:szCs w:val="16"/>
              </w:rPr>
            </w:pPr>
            <w:r>
              <w:rPr>
                <w:color w:val="000000"/>
                <w:sz w:val="16"/>
                <w:szCs w:val="16"/>
              </w:rPr>
              <w:t>20,2%</w:t>
            </w:r>
          </w:p>
        </w:tc>
        <w:tc>
          <w:tcPr>
            <w:tcW w:w="993" w:type="dxa"/>
            <w:shd w:val="clear" w:color="auto" w:fill="auto"/>
            <w:vAlign w:val="bottom"/>
          </w:tcPr>
          <w:p w14:paraId="53727247" w14:textId="77777777" w:rsidR="00DC5282" w:rsidRDefault="00DC5282" w:rsidP="00005928">
            <w:pPr>
              <w:widowControl w:val="0"/>
              <w:jc w:val="center"/>
              <w:rPr>
                <w:i/>
                <w:iCs/>
                <w:color w:val="000000"/>
                <w:sz w:val="16"/>
                <w:szCs w:val="16"/>
              </w:rPr>
            </w:pPr>
            <w:r>
              <w:rPr>
                <w:i/>
                <w:iCs/>
                <w:color w:val="000000"/>
                <w:sz w:val="16"/>
                <w:szCs w:val="16"/>
              </w:rPr>
              <w:t>19,0</w:t>
            </w:r>
          </w:p>
        </w:tc>
        <w:tc>
          <w:tcPr>
            <w:tcW w:w="952" w:type="dxa"/>
            <w:shd w:val="clear" w:color="auto" w:fill="auto"/>
            <w:vAlign w:val="bottom"/>
          </w:tcPr>
          <w:p w14:paraId="6896F7D0" w14:textId="77777777" w:rsidR="00DC5282" w:rsidRDefault="00DC5282" w:rsidP="00005928">
            <w:pPr>
              <w:widowControl w:val="0"/>
              <w:jc w:val="center"/>
              <w:rPr>
                <w:i/>
                <w:iCs/>
                <w:color w:val="000000"/>
                <w:sz w:val="16"/>
                <w:szCs w:val="16"/>
              </w:rPr>
            </w:pPr>
            <w:r>
              <w:rPr>
                <w:i/>
                <w:iCs/>
                <w:color w:val="000000"/>
                <w:sz w:val="16"/>
                <w:szCs w:val="16"/>
              </w:rPr>
              <w:t>17,4</w:t>
            </w:r>
          </w:p>
        </w:tc>
        <w:tc>
          <w:tcPr>
            <w:tcW w:w="891" w:type="dxa"/>
            <w:shd w:val="clear" w:color="auto" w:fill="auto"/>
            <w:vAlign w:val="bottom"/>
          </w:tcPr>
          <w:p w14:paraId="02ADE798" w14:textId="77777777" w:rsidR="00DC5282" w:rsidRDefault="00DC5282" w:rsidP="00005928">
            <w:pPr>
              <w:widowControl w:val="0"/>
              <w:jc w:val="center"/>
              <w:rPr>
                <w:i/>
                <w:iCs/>
                <w:color w:val="000000"/>
                <w:sz w:val="16"/>
                <w:szCs w:val="16"/>
              </w:rPr>
            </w:pPr>
            <w:r>
              <w:rPr>
                <w:i/>
                <w:iCs/>
                <w:color w:val="000000"/>
                <w:sz w:val="16"/>
                <w:szCs w:val="16"/>
              </w:rPr>
              <w:t>17,1</w:t>
            </w:r>
          </w:p>
        </w:tc>
        <w:tc>
          <w:tcPr>
            <w:tcW w:w="850" w:type="dxa"/>
            <w:shd w:val="clear" w:color="auto" w:fill="auto"/>
            <w:vAlign w:val="bottom"/>
          </w:tcPr>
          <w:p w14:paraId="649A5D73" w14:textId="77777777" w:rsidR="00DC5282" w:rsidRDefault="00DC5282" w:rsidP="00005928">
            <w:pPr>
              <w:widowControl w:val="0"/>
              <w:jc w:val="center"/>
              <w:rPr>
                <w:i/>
                <w:iCs/>
                <w:color w:val="000000"/>
                <w:sz w:val="16"/>
                <w:szCs w:val="16"/>
              </w:rPr>
            </w:pPr>
            <w:r>
              <w:rPr>
                <w:i/>
                <w:iCs/>
                <w:color w:val="000000"/>
                <w:sz w:val="16"/>
                <w:szCs w:val="16"/>
              </w:rPr>
              <w:t>16,4</w:t>
            </w:r>
          </w:p>
        </w:tc>
      </w:tr>
      <w:tr w:rsidR="00DC5282" w14:paraId="14226122" w14:textId="77777777" w:rsidTr="00005928">
        <w:trPr>
          <w:trHeight w:val="315"/>
        </w:trPr>
        <w:tc>
          <w:tcPr>
            <w:tcW w:w="2138" w:type="dxa"/>
            <w:shd w:val="clear" w:color="auto" w:fill="auto"/>
            <w:vAlign w:val="bottom"/>
          </w:tcPr>
          <w:p w14:paraId="47AF66A9" w14:textId="77777777" w:rsidR="00DC5282" w:rsidRDefault="00DC5282" w:rsidP="00005928">
            <w:pPr>
              <w:widowControl w:val="0"/>
              <w:rPr>
                <w:color w:val="000000"/>
                <w:sz w:val="18"/>
                <w:szCs w:val="18"/>
              </w:rPr>
            </w:pPr>
            <w:r>
              <w:rPr>
                <w:color w:val="000000"/>
                <w:sz w:val="18"/>
                <w:szCs w:val="18"/>
              </w:rPr>
              <w:t>в том числе:</w:t>
            </w:r>
          </w:p>
        </w:tc>
        <w:tc>
          <w:tcPr>
            <w:tcW w:w="850" w:type="dxa"/>
            <w:shd w:val="clear" w:color="auto" w:fill="auto"/>
            <w:vAlign w:val="bottom"/>
          </w:tcPr>
          <w:p w14:paraId="2F024A12" w14:textId="77777777" w:rsidR="00DC5282" w:rsidRDefault="00DC5282" w:rsidP="00005928">
            <w:pPr>
              <w:widowControl w:val="0"/>
              <w:jc w:val="center"/>
              <w:rPr>
                <w:color w:val="000000"/>
                <w:sz w:val="16"/>
                <w:szCs w:val="16"/>
              </w:rPr>
            </w:pPr>
          </w:p>
        </w:tc>
        <w:tc>
          <w:tcPr>
            <w:tcW w:w="851" w:type="dxa"/>
            <w:shd w:val="clear" w:color="auto" w:fill="auto"/>
            <w:vAlign w:val="bottom"/>
          </w:tcPr>
          <w:p w14:paraId="05E064DE" w14:textId="77777777" w:rsidR="00DC5282" w:rsidRDefault="00DC5282" w:rsidP="00005928">
            <w:pPr>
              <w:widowControl w:val="0"/>
              <w:jc w:val="center"/>
              <w:rPr>
                <w:color w:val="000000"/>
                <w:sz w:val="16"/>
                <w:szCs w:val="16"/>
              </w:rPr>
            </w:pPr>
          </w:p>
        </w:tc>
        <w:tc>
          <w:tcPr>
            <w:tcW w:w="992" w:type="dxa"/>
            <w:shd w:val="clear" w:color="auto" w:fill="auto"/>
            <w:vAlign w:val="bottom"/>
          </w:tcPr>
          <w:p w14:paraId="0C8A4157" w14:textId="77777777" w:rsidR="00DC5282" w:rsidRDefault="00DC5282" w:rsidP="00005928">
            <w:pPr>
              <w:widowControl w:val="0"/>
              <w:jc w:val="center"/>
              <w:rPr>
                <w:color w:val="000000"/>
                <w:sz w:val="16"/>
                <w:szCs w:val="16"/>
              </w:rPr>
            </w:pPr>
          </w:p>
        </w:tc>
        <w:tc>
          <w:tcPr>
            <w:tcW w:w="991" w:type="dxa"/>
            <w:shd w:val="clear" w:color="auto" w:fill="auto"/>
            <w:vAlign w:val="bottom"/>
          </w:tcPr>
          <w:p w14:paraId="2EF94BEC" w14:textId="77777777" w:rsidR="00DC5282" w:rsidRDefault="00DC5282" w:rsidP="00005928">
            <w:pPr>
              <w:widowControl w:val="0"/>
              <w:jc w:val="center"/>
              <w:rPr>
                <w:color w:val="000000"/>
                <w:sz w:val="16"/>
                <w:szCs w:val="16"/>
              </w:rPr>
            </w:pPr>
          </w:p>
        </w:tc>
        <w:tc>
          <w:tcPr>
            <w:tcW w:w="993" w:type="dxa"/>
            <w:shd w:val="clear" w:color="auto" w:fill="auto"/>
            <w:vAlign w:val="bottom"/>
          </w:tcPr>
          <w:p w14:paraId="2CE261BF" w14:textId="77777777" w:rsidR="00DC5282" w:rsidRDefault="00DC5282" w:rsidP="00005928">
            <w:pPr>
              <w:widowControl w:val="0"/>
              <w:jc w:val="center"/>
              <w:rPr>
                <w:color w:val="000000"/>
                <w:sz w:val="16"/>
                <w:szCs w:val="16"/>
              </w:rPr>
            </w:pPr>
          </w:p>
        </w:tc>
        <w:tc>
          <w:tcPr>
            <w:tcW w:w="952" w:type="dxa"/>
            <w:shd w:val="clear" w:color="auto" w:fill="auto"/>
            <w:vAlign w:val="bottom"/>
          </w:tcPr>
          <w:p w14:paraId="03CC9B08" w14:textId="77777777" w:rsidR="00DC5282" w:rsidRDefault="00DC5282" w:rsidP="00005928">
            <w:pPr>
              <w:widowControl w:val="0"/>
              <w:jc w:val="center"/>
              <w:rPr>
                <w:color w:val="000000"/>
                <w:sz w:val="16"/>
                <w:szCs w:val="16"/>
              </w:rPr>
            </w:pPr>
          </w:p>
        </w:tc>
        <w:tc>
          <w:tcPr>
            <w:tcW w:w="891" w:type="dxa"/>
            <w:shd w:val="clear" w:color="auto" w:fill="auto"/>
            <w:vAlign w:val="bottom"/>
          </w:tcPr>
          <w:p w14:paraId="5B642FB0" w14:textId="77777777" w:rsidR="00DC5282" w:rsidRDefault="00DC5282" w:rsidP="00005928">
            <w:pPr>
              <w:widowControl w:val="0"/>
              <w:jc w:val="center"/>
              <w:rPr>
                <w:color w:val="000000"/>
                <w:sz w:val="16"/>
                <w:szCs w:val="16"/>
              </w:rPr>
            </w:pPr>
          </w:p>
        </w:tc>
        <w:tc>
          <w:tcPr>
            <w:tcW w:w="850" w:type="dxa"/>
            <w:shd w:val="clear" w:color="auto" w:fill="auto"/>
            <w:vAlign w:val="bottom"/>
          </w:tcPr>
          <w:p w14:paraId="2D864C1B" w14:textId="77777777" w:rsidR="00DC5282" w:rsidRDefault="00DC5282" w:rsidP="00005928">
            <w:pPr>
              <w:widowControl w:val="0"/>
              <w:jc w:val="center"/>
              <w:rPr>
                <w:color w:val="000000"/>
                <w:sz w:val="16"/>
                <w:szCs w:val="16"/>
              </w:rPr>
            </w:pPr>
          </w:p>
        </w:tc>
      </w:tr>
      <w:tr w:rsidR="00DC5282" w14:paraId="0F5E2543" w14:textId="77777777" w:rsidTr="00005928">
        <w:trPr>
          <w:trHeight w:val="315"/>
        </w:trPr>
        <w:tc>
          <w:tcPr>
            <w:tcW w:w="2138" w:type="dxa"/>
            <w:shd w:val="clear" w:color="auto" w:fill="auto"/>
            <w:vAlign w:val="bottom"/>
          </w:tcPr>
          <w:p w14:paraId="05F5071C" w14:textId="77777777" w:rsidR="00DC5282" w:rsidRDefault="00DC5282" w:rsidP="00005928">
            <w:pPr>
              <w:widowControl w:val="0"/>
              <w:rPr>
                <w:color w:val="000000"/>
                <w:sz w:val="18"/>
                <w:szCs w:val="18"/>
              </w:rPr>
            </w:pPr>
            <w:r>
              <w:rPr>
                <w:color w:val="000000"/>
                <w:sz w:val="18"/>
                <w:szCs w:val="18"/>
              </w:rPr>
              <w:t>Нефтегазовые доходы</w:t>
            </w:r>
          </w:p>
        </w:tc>
        <w:tc>
          <w:tcPr>
            <w:tcW w:w="850" w:type="dxa"/>
            <w:shd w:val="clear" w:color="auto" w:fill="auto"/>
            <w:vAlign w:val="bottom"/>
          </w:tcPr>
          <w:p w14:paraId="241E61AA" w14:textId="77777777" w:rsidR="00DC5282" w:rsidRDefault="00DC5282" w:rsidP="00005928">
            <w:pPr>
              <w:widowControl w:val="0"/>
              <w:jc w:val="center"/>
              <w:rPr>
                <w:color w:val="000000"/>
                <w:sz w:val="16"/>
                <w:szCs w:val="16"/>
              </w:rPr>
            </w:pPr>
            <w:r>
              <w:rPr>
                <w:color w:val="000000"/>
                <w:sz w:val="16"/>
                <w:szCs w:val="16"/>
              </w:rPr>
              <w:t>8247,7</w:t>
            </w:r>
          </w:p>
        </w:tc>
        <w:tc>
          <w:tcPr>
            <w:tcW w:w="851" w:type="dxa"/>
            <w:shd w:val="clear" w:color="auto" w:fill="auto"/>
            <w:vAlign w:val="bottom"/>
          </w:tcPr>
          <w:p w14:paraId="3C957BD8" w14:textId="77777777" w:rsidR="00DC5282" w:rsidRDefault="00DC5282" w:rsidP="00005928">
            <w:pPr>
              <w:widowControl w:val="0"/>
              <w:jc w:val="center"/>
              <w:rPr>
                <w:color w:val="000000"/>
                <w:sz w:val="16"/>
                <w:szCs w:val="16"/>
              </w:rPr>
            </w:pPr>
            <w:r>
              <w:rPr>
                <w:color w:val="000000"/>
                <w:sz w:val="16"/>
                <w:szCs w:val="16"/>
              </w:rPr>
              <w:t>5235,2</w:t>
            </w:r>
          </w:p>
        </w:tc>
        <w:tc>
          <w:tcPr>
            <w:tcW w:w="992" w:type="dxa"/>
            <w:shd w:val="clear" w:color="auto" w:fill="auto"/>
            <w:vAlign w:val="bottom"/>
          </w:tcPr>
          <w:p w14:paraId="4DBCD314" w14:textId="77777777" w:rsidR="00DC5282" w:rsidRDefault="00DC5282" w:rsidP="00005928">
            <w:pPr>
              <w:widowControl w:val="0"/>
              <w:jc w:val="center"/>
              <w:rPr>
                <w:color w:val="000000"/>
                <w:sz w:val="16"/>
                <w:szCs w:val="16"/>
              </w:rPr>
            </w:pPr>
            <w:r>
              <w:rPr>
                <w:color w:val="000000"/>
                <w:sz w:val="16"/>
                <w:szCs w:val="16"/>
              </w:rPr>
              <w:t>9056,5</w:t>
            </w:r>
          </w:p>
        </w:tc>
        <w:tc>
          <w:tcPr>
            <w:tcW w:w="991" w:type="dxa"/>
            <w:shd w:val="clear" w:color="000000" w:fill="FFFFFF"/>
            <w:vAlign w:val="center"/>
          </w:tcPr>
          <w:p w14:paraId="5FFA764A" w14:textId="77777777" w:rsidR="00DC5282" w:rsidRDefault="00DC5282" w:rsidP="00005928">
            <w:pPr>
              <w:widowControl w:val="0"/>
              <w:jc w:val="center"/>
              <w:rPr>
                <w:color w:val="000000"/>
                <w:sz w:val="16"/>
                <w:szCs w:val="16"/>
              </w:rPr>
            </w:pPr>
            <w:r>
              <w:rPr>
                <w:color w:val="000000"/>
                <w:sz w:val="16"/>
                <w:szCs w:val="16"/>
              </w:rPr>
              <w:t>6 375,9</w:t>
            </w:r>
          </w:p>
        </w:tc>
        <w:tc>
          <w:tcPr>
            <w:tcW w:w="993" w:type="dxa"/>
            <w:shd w:val="clear" w:color="auto" w:fill="auto"/>
            <w:vAlign w:val="bottom"/>
          </w:tcPr>
          <w:p w14:paraId="2698CE6D" w14:textId="77777777" w:rsidR="00DC5282" w:rsidRDefault="00DC5282" w:rsidP="00005928">
            <w:pPr>
              <w:widowControl w:val="0"/>
              <w:jc w:val="center"/>
              <w:rPr>
                <w:color w:val="000000"/>
                <w:sz w:val="16"/>
                <w:szCs w:val="16"/>
              </w:rPr>
            </w:pPr>
            <w:r>
              <w:rPr>
                <w:color w:val="000000"/>
                <w:sz w:val="16"/>
                <w:szCs w:val="16"/>
              </w:rPr>
              <w:t>11 666,2</w:t>
            </w:r>
          </w:p>
        </w:tc>
        <w:tc>
          <w:tcPr>
            <w:tcW w:w="952" w:type="dxa"/>
            <w:shd w:val="clear" w:color="auto" w:fill="auto"/>
            <w:vAlign w:val="bottom"/>
          </w:tcPr>
          <w:p w14:paraId="4F33E165" w14:textId="77777777" w:rsidR="00DC5282" w:rsidRDefault="00DC5282" w:rsidP="00005928">
            <w:pPr>
              <w:widowControl w:val="0"/>
              <w:jc w:val="center"/>
              <w:rPr>
                <w:color w:val="000000"/>
                <w:sz w:val="16"/>
                <w:szCs w:val="16"/>
              </w:rPr>
            </w:pPr>
            <w:r>
              <w:rPr>
                <w:color w:val="000000"/>
                <w:sz w:val="16"/>
                <w:szCs w:val="16"/>
              </w:rPr>
              <w:t>8 939,0</w:t>
            </w:r>
          </w:p>
        </w:tc>
        <w:tc>
          <w:tcPr>
            <w:tcW w:w="891" w:type="dxa"/>
            <w:shd w:val="clear" w:color="auto" w:fill="auto"/>
            <w:vAlign w:val="bottom"/>
          </w:tcPr>
          <w:p w14:paraId="145AC991" w14:textId="77777777" w:rsidR="00DC5282" w:rsidRDefault="00DC5282" w:rsidP="00005928">
            <w:pPr>
              <w:widowControl w:val="0"/>
              <w:jc w:val="center"/>
              <w:rPr>
                <w:color w:val="000000"/>
                <w:sz w:val="16"/>
                <w:szCs w:val="16"/>
              </w:rPr>
            </w:pPr>
            <w:r>
              <w:rPr>
                <w:color w:val="000000"/>
                <w:sz w:val="16"/>
                <w:szCs w:val="16"/>
              </w:rPr>
              <w:t>8 656,3</w:t>
            </w:r>
          </w:p>
        </w:tc>
        <w:tc>
          <w:tcPr>
            <w:tcW w:w="850" w:type="dxa"/>
            <w:shd w:val="clear" w:color="auto" w:fill="auto"/>
            <w:vAlign w:val="bottom"/>
          </w:tcPr>
          <w:p w14:paraId="79F38C66" w14:textId="77777777" w:rsidR="00DC5282" w:rsidRDefault="00DC5282" w:rsidP="00005928">
            <w:pPr>
              <w:widowControl w:val="0"/>
              <w:jc w:val="center"/>
              <w:rPr>
                <w:color w:val="000000"/>
                <w:sz w:val="16"/>
                <w:szCs w:val="16"/>
              </w:rPr>
            </w:pPr>
            <w:r>
              <w:rPr>
                <w:color w:val="000000"/>
                <w:sz w:val="16"/>
                <w:szCs w:val="16"/>
              </w:rPr>
              <w:t>8 488,5</w:t>
            </w:r>
          </w:p>
        </w:tc>
      </w:tr>
      <w:tr w:rsidR="00DC5282" w14:paraId="3C250872" w14:textId="77777777" w:rsidTr="00005928">
        <w:trPr>
          <w:trHeight w:val="315"/>
        </w:trPr>
        <w:tc>
          <w:tcPr>
            <w:tcW w:w="2138" w:type="dxa"/>
            <w:shd w:val="clear" w:color="auto" w:fill="auto"/>
            <w:vAlign w:val="bottom"/>
          </w:tcPr>
          <w:p w14:paraId="29C826BA" w14:textId="77777777" w:rsidR="00DC5282" w:rsidRDefault="00DC5282" w:rsidP="00005928">
            <w:pPr>
              <w:widowControl w:val="0"/>
              <w:rPr>
                <w:color w:val="000000"/>
                <w:sz w:val="18"/>
                <w:szCs w:val="18"/>
              </w:rPr>
            </w:pPr>
            <w:proofErr w:type="gramStart"/>
            <w:r>
              <w:rPr>
                <w:color w:val="000000"/>
                <w:sz w:val="18"/>
                <w:szCs w:val="18"/>
              </w:rPr>
              <w:t>в</w:t>
            </w:r>
            <w:proofErr w:type="gramEnd"/>
            <w:r>
              <w:rPr>
                <w:color w:val="000000"/>
                <w:sz w:val="18"/>
                <w:szCs w:val="18"/>
              </w:rPr>
              <w:t xml:space="preserve"> %% к ВВП</w:t>
            </w:r>
          </w:p>
        </w:tc>
        <w:tc>
          <w:tcPr>
            <w:tcW w:w="850" w:type="dxa"/>
            <w:shd w:val="clear" w:color="auto" w:fill="auto"/>
            <w:vAlign w:val="bottom"/>
          </w:tcPr>
          <w:p w14:paraId="7E826790" w14:textId="77777777" w:rsidR="00DC5282" w:rsidRDefault="00DC5282" w:rsidP="00005928">
            <w:pPr>
              <w:widowControl w:val="0"/>
              <w:jc w:val="center"/>
              <w:rPr>
                <w:color w:val="000000"/>
                <w:sz w:val="16"/>
                <w:szCs w:val="16"/>
              </w:rPr>
            </w:pPr>
            <w:r>
              <w:rPr>
                <w:color w:val="000000"/>
                <w:sz w:val="16"/>
                <w:szCs w:val="16"/>
              </w:rPr>
              <w:t>7,5</w:t>
            </w:r>
          </w:p>
        </w:tc>
        <w:tc>
          <w:tcPr>
            <w:tcW w:w="851" w:type="dxa"/>
            <w:shd w:val="clear" w:color="auto" w:fill="auto"/>
            <w:vAlign w:val="bottom"/>
          </w:tcPr>
          <w:p w14:paraId="6BCBEFC7" w14:textId="77777777" w:rsidR="00DC5282" w:rsidRDefault="00DC5282" w:rsidP="00005928">
            <w:pPr>
              <w:widowControl w:val="0"/>
              <w:jc w:val="center"/>
              <w:rPr>
                <w:color w:val="000000"/>
                <w:sz w:val="16"/>
                <w:szCs w:val="16"/>
              </w:rPr>
            </w:pPr>
            <w:r>
              <w:rPr>
                <w:color w:val="000000"/>
                <w:sz w:val="16"/>
                <w:szCs w:val="16"/>
              </w:rPr>
              <w:t>4,9</w:t>
            </w:r>
          </w:p>
        </w:tc>
        <w:tc>
          <w:tcPr>
            <w:tcW w:w="992" w:type="dxa"/>
            <w:shd w:val="clear" w:color="auto" w:fill="auto"/>
            <w:vAlign w:val="bottom"/>
          </w:tcPr>
          <w:p w14:paraId="09BA97DD" w14:textId="77777777" w:rsidR="00DC5282" w:rsidRDefault="00DC5282" w:rsidP="00005928">
            <w:pPr>
              <w:widowControl w:val="0"/>
              <w:jc w:val="center"/>
              <w:rPr>
                <w:color w:val="000000"/>
                <w:sz w:val="16"/>
                <w:szCs w:val="16"/>
              </w:rPr>
            </w:pPr>
            <w:r>
              <w:rPr>
                <w:color w:val="000000"/>
                <w:sz w:val="16"/>
                <w:szCs w:val="16"/>
              </w:rPr>
              <w:t>6,9</w:t>
            </w:r>
          </w:p>
        </w:tc>
        <w:tc>
          <w:tcPr>
            <w:tcW w:w="991" w:type="dxa"/>
            <w:shd w:val="clear" w:color="auto" w:fill="auto"/>
            <w:vAlign w:val="bottom"/>
          </w:tcPr>
          <w:p w14:paraId="5660A26B" w14:textId="77777777" w:rsidR="00DC5282" w:rsidRDefault="00DC5282" w:rsidP="00005928">
            <w:pPr>
              <w:widowControl w:val="0"/>
              <w:jc w:val="center"/>
              <w:rPr>
                <w:color w:val="000000"/>
                <w:sz w:val="16"/>
                <w:szCs w:val="16"/>
              </w:rPr>
            </w:pPr>
            <w:r>
              <w:rPr>
                <w:color w:val="000000"/>
                <w:sz w:val="16"/>
                <w:szCs w:val="16"/>
              </w:rPr>
              <w:t>9,2</w:t>
            </w:r>
          </w:p>
        </w:tc>
        <w:tc>
          <w:tcPr>
            <w:tcW w:w="993" w:type="dxa"/>
            <w:shd w:val="clear" w:color="auto" w:fill="auto"/>
            <w:vAlign w:val="bottom"/>
          </w:tcPr>
          <w:p w14:paraId="5443D85C" w14:textId="77777777" w:rsidR="00DC5282" w:rsidRDefault="00DC5282" w:rsidP="00005928">
            <w:pPr>
              <w:widowControl w:val="0"/>
              <w:jc w:val="center"/>
              <w:rPr>
                <w:i/>
                <w:iCs/>
                <w:color w:val="000000"/>
                <w:sz w:val="16"/>
                <w:szCs w:val="16"/>
              </w:rPr>
            </w:pPr>
            <w:r>
              <w:rPr>
                <w:i/>
                <w:iCs/>
                <w:color w:val="000000"/>
                <w:sz w:val="16"/>
                <w:szCs w:val="16"/>
              </w:rPr>
              <w:t>8,0</w:t>
            </w:r>
          </w:p>
        </w:tc>
        <w:tc>
          <w:tcPr>
            <w:tcW w:w="952" w:type="dxa"/>
            <w:shd w:val="clear" w:color="auto" w:fill="auto"/>
            <w:vAlign w:val="bottom"/>
          </w:tcPr>
          <w:p w14:paraId="49D01411" w14:textId="77777777" w:rsidR="00DC5282" w:rsidRDefault="00DC5282" w:rsidP="00005928">
            <w:pPr>
              <w:widowControl w:val="0"/>
              <w:jc w:val="center"/>
              <w:rPr>
                <w:i/>
                <w:iCs/>
                <w:color w:val="000000"/>
                <w:sz w:val="16"/>
                <w:szCs w:val="16"/>
              </w:rPr>
            </w:pPr>
            <w:r>
              <w:rPr>
                <w:i/>
                <w:iCs/>
                <w:color w:val="000000"/>
                <w:sz w:val="16"/>
                <w:szCs w:val="16"/>
              </w:rPr>
              <w:t>6,0</w:t>
            </w:r>
          </w:p>
        </w:tc>
        <w:tc>
          <w:tcPr>
            <w:tcW w:w="891" w:type="dxa"/>
            <w:shd w:val="clear" w:color="auto" w:fill="auto"/>
            <w:vAlign w:val="bottom"/>
          </w:tcPr>
          <w:p w14:paraId="4E9EB76D" w14:textId="77777777" w:rsidR="00DC5282" w:rsidRDefault="00DC5282" w:rsidP="00005928">
            <w:pPr>
              <w:widowControl w:val="0"/>
              <w:jc w:val="center"/>
              <w:rPr>
                <w:i/>
                <w:iCs/>
                <w:color w:val="000000"/>
                <w:sz w:val="16"/>
                <w:szCs w:val="16"/>
              </w:rPr>
            </w:pPr>
            <w:r>
              <w:rPr>
                <w:i/>
                <w:iCs/>
                <w:color w:val="000000"/>
                <w:sz w:val="16"/>
                <w:szCs w:val="16"/>
              </w:rPr>
              <w:t>5,4</w:t>
            </w:r>
          </w:p>
        </w:tc>
        <w:tc>
          <w:tcPr>
            <w:tcW w:w="850" w:type="dxa"/>
            <w:shd w:val="clear" w:color="auto" w:fill="auto"/>
            <w:vAlign w:val="bottom"/>
          </w:tcPr>
          <w:p w14:paraId="39EFB5FA" w14:textId="77777777" w:rsidR="00DC5282" w:rsidRDefault="00DC5282" w:rsidP="00005928">
            <w:pPr>
              <w:widowControl w:val="0"/>
              <w:jc w:val="center"/>
              <w:rPr>
                <w:i/>
                <w:iCs/>
                <w:color w:val="000000"/>
                <w:sz w:val="16"/>
                <w:szCs w:val="16"/>
              </w:rPr>
            </w:pPr>
            <w:r>
              <w:rPr>
                <w:i/>
                <w:iCs/>
                <w:color w:val="000000"/>
                <w:sz w:val="16"/>
                <w:szCs w:val="16"/>
              </w:rPr>
              <w:t>5,0</w:t>
            </w:r>
          </w:p>
        </w:tc>
      </w:tr>
      <w:tr w:rsidR="00DC5282" w14:paraId="3E7B4A66" w14:textId="77777777" w:rsidTr="00005928">
        <w:trPr>
          <w:trHeight w:val="315"/>
        </w:trPr>
        <w:tc>
          <w:tcPr>
            <w:tcW w:w="2138" w:type="dxa"/>
            <w:shd w:val="clear" w:color="auto" w:fill="auto"/>
            <w:vAlign w:val="bottom"/>
          </w:tcPr>
          <w:p w14:paraId="73C1C1F8" w14:textId="77777777" w:rsidR="00DC5282" w:rsidRDefault="00DC5282" w:rsidP="00005928">
            <w:pPr>
              <w:widowControl w:val="0"/>
              <w:rPr>
                <w:color w:val="000000"/>
                <w:sz w:val="18"/>
                <w:szCs w:val="18"/>
              </w:rPr>
            </w:pPr>
            <w:proofErr w:type="spellStart"/>
            <w:r>
              <w:rPr>
                <w:color w:val="000000"/>
                <w:sz w:val="18"/>
                <w:szCs w:val="18"/>
              </w:rPr>
              <w:t>Ненефтегазовые</w:t>
            </w:r>
            <w:proofErr w:type="spellEnd"/>
            <w:r>
              <w:rPr>
                <w:color w:val="000000"/>
                <w:sz w:val="18"/>
                <w:szCs w:val="18"/>
              </w:rPr>
              <w:t xml:space="preserve"> доходы </w:t>
            </w:r>
          </w:p>
        </w:tc>
        <w:tc>
          <w:tcPr>
            <w:tcW w:w="850" w:type="dxa"/>
            <w:shd w:val="clear" w:color="auto" w:fill="auto"/>
            <w:vAlign w:val="bottom"/>
          </w:tcPr>
          <w:p w14:paraId="6B3B4F03" w14:textId="77777777" w:rsidR="00DC5282" w:rsidRDefault="00DC5282" w:rsidP="00005928">
            <w:pPr>
              <w:widowControl w:val="0"/>
              <w:jc w:val="center"/>
              <w:rPr>
                <w:color w:val="000000"/>
                <w:sz w:val="16"/>
                <w:szCs w:val="16"/>
              </w:rPr>
            </w:pPr>
            <w:r>
              <w:rPr>
                <w:color w:val="000000"/>
                <w:sz w:val="16"/>
                <w:szCs w:val="16"/>
              </w:rPr>
              <w:t>11939,5</w:t>
            </w:r>
          </w:p>
        </w:tc>
        <w:tc>
          <w:tcPr>
            <w:tcW w:w="851" w:type="dxa"/>
            <w:shd w:val="clear" w:color="auto" w:fill="auto"/>
            <w:vAlign w:val="bottom"/>
          </w:tcPr>
          <w:p w14:paraId="5D53131C" w14:textId="77777777" w:rsidR="00DC5282" w:rsidRDefault="00DC5282" w:rsidP="00005928">
            <w:pPr>
              <w:widowControl w:val="0"/>
              <w:jc w:val="center"/>
              <w:rPr>
                <w:color w:val="000000"/>
                <w:sz w:val="16"/>
                <w:szCs w:val="16"/>
                <w:lang w:val="en-US"/>
              </w:rPr>
            </w:pPr>
            <w:r>
              <w:rPr>
                <w:color w:val="000000"/>
                <w:sz w:val="16"/>
                <w:szCs w:val="16"/>
              </w:rPr>
              <w:t>13487,</w:t>
            </w:r>
            <w:r>
              <w:rPr>
                <w:color w:val="000000"/>
                <w:sz w:val="16"/>
                <w:szCs w:val="16"/>
                <w:lang w:val="en-US"/>
              </w:rPr>
              <w:t>0</w:t>
            </w:r>
          </w:p>
        </w:tc>
        <w:tc>
          <w:tcPr>
            <w:tcW w:w="992" w:type="dxa"/>
            <w:shd w:val="clear" w:color="auto" w:fill="auto"/>
            <w:vAlign w:val="bottom"/>
          </w:tcPr>
          <w:p w14:paraId="5710FE19" w14:textId="77777777" w:rsidR="00DC5282" w:rsidRDefault="00DC5282" w:rsidP="00005928">
            <w:pPr>
              <w:widowControl w:val="0"/>
              <w:jc w:val="center"/>
              <w:rPr>
                <w:color w:val="000000"/>
                <w:sz w:val="16"/>
                <w:szCs w:val="16"/>
                <w:lang w:val="en-US"/>
              </w:rPr>
            </w:pPr>
            <w:r>
              <w:rPr>
                <w:color w:val="000000"/>
                <w:sz w:val="16"/>
                <w:szCs w:val="16"/>
              </w:rPr>
              <w:t>16 229,9</w:t>
            </w:r>
          </w:p>
        </w:tc>
        <w:tc>
          <w:tcPr>
            <w:tcW w:w="991" w:type="dxa"/>
            <w:shd w:val="clear" w:color="000000" w:fill="FFFFFF"/>
            <w:vAlign w:val="center"/>
          </w:tcPr>
          <w:p w14:paraId="41F0F89F" w14:textId="77777777" w:rsidR="00DC5282" w:rsidRDefault="00DC5282" w:rsidP="00005928">
            <w:pPr>
              <w:widowControl w:val="0"/>
              <w:jc w:val="center"/>
              <w:rPr>
                <w:color w:val="000000"/>
                <w:sz w:val="16"/>
                <w:szCs w:val="16"/>
              </w:rPr>
            </w:pPr>
            <w:r>
              <w:rPr>
                <w:color w:val="000000"/>
                <w:sz w:val="16"/>
                <w:szCs w:val="16"/>
              </w:rPr>
              <w:t>7 640,9</w:t>
            </w:r>
          </w:p>
        </w:tc>
        <w:tc>
          <w:tcPr>
            <w:tcW w:w="993" w:type="dxa"/>
            <w:shd w:val="clear" w:color="auto" w:fill="auto"/>
            <w:vAlign w:val="bottom"/>
          </w:tcPr>
          <w:p w14:paraId="547EC90C" w14:textId="77777777" w:rsidR="00DC5282" w:rsidRDefault="00DC5282" w:rsidP="00005928">
            <w:pPr>
              <w:widowControl w:val="0"/>
              <w:jc w:val="center"/>
              <w:rPr>
                <w:color w:val="000000"/>
                <w:sz w:val="16"/>
                <w:szCs w:val="16"/>
              </w:rPr>
            </w:pPr>
            <w:r>
              <w:rPr>
                <w:color w:val="000000"/>
                <w:sz w:val="16"/>
                <w:szCs w:val="16"/>
              </w:rPr>
              <w:t>16 027,0</w:t>
            </w:r>
          </w:p>
        </w:tc>
        <w:tc>
          <w:tcPr>
            <w:tcW w:w="952" w:type="dxa"/>
            <w:shd w:val="clear" w:color="auto" w:fill="auto"/>
            <w:vAlign w:val="bottom"/>
          </w:tcPr>
          <w:p w14:paraId="1EF3B0AC" w14:textId="77777777" w:rsidR="00DC5282" w:rsidRDefault="00DC5282" w:rsidP="00005928">
            <w:pPr>
              <w:widowControl w:val="0"/>
              <w:jc w:val="center"/>
              <w:rPr>
                <w:color w:val="000000"/>
                <w:sz w:val="16"/>
                <w:szCs w:val="16"/>
                <w:lang w:val="en-US"/>
              </w:rPr>
            </w:pPr>
            <w:r>
              <w:rPr>
                <w:color w:val="000000"/>
                <w:sz w:val="16"/>
                <w:szCs w:val="16"/>
              </w:rPr>
              <w:t>17 191,3</w:t>
            </w:r>
          </w:p>
        </w:tc>
        <w:tc>
          <w:tcPr>
            <w:tcW w:w="891" w:type="dxa"/>
            <w:shd w:val="clear" w:color="auto" w:fill="auto"/>
            <w:vAlign w:val="bottom"/>
          </w:tcPr>
          <w:p w14:paraId="05CD6BC3" w14:textId="77777777" w:rsidR="00DC5282" w:rsidRDefault="00DC5282" w:rsidP="00005928">
            <w:pPr>
              <w:widowControl w:val="0"/>
              <w:jc w:val="center"/>
              <w:rPr>
                <w:color w:val="000000"/>
                <w:sz w:val="16"/>
                <w:szCs w:val="16"/>
                <w:lang w:val="en-US"/>
              </w:rPr>
            </w:pPr>
            <w:r>
              <w:rPr>
                <w:color w:val="000000"/>
                <w:sz w:val="16"/>
                <w:szCs w:val="16"/>
              </w:rPr>
              <w:t>18 583,5</w:t>
            </w:r>
          </w:p>
        </w:tc>
        <w:tc>
          <w:tcPr>
            <w:tcW w:w="850" w:type="dxa"/>
            <w:shd w:val="clear" w:color="auto" w:fill="auto"/>
            <w:vAlign w:val="bottom"/>
          </w:tcPr>
          <w:p w14:paraId="34ABD0F0" w14:textId="77777777" w:rsidR="00DC5282" w:rsidRDefault="00DC5282" w:rsidP="00005928">
            <w:pPr>
              <w:widowControl w:val="0"/>
              <w:jc w:val="center"/>
              <w:rPr>
                <w:color w:val="000000"/>
                <w:sz w:val="16"/>
                <w:szCs w:val="16"/>
              </w:rPr>
            </w:pPr>
            <w:r>
              <w:rPr>
                <w:color w:val="000000"/>
                <w:sz w:val="16"/>
                <w:szCs w:val="16"/>
              </w:rPr>
              <w:t>19 490,9</w:t>
            </w:r>
          </w:p>
        </w:tc>
      </w:tr>
      <w:tr w:rsidR="00DC5282" w14:paraId="6F163C29" w14:textId="77777777" w:rsidTr="00005928">
        <w:trPr>
          <w:trHeight w:val="315"/>
        </w:trPr>
        <w:tc>
          <w:tcPr>
            <w:tcW w:w="2138" w:type="dxa"/>
            <w:shd w:val="clear" w:color="auto" w:fill="auto"/>
            <w:vAlign w:val="bottom"/>
          </w:tcPr>
          <w:p w14:paraId="1AE20246" w14:textId="77777777" w:rsidR="00DC5282" w:rsidRDefault="00DC5282" w:rsidP="00005928">
            <w:pPr>
              <w:widowControl w:val="0"/>
              <w:rPr>
                <w:color w:val="000000"/>
                <w:sz w:val="18"/>
                <w:szCs w:val="18"/>
              </w:rPr>
            </w:pPr>
            <w:proofErr w:type="gramStart"/>
            <w:r>
              <w:rPr>
                <w:color w:val="000000"/>
                <w:sz w:val="18"/>
                <w:szCs w:val="18"/>
              </w:rPr>
              <w:t>в</w:t>
            </w:r>
            <w:proofErr w:type="gramEnd"/>
            <w:r>
              <w:rPr>
                <w:color w:val="000000"/>
                <w:sz w:val="18"/>
                <w:szCs w:val="18"/>
              </w:rPr>
              <w:t xml:space="preserve"> %% к ВВП</w:t>
            </w:r>
          </w:p>
        </w:tc>
        <w:tc>
          <w:tcPr>
            <w:tcW w:w="850" w:type="dxa"/>
            <w:shd w:val="clear" w:color="auto" w:fill="auto"/>
            <w:vAlign w:val="bottom"/>
          </w:tcPr>
          <w:p w14:paraId="6B7DFB63" w14:textId="77777777" w:rsidR="00DC5282" w:rsidRDefault="00DC5282" w:rsidP="00005928">
            <w:pPr>
              <w:widowControl w:val="0"/>
              <w:jc w:val="center"/>
              <w:rPr>
                <w:color w:val="000000"/>
                <w:sz w:val="16"/>
                <w:szCs w:val="16"/>
              </w:rPr>
            </w:pPr>
            <w:r>
              <w:rPr>
                <w:color w:val="000000"/>
                <w:sz w:val="16"/>
                <w:szCs w:val="16"/>
              </w:rPr>
              <w:t>10,8</w:t>
            </w:r>
          </w:p>
        </w:tc>
        <w:tc>
          <w:tcPr>
            <w:tcW w:w="851" w:type="dxa"/>
            <w:shd w:val="clear" w:color="auto" w:fill="auto"/>
            <w:vAlign w:val="bottom"/>
          </w:tcPr>
          <w:p w14:paraId="5B21FB80" w14:textId="77777777" w:rsidR="00DC5282" w:rsidRDefault="00DC5282" w:rsidP="00005928">
            <w:pPr>
              <w:widowControl w:val="0"/>
              <w:jc w:val="center"/>
              <w:rPr>
                <w:color w:val="000000"/>
                <w:sz w:val="16"/>
                <w:szCs w:val="16"/>
              </w:rPr>
            </w:pPr>
            <w:r>
              <w:rPr>
                <w:color w:val="000000"/>
                <w:sz w:val="16"/>
                <w:szCs w:val="16"/>
              </w:rPr>
              <w:t>12,6</w:t>
            </w:r>
          </w:p>
        </w:tc>
        <w:tc>
          <w:tcPr>
            <w:tcW w:w="992" w:type="dxa"/>
            <w:shd w:val="clear" w:color="auto" w:fill="auto"/>
            <w:vAlign w:val="bottom"/>
          </w:tcPr>
          <w:p w14:paraId="41BA4520" w14:textId="77777777" w:rsidR="00DC5282" w:rsidRDefault="00DC5282" w:rsidP="00005928">
            <w:pPr>
              <w:widowControl w:val="0"/>
              <w:jc w:val="center"/>
              <w:rPr>
                <w:color w:val="000000"/>
                <w:sz w:val="16"/>
                <w:szCs w:val="16"/>
              </w:rPr>
            </w:pPr>
            <w:r>
              <w:rPr>
                <w:color w:val="000000"/>
                <w:sz w:val="16"/>
                <w:szCs w:val="16"/>
              </w:rPr>
              <w:t>12,4</w:t>
            </w:r>
          </w:p>
        </w:tc>
        <w:tc>
          <w:tcPr>
            <w:tcW w:w="991" w:type="dxa"/>
            <w:shd w:val="clear" w:color="auto" w:fill="auto"/>
            <w:vAlign w:val="bottom"/>
          </w:tcPr>
          <w:p w14:paraId="21FABE7C" w14:textId="77777777" w:rsidR="00DC5282" w:rsidRDefault="00DC5282" w:rsidP="00005928">
            <w:pPr>
              <w:widowControl w:val="0"/>
              <w:jc w:val="center"/>
              <w:rPr>
                <w:color w:val="000000"/>
                <w:sz w:val="16"/>
                <w:szCs w:val="16"/>
                <w:lang w:val="en-US"/>
              </w:rPr>
            </w:pPr>
            <w:r>
              <w:rPr>
                <w:color w:val="000000"/>
                <w:sz w:val="16"/>
                <w:szCs w:val="16"/>
              </w:rPr>
              <w:t>11,0</w:t>
            </w:r>
          </w:p>
        </w:tc>
        <w:tc>
          <w:tcPr>
            <w:tcW w:w="993" w:type="dxa"/>
            <w:shd w:val="clear" w:color="auto" w:fill="auto"/>
            <w:vAlign w:val="bottom"/>
          </w:tcPr>
          <w:p w14:paraId="2B6A5711" w14:textId="77777777" w:rsidR="00DC5282" w:rsidRDefault="00DC5282" w:rsidP="00005928">
            <w:pPr>
              <w:widowControl w:val="0"/>
              <w:jc w:val="center"/>
              <w:rPr>
                <w:i/>
                <w:iCs/>
                <w:color w:val="000000"/>
                <w:sz w:val="16"/>
                <w:szCs w:val="16"/>
              </w:rPr>
            </w:pPr>
            <w:r>
              <w:rPr>
                <w:i/>
                <w:iCs/>
                <w:color w:val="000000"/>
                <w:sz w:val="16"/>
                <w:szCs w:val="16"/>
              </w:rPr>
              <w:t>11</w:t>
            </w:r>
          </w:p>
        </w:tc>
        <w:tc>
          <w:tcPr>
            <w:tcW w:w="952" w:type="dxa"/>
            <w:shd w:val="clear" w:color="auto" w:fill="auto"/>
            <w:vAlign w:val="bottom"/>
          </w:tcPr>
          <w:p w14:paraId="299AED9C" w14:textId="77777777" w:rsidR="00DC5282" w:rsidRDefault="00DC5282" w:rsidP="00005928">
            <w:pPr>
              <w:widowControl w:val="0"/>
              <w:jc w:val="center"/>
              <w:rPr>
                <w:i/>
                <w:iCs/>
                <w:color w:val="000000"/>
                <w:sz w:val="16"/>
                <w:szCs w:val="16"/>
              </w:rPr>
            </w:pPr>
            <w:r>
              <w:rPr>
                <w:i/>
                <w:iCs/>
                <w:color w:val="000000"/>
                <w:sz w:val="16"/>
                <w:szCs w:val="16"/>
              </w:rPr>
              <w:t>11,5</w:t>
            </w:r>
          </w:p>
        </w:tc>
        <w:tc>
          <w:tcPr>
            <w:tcW w:w="891" w:type="dxa"/>
            <w:shd w:val="clear" w:color="auto" w:fill="auto"/>
            <w:vAlign w:val="bottom"/>
          </w:tcPr>
          <w:p w14:paraId="379A499F" w14:textId="77777777" w:rsidR="00DC5282" w:rsidRDefault="00DC5282" w:rsidP="00005928">
            <w:pPr>
              <w:widowControl w:val="0"/>
              <w:jc w:val="center"/>
              <w:rPr>
                <w:i/>
                <w:iCs/>
                <w:color w:val="000000"/>
                <w:sz w:val="16"/>
                <w:szCs w:val="16"/>
              </w:rPr>
            </w:pPr>
            <w:r>
              <w:rPr>
                <w:i/>
                <w:iCs/>
                <w:color w:val="000000"/>
                <w:sz w:val="16"/>
                <w:szCs w:val="16"/>
              </w:rPr>
              <w:t>11,6</w:t>
            </w:r>
          </w:p>
        </w:tc>
        <w:tc>
          <w:tcPr>
            <w:tcW w:w="850" w:type="dxa"/>
            <w:shd w:val="clear" w:color="auto" w:fill="auto"/>
            <w:vAlign w:val="bottom"/>
          </w:tcPr>
          <w:p w14:paraId="35072B55" w14:textId="77777777" w:rsidR="00DC5282" w:rsidRDefault="00DC5282" w:rsidP="00005928">
            <w:pPr>
              <w:widowControl w:val="0"/>
              <w:jc w:val="center"/>
              <w:rPr>
                <w:i/>
                <w:iCs/>
                <w:color w:val="000000"/>
                <w:sz w:val="16"/>
                <w:szCs w:val="16"/>
              </w:rPr>
            </w:pPr>
            <w:r>
              <w:rPr>
                <w:i/>
                <w:iCs/>
                <w:color w:val="000000"/>
                <w:sz w:val="16"/>
                <w:szCs w:val="16"/>
              </w:rPr>
              <w:t>11,4</w:t>
            </w:r>
          </w:p>
        </w:tc>
      </w:tr>
      <w:tr w:rsidR="00DC5282" w14:paraId="76C9B59D" w14:textId="77777777" w:rsidTr="00005928">
        <w:trPr>
          <w:trHeight w:val="315"/>
        </w:trPr>
        <w:tc>
          <w:tcPr>
            <w:tcW w:w="2138" w:type="dxa"/>
            <w:shd w:val="clear" w:color="auto" w:fill="auto"/>
            <w:vAlign w:val="bottom"/>
          </w:tcPr>
          <w:p w14:paraId="430EDA65" w14:textId="77777777" w:rsidR="00DC5282" w:rsidRDefault="00DC5282" w:rsidP="00005928">
            <w:pPr>
              <w:widowControl w:val="0"/>
              <w:rPr>
                <w:b/>
                <w:bCs/>
                <w:color w:val="000000"/>
                <w:sz w:val="18"/>
                <w:szCs w:val="18"/>
              </w:rPr>
            </w:pPr>
            <w:r>
              <w:rPr>
                <w:b/>
                <w:bCs/>
                <w:color w:val="000000"/>
                <w:sz w:val="18"/>
                <w:szCs w:val="18"/>
              </w:rPr>
              <w:t>Доля в общем объеме доходов, %</w:t>
            </w:r>
          </w:p>
        </w:tc>
        <w:tc>
          <w:tcPr>
            <w:tcW w:w="850" w:type="dxa"/>
            <w:shd w:val="clear" w:color="auto" w:fill="auto"/>
            <w:vAlign w:val="bottom"/>
          </w:tcPr>
          <w:p w14:paraId="2BDD24F1" w14:textId="77777777" w:rsidR="00DC5282" w:rsidRDefault="00DC5282" w:rsidP="00005928">
            <w:pPr>
              <w:widowControl w:val="0"/>
              <w:jc w:val="center"/>
              <w:rPr>
                <w:color w:val="000000"/>
                <w:sz w:val="16"/>
                <w:szCs w:val="16"/>
              </w:rPr>
            </w:pPr>
            <w:r>
              <w:rPr>
                <w:color w:val="000000"/>
                <w:sz w:val="16"/>
                <w:szCs w:val="16"/>
              </w:rPr>
              <w:t>100</w:t>
            </w:r>
          </w:p>
        </w:tc>
        <w:tc>
          <w:tcPr>
            <w:tcW w:w="851" w:type="dxa"/>
            <w:shd w:val="clear" w:color="auto" w:fill="auto"/>
            <w:vAlign w:val="bottom"/>
          </w:tcPr>
          <w:p w14:paraId="5DDEF9A1" w14:textId="77777777" w:rsidR="00DC5282" w:rsidRDefault="00DC5282" w:rsidP="00005928">
            <w:pPr>
              <w:widowControl w:val="0"/>
              <w:jc w:val="center"/>
              <w:rPr>
                <w:color w:val="000000"/>
                <w:sz w:val="16"/>
                <w:szCs w:val="16"/>
              </w:rPr>
            </w:pPr>
            <w:r>
              <w:rPr>
                <w:color w:val="000000"/>
                <w:sz w:val="16"/>
                <w:szCs w:val="16"/>
              </w:rPr>
              <w:t>100</w:t>
            </w:r>
          </w:p>
        </w:tc>
        <w:tc>
          <w:tcPr>
            <w:tcW w:w="992" w:type="dxa"/>
            <w:shd w:val="clear" w:color="auto" w:fill="auto"/>
            <w:vAlign w:val="bottom"/>
          </w:tcPr>
          <w:p w14:paraId="4E1B8BA6" w14:textId="77777777" w:rsidR="00DC5282" w:rsidRDefault="00DC5282" w:rsidP="00005928">
            <w:pPr>
              <w:widowControl w:val="0"/>
              <w:jc w:val="center"/>
              <w:rPr>
                <w:color w:val="000000"/>
                <w:sz w:val="16"/>
                <w:szCs w:val="16"/>
              </w:rPr>
            </w:pPr>
            <w:r>
              <w:rPr>
                <w:color w:val="000000"/>
                <w:sz w:val="16"/>
                <w:szCs w:val="16"/>
              </w:rPr>
              <w:t>100</w:t>
            </w:r>
          </w:p>
        </w:tc>
        <w:tc>
          <w:tcPr>
            <w:tcW w:w="991" w:type="dxa"/>
            <w:shd w:val="clear" w:color="auto" w:fill="auto"/>
            <w:vAlign w:val="bottom"/>
          </w:tcPr>
          <w:p w14:paraId="11C94A4E" w14:textId="77777777" w:rsidR="00DC5282" w:rsidRDefault="00DC5282" w:rsidP="00005928">
            <w:pPr>
              <w:widowControl w:val="0"/>
              <w:jc w:val="center"/>
              <w:rPr>
                <w:color w:val="000000"/>
                <w:sz w:val="16"/>
                <w:szCs w:val="16"/>
              </w:rPr>
            </w:pPr>
            <w:r>
              <w:rPr>
                <w:color w:val="000000"/>
                <w:sz w:val="16"/>
                <w:szCs w:val="16"/>
              </w:rPr>
              <w:t>100</w:t>
            </w:r>
          </w:p>
        </w:tc>
        <w:tc>
          <w:tcPr>
            <w:tcW w:w="993" w:type="dxa"/>
            <w:shd w:val="clear" w:color="auto" w:fill="auto"/>
            <w:vAlign w:val="bottom"/>
          </w:tcPr>
          <w:p w14:paraId="7234547F" w14:textId="77777777" w:rsidR="00DC5282" w:rsidRDefault="00DC5282" w:rsidP="00005928">
            <w:pPr>
              <w:widowControl w:val="0"/>
              <w:jc w:val="center"/>
              <w:rPr>
                <w:bCs/>
                <w:color w:val="000000"/>
                <w:sz w:val="16"/>
                <w:szCs w:val="16"/>
              </w:rPr>
            </w:pPr>
            <w:r>
              <w:rPr>
                <w:bCs/>
                <w:color w:val="000000"/>
                <w:sz w:val="16"/>
                <w:szCs w:val="16"/>
              </w:rPr>
              <w:t>100</w:t>
            </w:r>
          </w:p>
        </w:tc>
        <w:tc>
          <w:tcPr>
            <w:tcW w:w="952" w:type="dxa"/>
            <w:shd w:val="clear" w:color="auto" w:fill="auto"/>
            <w:vAlign w:val="bottom"/>
          </w:tcPr>
          <w:p w14:paraId="5C9A74E3" w14:textId="77777777" w:rsidR="00DC5282" w:rsidRDefault="00DC5282" w:rsidP="00005928">
            <w:pPr>
              <w:widowControl w:val="0"/>
              <w:jc w:val="center"/>
              <w:rPr>
                <w:bCs/>
                <w:color w:val="000000"/>
                <w:sz w:val="16"/>
                <w:szCs w:val="16"/>
              </w:rPr>
            </w:pPr>
            <w:r>
              <w:rPr>
                <w:bCs/>
                <w:color w:val="000000"/>
                <w:sz w:val="16"/>
                <w:szCs w:val="16"/>
              </w:rPr>
              <w:t>100</w:t>
            </w:r>
          </w:p>
        </w:tc>
        <w:tc>
          <w:tcPr>
            <w:tcW w:w="891" w:type="dxa"/>
            <w:shd w:val="clear" w:color="auto" w:fill="auto"/>
            <w:vAlign w:val="bottom"/>
          </w:tcPr>
          <w:p w14:paraId="2C82FFE8" w14:textId="77777777" w:rsidR="00DC5282" w:rsidRDefault="00DC5282" w:rsidP="00005928">
            <w:pPr>
              <w:widowControl w:val="0"/>
              <w:jc w:val="center"/>
              <w:rPr>
                <w:bCs/>
                <w:color w:val="000000"/>
                <w:sz w:val="16"/>
                <w:szCs w:val="16"/>
              </w:rPr>
            </w:pPr>
            <w:r>
              <w:rPr>
                <w:bCs/>
                <w:color w:val="000000"/>
                <w:sz w:val="16"/>
                <w:szCs w:val="16"/>
              </w:rPr>
              <w:t>100</w:t>
            </w:r>
          </w:p>
        </w:tc>
        <w:tc>
          <w:tcPr>
            <w:tcW w:w="850" w:type="dxa"/>
            <w:shd w:val="clear" w:color="auto" w:fill="auto"/>
            <w:vAlign w:val="bottom"/>
          </w:tcPr>
          <w:p w14:paraId="38A04026" w14:textId="77777777" w:rsidR="00DC5282" w:rsidRDefault="00DC5282" w:rsidP="00005928">
            <w:pPr>
              <w:widowControl w:val="0"/>
              <w:jc w:val="center"/>
              <w:rPr>
                <w:bCs/>
                <w:color w:val="000000"/>
                <w:sz w:val="16"/>
                <w:szCs w:val="16"/>
              </w:rPr>
            </w:pPr>
            <w:r>
              <w:rPr>
                <w:bCs/>
                <w:color w:val="000000"/>
                <w:sz w:val="16"/>
                <w:szCs w:val="16"/>
              </w:rPr>
              <w:t>100</w:t>
            </w:r>
          </w:p>
        </w:tc>
      </w:tr>
      <w:tr w:rsidR="00DC5282" w14:paraId="79B538B4" w14:textId="77777777" w:rsidTr="00005928">
        <w:trPr>
          <w:trHeight w:val="315"/>
        </w:trPr>
        <w:tc>
          <w:tcPr>
            <w:tcW w:w="2138" w:type="dxa"/>
            <w:shd w:val="clear" w:color="auto" w:fill="auto"/>
            <w:vAlign w:val="bottom"/>
          </w:tcPr>
          <w:p w14:paraId="334930A3" w14:textId="77777777" w:rsidR="00DC5282" w:rsidRDefault="00DC5282" w:rsidP="00005928">
            <w:pPr>
              <w:widowControl w:val="0"/>
              <w:rPr>
                <w:color w:val="000000"/>
                <w:sz w:val="18"/>
                <w:szCs w:val="18"/>
              </w:rPr>
            </w:pPr>
            <w:r>
              <w:rPr>
                <w:color w:val="000000"/>
                <w:sz w:val="18"/>
                <w:szCs w:val="18"/>
              </w:rPr>
              <w:t>в том числе:</w:t>
            </w:r>
          </w:p>
        </w:tc>
        <w:tc>
          <w:tcPr>
            <w:tcW w:w="850" w:type="dxa"/>
            <w:shd w:val="clear" w:color="auto" w:fill="auto"/>
            <w:vAlign w:val="bottom"/>
          </w:tcPr>
          <w:p w14:paraId="19DBA693" w14:textId="77777777" w:rsidR="00DC5282" w:rsidRDefault="00DC5282" w:rsidP="00005928">
            <w:pPr>
              <w:widowControl w:val="0"/>
              <w:jc w:val="center"/>
              <w:rPr>
                <w:color w:val="000000"/>
                <w:sz w:val="16"/>
                <w:szCs w:val="16"/>
              </w:rPr>
            </w:pPr>
          </w:p>
        </w:tc>
        <w:tc>
          <w:tcPr>
            <w:tcW w:w="851" w:type="dxa"/>
            <w:shd w:val="clear" w:color="auto" w:fill="auto"/>
            <w:vAlign w:val="bottom"/>
          </w:tcPr>
          <w:p w14:paraId="1A920236" w14:textId="77777777" w:rsidR="00DC5282" w:rsidRDefault="00DC5282" w:rsidP="00005928">
            <w:pPr>
              <w:widowControl w:val="0"/>
              <w:jc w:val="center"/>
              <w:rPr>
                <w:color w:val="000000"/>
                <w:sz w:val="16"/>
                <w:szCs w:val="16"/>
              </w:rPr>
            </w:pPr>
          </w:p>
        </w:tc>
        <w:tc>
          <w:tcPr>
            <w:tcW w:w="992" w:type="dxa"/>
            <w:shd w:val="clear" w:color="auto" w:fill="auto"/>
            <w:vAlign w:val="bottom"/>
          </w:tcPr>
          <w:p w14:paraId="6E6B9CEB" w14:textId="77777777" w:rsidR="00DC5282" w:rsidRDefault="00DC5282" w:rsidP="00005928">
            <w:pPr>
              <w:widowControl w:val="0"/>
              <w:jc w:val="center"/>
              <w:rPr>
                <w:color w:val="000000"/>
                <w:sz w:val="16"/>
                <w:szCs w:val="16"/>
              </w:rPr>
            </w:pPr>
          </w:p>
        </w:tc>
        <w:tc>
          <w:tcPr>
            <w:tcW w:w="991" w:type="dxa"/>
            <w:shd w:val="clear" w:color="auto" w:fill="auto"/>
            <w:vAlign w:val="bottom"/>
          </w:tcPr>
          <w:p w14:paraId="316FD244" w14:textId="77777777" w:rsidR="00DC5282" w:rsidRDefault="00DC5282" w:rsidP="00005928">
            <w:pPr>
              <w:widowControl w:val="0"/>
              <w:jc w:val="center"/>
              <w:rPr>
                <w:color w:val="000000"/>
                <w:sz w:val="16"/>
                <w:szCs w:val="16"/>
              </w:rPr>
            </w:pPr>
          </w:p>
        </w:tc>
        <w:tc>
          <w:tcPr>
            <w:tcW w:w="993" w:type="dxa"/>
            <w:shd w:val="clear" w:color="auto" w:fill="auto"/>
            <w:vAlign w:val="bottom"/>
          </w:tcPr>
          <w:p w14:paraId="29E24DF3" w14:textId="77777777" w:rsidR="00DC5282" w:rsidRDefault="00DC5282" w:rsidP="00005928">
            <w:pPr>
              <w:widowControl w:val="0"/>
              <w:jc w:val="center"/>
              <w:rPr>
                <w:color w:val="000000"/>
                <w:sz w:val="16"/>
                <w:szCs w:val="16"/>
              </w:rPr>
            </w:pPr>
          </w:p>
        </w:tc>
        <w:tc>
          <w:tcPr>
            <w:tcW w:w="952" w:type="dxa"/>
            <w:shd w:val="clear" w:color="auto" w:fill="auto"/>
            <w:vAlign w:val="bottom"/>
          </w:tcPr>
          <w:p w14:paraId="69D5358C" w14:textId="77777777" w:rsidR="00DC5282" w:rsidRDefault="00DC5282" w:rsidP="00005928">
            <w:pPr>
              <w:widowControl w:val="0"/>
              <w:jc w:val="center"/>
              <w:rPr>
                <w:color w:val="000000"/>
                <w:sz w:val="16"/>
                <w:szCs w:val="16"/>
              </w:rPr>
            </w:pPr>
          </w:p>
        </w:tc>
        <w:tc>
          <w:tcPr>
            <w:tcW w:w="891" w:type="dxa"/>
            <w:shd w:val="clear" w:color="auto" w:fill="auto"/>
            <w:vAlign w:val="bottom"/>
          </w:tcPr>
          <w:p w14:paraId="337426A2" w14:textId="77777777" w:rsidR="00DC5282" w:rsidRDefault="00DC5282" w:rsidP="00005928">
            <w:pPr>
              <w:widowControl w:val="0"/>
              <w:jc w:val="center"/>
              <w:rPr>
                <w:color w:val="000000"/>
                <w:sz w:val="16"/>
                <w:szCs w:val="16"/>
              </w:rPr>
            </w:pPr>
          </w:p>
        </w:tc>
        <w:tc>
          <w:tcPr>
            <w:tcW w:w="850" w:type="dxa"/>
            <w:shd w:val="clear" w:color="auto" w:fill="auto"/>
            <w:vAlign w:val="bottom"/>
          </w:tcPr>
          <w:p w14:paraId="09FAE87A" w14:textId="77777777" w:rsidR="00DC5282" w:rsidRDefault="00DC5282" w:rsidP="00005928">
            <w:pPr>
              <w:widowControl w:val="0"/>
              <w:jc w:val="center"/>
              <w:rPr>
                <w:color w:val="000000"/>
                <w:sz w:val="16"/>
                <w:szCs w:val="16"/>
              </w:rPr>
            </w:pPr>
          </w:p>
        </w:tc>
      </w:tr>
      <w:tr w:rsidR="00DC5282" w14:paraId="73811431" w14:textId="77777777" w:rsidTr="00005928">
        <w:trPr>
          <w:trHeight w:val="315"/>
        </w:trPr>
        <w:tc>
          <w:tcPr>
            <w:tcW w:w="2138" w:type="dxa"/>
            <w:shd w:val="clear" w:color="auto" w:fill="auto"/>
            <w:vAlign w:val="bottom"/>
          </w:tcPr>
          <w:p w14:paraId="384D4DEC" w14:textId="77777777" w:rsidR="00DC5282" w:rsidRDefault="00DC5282" w:rsidP="00005928">
            <w:pPr>
              <w:widowControl w:val="0"/>
              <w:rPr>
                <w:color w:val="000000"/>
                <w:sz w:val="18"/>
                <w:szCs w:val="18"/>
              </w:rPr>
            </w:pPr>
            <w:r>
              <w:rPr>
                <w:color w:val="000000"/>
                <w:sz w:val="18"/>
                <w:szCs w:val="18"/>
              </w:rPr>
              <w:t xml:space="preserve">Нефтегазовые доходы </w:t>
            </w:r>
          </w:p>
        </w:tc>
        <w:tc>
          <w:tcPr>
            <w:tcW w:w="850" w:type="dxa"/>
            <w:shd w:val="clear" w:color="auto" w:fill="auto"/>
            <w:vAlign w:val="bottom"/>
          </w:tcPr>
          <w:p w14:paraId="08B32C62" w14:textId="77777777" w:rsidR="00DC5282" w:rsidRDefault="00DC5282" w:rsidP="00005928">
            <w:pPr>
              <w:widowControl w:val="0"/>
              <w:jc w:val="center"/>
              <w:rPr>
                <w:color w:val="000000"/>
                <w:sz w:val="16"/>
                <w:szCs w:val="16"/>
              </w:rPr>
            </w:pPr>
            <w:r>
              <w:rPr>
                <w:color w:val="000000"/>
                <w:sz w:val="16"/>
                <w:szCs w:val="16"/>
              </w:rPr>
              <w:t>40,9</w:t>
            </w:r>
          </w:p>
        </w:tc>
        <w:tc>
          <w:tcPr>
            <w:tcW w:w="851" w:type="dxa"/>
            <w:shd w:val="clear" w:color="auto" w:fill="auto"/>
            <w:vAlign w:val="bottom"/>
          </w:tcPr>
          <w:p w14:paraId="5CBA5051" w14:textId="77777777" w:rsidR="00DC5282" w:rsidRDefault="00DC5282" w:rsidP="00005928">
            <w:pPr>
              <w:widowControl w:val="0"/>
              <w:jc w:val="center"/>
              <w:rPr>
                <w:color w:val="000000"/>
                <w:sz w:val="16"/>
                <w:szCs w:val="16"/>
              </w:rPr>
            </w:pPr>
            <w:r>
              <w:rPr>
                <w:color w:val="000000"/>
                <w:sz w:val="16"/>
                <w:szCs w:val="16"/>
              </w:rPr>
              <w:t>28</w:t>
            </w:r>
          </w:p>
        </w:tc>
        <w:tc>
          <w:tcPr>
            <w:tcW w:w="992" w:type="dxa"/>
            <w:shd w:val="clear" w:color="auto" w:fill="auto"/>
            <w:vAlign w:val="bottom"/>
          </w:tcPr>
          <w:p w14:paraId="72A80D69" w14:textId="77777777" w:rsidR="00DC5282" w:rsidRDefault="00DC5282" w:rsidP="00005928">
            <w:pPr>
              <w:widowControl w:val="0"/>
              <w:jc w:val="center"/>
              <w:rPr>
                <w:color w:val="000000"/>
                <w:sz w:val="16"/>
                <w:szCs w:val="16"/>
              </w:rPr>
            </w:pPr>
            <w:r>
              <w:rPr>
                <w:color w:val="000000"/>
                <w:sz w:val="16"/>
                <w:szCs w:val="16"/>
              </w:rPr>
              <w:t>35,8</w:t>
            </w:r>
          </w:p>
        </w:tc>
        <w:tc>
          <w:tcPr>
            <w:tcW w:w="991" w:type="dxa"/>
            <w:shd w:val="clear" w:color="auto" w:fill="auto"/>
            <w:vAlign w:val="bottom"/>
          </w:tcPr>
          <w:p w14:paraId="34177B1E" w14:textId="77777777" w:rsidR="00DC5282" w:rsidRDefault="00DC5282" w:rsidP="00005928">
            <w:pPr>
              <w:widowControl w:val="0"/>
              <w:jc w:val="center"/>
              <w:rPr>
                <w:color w:val="000000"/>
                <w:sz w:val="16"/>
                <w:szCs w:val="16"/>
                <w:lang w:val="en-US"/>
              </w:rPr>
            </w:pPr>
            <w:r>
              <w:rPr>
                <w:color w:val="000000"/>
                <w:sz w:val="16"/>
                <w:szCs w:val="16"/>
              </w:rPr>
              <w:t>45,5</w:t>
            </w:r>
          </w:p>
        </w:tc>
        <w:tc>
          <w:tcPr>
            <w:tcW w:w="993" w:type="dxa"/>
            <w:shd w:val="clear" w:color="auto" w:fill="auto"/>
            <w:vAlign w:val="bottom"/>
          </w:tcPr>
          <w:p w14:paraId="03DAFF0D" w14:textId="77777777" w:rsidR="00DC5282" w:rsidRDefault="00DC5282" w:rsidP="00005928">
            <w:pPr>
              <w:widowControl w:val="0"/>
              <w:jc w:val="center"/>
              <w:rPr>
                <w:color w:val="000000"/>
                <w:sz w:val="16"/>
                <w:szCs w:val="16"/>
              </w:rPr>
            </w:pPr>
            <w:r>
              <w:rPr>
                <w:color w:val="000000"/>
                <w:sz w:val="16"/>
                <w:szCs w:val="16"/>
              </w:rPr>
              <w:t>42,1</w:t>
            </w:r>
          </w:p>
        </w:tc>
        <w:tc>
          <w:tcPr>
            <w:tcW w:w="952" w:type="dxa"/>
            <w:shd w:val="clear" w:color="auto" w:fill="auto"/>
            <w:vAlign w:val="bottom"/>
          </w:tcPr>
          <w:p w14:paraId="03773E56" w14:textId="77777777" w:rsidR="00DC5282" w:rsidRDefault="00DC5282" w:rsidP="00005928">
            <w:pPr>
              <w:widowControl w:val="0"/>
              <w:jc w:val="center"/>
              <w:rPr>
                <w:color w:val="000000"/>
                <w:sz w:val="16"/>
                <w:szCs w:val="16"/>
              </w:rPr>
            </w:pPr>
            <w:r>
              <w:rPr>
                <w:color w:val="000000"/>
                <w:sz w:val="16"/>
                <w:szCs w:val="16"/>
              </w:rPr>
              <w:t>34,2</w:t>
            </w:r>
          </w:p>
        </w:tc>
        <w:tc>
          <w:tcPr>
            <w:tcW w:w="891" w:type="dxa"/>
            <w:shd w:val="clear" w:color="auto" w:fill="auto"/>
            <w:vAlign w:val="bottom"/>
          </w:tcPr>
          <w:p w14:paraId="109F2DF4" w14:textId="77777777" w:rsidR="00DC5282" w:rsidRDefault="00DC5282" w:rsidP="00005928">
            <w:pPr>
              <w:widowControl w:val="0"/>
              <w:jc w:val="center"/>
              <w:rPr>
                <w:color w:val="000000"/>
                <w:sz w:val="16"/>
                <w:szCs w:val="16"/>
              </w:rPr>
            </w:pPr>
            <w:r>
              <w:rPr>
                <w:color w:val="000000"/>
                <w:sz w:val="16"/>
                <w:szCs w:val="16"/>
              </w:rPr>
              <w:t>31,8</w:t>
            </w:r>
          </w:p>
        </w:tc>
        <w:tc>
          <w:tcPr>
            <w:tcW w:w="850" w:type="dxa"/>
            <w:shd w:val="clear" w:color="auto" w:fill="auto"/>
            <w:vAlign w:val="bottom"/>
          </w:tcPr>
          <w:p w14:paraId="45B2B2C5" w14:textId="77777777" w:rsidR="00DC5282" w:rsidRDefault="00DC5282" w:rsidP="00005928">
            <w:pPr>
              <w:widowControl w:val="0"/>
              <w:jc w:val="center"/>
              <w:rPr>
                <w:color w:val="000000"/>
                <w:sz w:val="16"/>
                <w:szCs w:val="16"/>
              </w:rPr>
            </w:pPr>
            <w:r>
              <w:rPr>
                <w:color w:val="000000"/>
                <w:sz w:val="16"/>
                <w:szCs w:val="16"/>
              </w:rPr>
              <w:t>30,3</w:t>
            </w:r>
          </w:p>
        </w:tc>
      </w:tr>
      <w:tr w:rsidR="00DC5282" w14:paraId="63D9BAF9" w14:textId="77777777" w:rsidTr="00005928">
        <w:trPr>
          <w:trHeight w:val="315"/>
        </w:trPr>
        <w:tc>
          <w:tcPr>
            <w:tcW w:w="2138" w:type="dxa"/>
            <w:shd w:val="clear" w:color="auto" w:fill="auto"/>
            <w:vAlign w:val="bottom"/>
          </w:tcPr>
          <w:p w14:paraId="39F099D5" w14:textId="77777777" w:rsidR="00DC5282" w:rsidRDefault="00DC5282" w:rsidP="00005928">
            <w:pPr>
              <w:widowControl w:val="0"/>
              <w:rPr>
                <w:color w:val="000000"/>
                <w:sz w:val="18"/>
                <w:szCs w:val="18"/>
              </w:rPr>
            </w:pPr>
            <w:proofErr w:type="spellStart"/>
            <w:r>
              <w:rPr>
                <w:color w:val="000000"/>
                <w:sz w:val="18"/>
                <w:szCs w:val="18"/>
              </w:rPr>
              <w:t>Ненефтегазовые</w:t>
            </w:r>
            <w:proofErr w:type="spellEnd"/>
            <w:r>
              <w:rPr>
                <w:color w:val="000000"/>
                <w:sz w:val="18"/>
                <w:szCs w:val="18"/>
              </w:rPr>
              <w:t xml:space="preserve"> доходы </w:t>
            </w:r>
          </w:p>
        </w:tc>
        <w:tc>
          <w:tcPr>
            <w:tcW w:w="850" w:type="dxa"/>
            <w:shd w:val="clear" w:color="auto" w:fill="auto"/>
            <w:vAlign w:val="bottom"/>
          </w:tcPr>
          <w:p w14:paraId="5E4A47EF" w14:textId="77777777" w:rsidR="00DC5282" w:rsidRDefault="00DC5282" w:rsidP="00005928">
            <w:pPr>
              <w:widowControl w:val="0"/>
              <w:jc w:val="center"/>
              <w:rPr>
                <w:color w:val="000000"/>
                <w:sz w:val="16"/>
                <w:szCs w:val="16"/>
              </w:rPr>
            </w:pPr>
            <w:r>
              <w:rPr>
                <w:color w:val="000000"/>
                <w:sz w:val="16"/>
                <w:szCs w:val="16"/>
              </w:rPr>
              <w:t>59,1</w:t>
            </w:r>
          </w:p>
        </w:tc>
        <w:tc>
          <w:tcPr>
            <w:tcW w:w="851" w:type="dxa"/>
            <w:shd w:val="clear" w:color="auto" w:fill="auto"/>
            <w:vAlign w:val="bottom"/>
          </w:tcPr>
          <w:p w14:paraId="62B68792" w14:textId="77777777" w:rsidR="00DC5282" w:rsidRDefault="00DC5282" w:rsidP="00005928">
            <w:pPr>
              <w:widowControl w:val="0"/>
              <w:jc w:val="center"/>
              <w:rPr>
                <w:color w:val="000000"/>
                <w:sz w:val="16"/>
                <w:szCs w:val="16"/>
              </w:rPr>
            </w:pPr>
            <w:r>
              <w:rPr>
                <w:color w:val="000000"/>
                <w:sz w:val="16"/>
                <w:szCs w:val="16"/>
              </w:rPr>
              <w:t>72</w:t>
            </w:r>
          </w:p>
        </w:tc>
        <w:tc>
          <w:tcPr>
            <w:tcW w:w="992" w:type="dxa"/>
            <w:shd w:val="clear" w:color="auto" w:fill="auto"/>
            <w:vAlign w:val="bottom"/>
          </w:tcPr>
          <w:p w14:paraId="0F7BCD86" w14:textId="77777777" w:rsidR="00DC5282" w:rsidRDefault="00DC5282" w:rsidP="00005928">
            <w:pPr>
              <w:widowControl w:val="0"/>
              <w:jc w:val="center"/>
              <w:rPr>
                <w:color w:val="000000"/>
                <w:sz w:val="16"/>
                <w:szCs w:val="16"/>
                <w:lang w:val="en-US"/>
              </w:rPr>
            </w:pPr>
            <w:r>
              <w:rPr>
                <w:color w:val="000000"/>
                <w:sz w:val="16"/>
                <w:szCs w:val="16"/>
              </w:rPr>
              <w:t>64,2</w:t>
            </w:r>
          </w:p>
        </w:tc>
        <w:tc>
          <w:tcPr>
            <w:tcW w:w="991" w:type="dxa"/>
            <w:shd w:val="clear" w:color="auto" w:fill="auto"/>
            <w:vAlign w:val="bottom"/>
          </w:tcPr>
          <w:p w14:paraId="1B884D39" w14:textId="77777777" w:rsidR="00DC5282" w:rsidRDefault="00DC5282" w:rsidP="00005928">
            <w:pPr>
              <w:widowControl w:val="0"/>
              <w:jc w:val="center"/>
              <w:rPr>
                <w:color w:val="000000"/>
                <w:sz w:val="16"/>
                <w:szCs w:val="16"/>
                <w:lang w:val="en-US"/>
              </w:rPr>
            </w:pPr>
            <w:r>
              <w:rPr>
                <w:color w:val="000000"/>
                <w:sz w:val="16"/>
                <w:szCs w:val="16"/>
              </w:rPr>
              <w:t>54,5</w:t>
            </w:r>
          </w:p>
        </w:tc>
        <w:tc>
          <w:tcPr>
            <w:tcW w:w="993" w:type="dxa"/>
            <w:shd w:val="clear" w:color="auto" w:fill="auto"/>
            <w:vAlign w:val="bottom"/>
          </w:tcPr>
          <w:p w14:paraId="57073861" w14:textId="77777777" w:rsidR="00DC5282" w:rsidRDefault="00DC5282" w:rsidP="00005928">
            <w:pPr>
              <w:widowControl w:val="0"/>
              <w:jc w:val="center"/>
              <w:rPr>
                <w:color w:val="000000"/>
                <w:sz w:val="16"/>
                <w:szCs w:val="16"/>
              </w:rPr>
            </w:pPr>
            <w:r>
              <w:rPr>
                <w:color w:val="000000"/>
                <w:sz w:val="16"/>
                <w:szCs w:val="16"/>
              </w:rPr>
              <w:t>57,9</w:t>
            </w:r>
          </w:p>
        </w:tc>
        <w:tc>
          <w:tcPr>
            <w:tcW w:w="952" w:type="dxa"/>
            <w:shd w:val="clear" w:color="auto" w:fill="auto"/>
            <w:vAlign w:val="bottom"/>
          </w:tcPr>
          <w:p w14:paraId="4B0AD5AD" w14:textId="77777777" w:rsidR="00DC5282" w:rsidRDefault="00DC5282" w:rsidP="00005928">
            <w:pPr>
              <w:widowControl w:val="0"/>
              <w:jc w:val="center"/>
              <w:rPr>
                <w:color w:val="000000"/>
                <w:sz w:val="16"/>
                <w:szCs w:val="16"/>
              </w:rPr>
            </w:pPr>
            <w:r>
              <w:rPr>
                <w:color w:val="000000"/>
                <w:sz w:val="16"/>
                <w:szCs w:val="16"/>
              </w:rPr>
              <w:t>65,8</w:t>
            </w:r>
          </w:p>
        </w:tc>
        <w:tc>
          <w:tcPr>
            <w:tcW w:w="891" w:type="dxa"/>
            <w:shd w:val="clear" w:color="auto" w:fill="auto"/>
            <w:vAlign w:val="bottom"/>
          </w:tcPr>
          <w:p w14:paraId="79B43206" w14:textId="77777777" w:rsidR="00DC5282" w:rsidRDefault="00DC5282" w:rsidP="00005928">
            <w:pPr>
              <w:widowControl w:val="0"/>
              <w:jc w:val="center"/>
              <w:rPr>
                <w:color w:val="000000"/>
                <w:sz w:val="16"/>
                <w:szCs w:val="16"/>
              </w:rPr>
            </w:pPr>
            <w:r>
              <w:rPr>
                <w:color w:val="000000"/>
                <w:sz w:val="16"/>
                <w:szCs w:val="16"/>
              </w:rPr>
              <w:t>68,2</w:t>
            </w:r>
          </w:p>
        </w:tc>
        <w:tc>
          <w:tcPr>
            <w:tcW w:w="850" w:type="dxa"/>
            <w:shd w:val="clear" w:color="auto" w:fill="auto"/>
            <w:vAlign w:val="bottom"/>
          </w:tcPr>
          <w:p w14:paraId="10F00AC4" w14:textId="77777777" w:rsidR="00DC5282" w:rsidRDefault="00DC5282" w:rsidP="00005928">
            <w:pPr>
              <w:widowControl w:val="0"/>
              <w:jc w:val="center"/>
              <w:rPr>
                <w:color w:val="000000"/>
                <w:sz w:val="16"/>
                <w:szCs w:val="16"/>
              </w:rPr>
            </w:pPr>
            <w:r>
              <w:rPr>
                <w:color w:val="000000"/>
                <w:sz w:val="16"/>
                <w:szCs w:val="16"/>
              </w:rPr>
              <w:t>69,7</w:t>
            </w:r>
          </w:p>
        </w:tc>
      </w:tr>
    </w:tbl>
    <w:p w14:paraId="59149E4E" w14:textId="66A0C0B6" w:rsidR="00DC5282" w:rsidRDefault="00DC5282" w:rsidP="00DC5282">
      <w:pPr>
        <w:jc w:val="both"/>
        <w:rPr>
          <w:sz w:val="20"/>
          <w:szCs w:val="20"/>
        </w:rPr>
      </w:pPr>
      <w:bookmarkStart w:id="3" w:name="_Hlk84874083"/>
      <w:r>
        <w:rPr>
          <w:sz w:val="20"/>
          <w:szCs w:val="20"/>
        </w:rPr>
        <w:t xml:space="preserve">Источник: Пояснительная записка; Отчет об исполнении консолидированного бюджета Российской Федерации и бюджетов государственных внебюджетных фондов на 1.07.2021. на 1.01.2020. (сайт Федерального казначейства </w:t>
      </w:r>
      <w:r>
        <w:rPr>
          <w:sz w:val="20"/>
          <w:szCs w:val="20"/>
          <w:lang w:val="en-US"/>
        </w:rPr>
        <w:t>www</w:t>
      </w:r>
      <w:r>
        <w:rPr>
          <w:sz w:val="20"/>
          <w:szCs w:val="20"/>
        </w:rPr>
        <w:t>.</w:t>
      </w:r>
      <w:proofErr w:type="spellStart"/>
      <w:r>
        <w:rPr>
          <w:sz w:val="20"/>
          <w:szCs w:val="20"/>
          <w:lang w:val="en-US"/>
        </w:rPr>
        <w:t>roskazna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 ФГСФ (</w:t>
      </w:r>
      <w:r>
        <w:rPr>
          <w:sz w:val="20"/>
          <w:szCs w:val="20"/>
          <w:lang w:val="en-US"/>
        </w:rPr>
        <w:t>https</w:t>
      </w:r>
      <w:r>
        <w:rPr>
          <w:sz w:val="20"/>
          <w:szCs w:val="20"/>
        </w:rPr>
        <w:t>://</w:t>
      </w:r>
      <w:proofErr w:type="spellStart"/>
      <w:r>
        <w:rPr>
          <w:sz w:val="20"/>
          <w:szCs w:val="20"/>
          <w:lang w:val="en-US"/>
        </w:rPr>
        <w:t>rosstat</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w:t>
      </w:r>
      <w:bookmarkEnd w:id="3"/>
    </w:p>
    <w:p w14:paraId="070A0409" w14:textId="77777777" w:rsidR="00DC5282" w:rsidRDefault="00DC5282" w:rsidP="00DC5282">
      <w:pPr>
        <w:ind w:firstLine="709"/>
        <w:jc w:val="both"/>
        <w:rPr>
          <w:sz w:val="28"/>
          <w:szCs w:val="28"/>
        </w:rPr>
      </w:pPr>
    </w:p>
    <w:p w14:paraId="26497DC0" w14:textId="71FF2D73" w:rsidR="00DC5282" w:rsidRDefault="00DC5282" w:rsidP="00DC5282">
      <w:pPr>
        <w:spacing w:line="360" w:lineRule="auto"/>
        <w:ind w:firstLine="709"/>
        <w:jc w:val="both"/>
        <w:rPr>
          <w:sz w:val="28"/>
          <w:szCs w:val="28"/>
        </w:rPr>
      </w:pPr>
      <w:r>
        <w:rPr>
          <w:sz w:val="28"/>
          <w:szCs w:val="28"/>
        </w:rPr>
        <w:t>Снижение доли доходов федерального бюджета в ВВП прогнозируется как за счет нефтегазовых доходов, которые сокращаются с 6,9% (по итогам 2021 г</w:t>
      </w:r>
      <w:r w:rsidR="00840344">
        <w:rPr>
          <w:sz w:val="28"/>
          <w:szCs w:val="28"/>
        </w:rPr>
        <w:t>ода</w:t>
      </w:r>
      <w:r>
        <w:rPr>
          <w:sz w:val="28"/>
          <w:szCs w:val="28"/>
        </w:rPr>
        <w:t xml:space="preserve">) и 9,2% </w:t>
      </w:r>
      <w:r w:rsidR="00E574AF">
        <w:rPr>
          <w:sz w:val="28"/>
          <w:szCs w:val="28"/>
        </w:rPr>
        <w:t>(</w:t>
      </w:r>
      <w:r>
        <w:rPr>
          <w:sz w:val="28"/>
          <w:szCs w:val="28"/>
        </w:rPr>
        <w:t>по итогам первого полугодия 2022 г</w:t>
      </w:r>
      <w:r w:rsidR="00840344">
        <w:rPr>
          <w:sz w:val="28"/>
          <w:szCs w:val="28"/>
        </w:rPr>
        <w:t>ода</w:t>
      </w:r>
      <w:r w:rsidR="00E574AF">
        <w:rPr>
          <w:sz w:val="28"/>
          <w:szCs w:val="28"/>
        </w:rPr>
        <w:t>)</w:t>
      </w:r>
      <w:r>
        <w:rPr>
          <w:sz w:val="28"/>
          <w:szCs w:val="28"/>
        </w:rPr>
        <w:t xml:space="preserve"> до 6,0% в 2023 г</w:t>
      </w:r>
      <w:r w:rsidR="00840344">
        <w:rPr>
          <w:sz w:val="28"/>
          <w:szCs w:val="28"/>
        </w:rPr>
        <w:t>оду</w:t>
      </w:r>
      <w:r>
        <w:rPr>
          <w:sz w:val="28"/>
          <w:szCs w:val="28"/>
        </w:rPr>
        <w:t xml:space="preserve"> и 5,0% ВВП в 2025 г</w:t>
      </w:r>
      <w:r w:rsidR="00840344">
        <w:rPr>
          <w:sz w:val="28"/>
          <w:szCs w:val="28"/>
        </w:rPr>
        <w:t>оду</w:t>
      </w:r>
      <w:r>
        <w:rPr>
          <w:sz w:val="28"/>
          <w:szCs w:val="28"/>
        </w:rPr>
        <w:t xml:space="preserve">. </w:t>
      </w:r>
      <w:proofErr w:type="spellStart"/>
      <w:r>
        <w:rPr>
          <w:sz w:val="28"/>
          <w:szCs w:val="28"/>
        </w:rPr>
        <w:t>Ненефтегазовые</w:t>
      </w:r>
      <w:proofErr w:type="spellEnd"/>
      <w:r>
        <w:rPr>
          <w:sz w:val="28"/>
          <w:szCs w:val="28"/>
        </w:rPr>
        <w:t xml:space="preserve"> доходы федерального бюджета относительно ВВП также сокращаются, но не столь существенно – с 12,4% по итогам 2021 г</w:t>
      </w:r>
      <w:r w:rsidR="00840344">
        <w:rPr>
          <w:sz w:val="28"/>
          <w:szCs w:val="28"/>
        </w:rPr>
        <w:t>ода</w:t>
      </w:r>
      <w:r>
        <w:rPr>
          <w:sz w:val="28"/>
          <w:szCs w:val="28"/>
        </w:rPr>
        <w:t xml:space="preserve"> до 11,4% в 2025 г</w:t>
      </w:r>
      <w:r w:rsidR="00840344">
        <w:rPr>
          <w:sz w:val="28"/>
          <w:szCs w:val="28"/>
        </w:rPr>
        <w:t>оду</w:t>
      </w:r>
      <w:r>
        <w:rPr>
          <w:sz w:val="28"/>
          <w:szCs w:val="28"/>
        </w:rPr>
        <w:t xml:space="preserve">. При этом уже по итогам первого полугодия текущего года </w:t>
      </w:r>
      <w:proofErr w:type="spellStart"/>
      <w:r>
        <w:rPr>
          <w:sz w:val="28"/>
          <w:szCs w:val="28"/>
        </w:rPr>
        <w:t>ненефтегазовые</w:t>
      </w:r>
      <w:proofErr w:type="spellEnd"/>
      <w:r>
        <w:rPr>
          <w:sz w:val="28"/>
          <w:szCs w:val="28"/>
        </w:rPr>
        <w:t xml:space="preserve"> доходы </w:t>
      </w:r>
      <w:proofErr w:type="gramStart"/>
      <w:r>
        <w:rPr>
          <w:sz w:val="28"/>
          <w:szCs w:val="28"/>
        </w:rPr>
        <w:t>снизились до 11,0% ВВП и этот же уровень ожидается</w:t>
      </w:r>
      <w:proofErr w:type="gramEnd"/>
      <w:r>
        <w:rPr>
          <w:sz w:val="28"/>
          <w:szCs w:val="28"/>
        </w:rPr>
        <w:t xml:space="preserve"> и по итогам 2022 г</w:t>
      </w:r>
      <w:r w:rsidR="00840344">
        <w:rPr>
          <w:sz w:val="28"/>
          <w:szCs w:val="28"/>
        </w:rPr>
        <w:t>ода</w:t>
      </w:r>
      <w:r>
        <w:rPr>
          <w:sz w:val="28"/>
          <w:szCs w:val="28"/>
        </w:rPr>
        <w:t xml:space="preserve"> (см. рисунок 1). </w:t>
      </w:r>
    </w:p>
    <w:p w14:paraId="38181A37" w14:textId="77777777" w:rsidR="00DC5282" w:rsidRDefault="00DC5282" w:rsidP="00DC5282">
      <w:pPr>
        <w:jc w:val="center"/>
        <w:rPr>
          <w:sz w:val="28"/>
          <w:szCs w:val="28"/>
        </w:rPr>
      </w:pPr>
      <w:r>
        <w:rPr>
          <w:noProof/>
        </w:rPr>
        <w:drawing>
          <wp:inline distT="0" distB="0" distL="0" distR="0" wp14:anchorId="04764458" wp14:editId="0B7D0D49">
            <wp:extent cx="4674337" cy="3986251"/>
            <wp:effectExtent l="0" t="0" r="1206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125F76" w14:textId="77777777" w:rsidR="00DC5282" w:rsidRDefault="00DC5282" w:rsidP="00DC5282">
      <w:pPr>
        <w:jc w:val="both"/>
        <w:rPr>
          <w:sz w:val="20"/>
          <w:szCs w:val="20"/>
        </w:rPr>
      </w:pPr>
      <w:r>
        <w:rPr>
          <w:sz w:val="20"/>
          <w:szCs w:val="20"/>
        </w:rPr>
        <w:t xml:space="preserve">Источник: Пояснительная записка к проекту Федерального Закона «О федеральном </w:t>
      </w:r>
      <w:proofErr w:type="gramStart"/>
      <w:r>
        <w:rPr>
          <w:sz w:val="20"/>
          <w:szCs w:val="20"/>
        </w:rPr>
        <w:t>бюджете</w:t>
      </w:r>
      <w:proofErr w:type="gramEnd"/>
      <w:r>
        <w:rPr>
          <w:sz w:val="20"/>
          <w:szCs w:val="20"/>
        </w:rPr>
        <w:t xml:space="preserve"> на 2023 год и на плановый период 2024 и 2025 годов», </w:t>
      </w:r>
      <w:bookmarkStart w:id="4" w:name="_Hlk84942347"/>
      <w:r>
        <w:rPr>
          <w:sz w:val="20"/>
          <w:szCs w:val="20"/>
        </w:rPr>
        <w:t xml:space="preserve">Информация об исполнении федерального бюджета Российской Федерации на 1.07.2022. на 1.01.2022 (сайт Министерства финансов РФ </w:t>
      </w:r>
      <w:r>
        <w:rPr>
          <w:sz w:val="20"/>
          <w:szCs w:val="20"/>
          <w:lang w:val="en-US"/>
        </w:rPr>
        <w:t>www</w:t>
      </w:r>
      <w:r>
        <w:rPr>
          <w:sz w:val="20"/>
          <w:szCs w:val="20"/>
        </w:rPr>
        <w:t>.</w:t>
      </w:r>
      <w:proofErr w:type="spellStart"/>
      <w:r>
        <w:rPr>
          <w:sz w:val="20"/>
          <w:szCs w:val="20"/>
          <w:lang w:val="en-US"/>
        </w:rPr>
        <w:t>minfin</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 xml:space="preserve">), </w:t>
      </w:r>
      <w:bookmarkEnd w:id="4"/>
      <w:r>
        <w:rPr>
          <w:sz w:val="20"/>
          <w:szCs w:val="20"/>
        </w:rPr>
        <w:t>ФГСФ (</w:t>
      </w:r>
      <w:r>
        <w:rPr>
          <w:sz w:val="20"/>
          <w:szCs w:val="20"/>
          <w:lang w:val="en-US"/>
        </w:rPr>
        <w:t>https</w:t>
      </w:r>
      <w:r>
        <w:rPr>
          <w:sz w:val="20"/>
          <w:szCs w:val="20"/>
        </w:rPr>
        <w:t>://</w:t>
      </w:r>
      <w:proofErr w:type="spellStart"/>
      <w:r>
        <w:rPr>
          <w:sz w:val="20"/>
          <w:szCs w:val="20"/>
          <w:lang w:val="en-US"/>
        </w:rPr>
        <w:t>rosstat</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w:t>
      </w:r>
    </w:p>
    <w:p w14:paraId="00E514ED" w14:textId="060D98B5" w:rsidR="00DC5282" w:rsidRDefault="00DC5282" w:rsidP="00DC5282">
      <w:pPr>
        <w:ind w:firstLine="709"/>
        <w:jc w:val="both"/>
        <w:rPr>
          <w:sz w:val="28"/>
          <w:szCs w:val="28"/>
        </w:rPr>
      </w:pPr>
    </w:p>
    <w:p w14:paraId="1533A30D" w14:textId="77777777" w:rsidR="00840344" w:rsidRPr="008A0B13" w:rsidRDefault="00840344" w:rsidP="00840344">
      <w:pPr>
        <w:jc w:val="both"/>
        <w:rPr>
          <w:sz w:val="28"/>
          <w:szCs w:val="28"/>
        </w:rPr>
      </w:pPr>
      <w:r>
        <w:rPr>
          <w:sz w:val="28"/>
          <w:szCs w:val="28"/>
        </w:rPr>
        <w:t xml:space="preserve">Рисунок 1 – Нефтегазовые и </w:t>
      </w:r>
      <w:proofErr w:type="spellStart"/>
      <w:r>
        <w:rPr>
          <w:sz w:val="28"/>
          <w:szCs w:val="28"/>
        </w:rPr>
        <w:t>ненефтегазовые</w:t>
      </w:r>
      <w:proofErr w:type="spellEnd"/>
      <w:r>
        <w:rPr>
          <w:sz w:val="28"/>
          <w:szCs w:val="28"/>
        </w:rPr>
        <w:t xml:space="preserve"> доходы федерального бюджета в 2019–2025 годах </w:t>
      </w:r>
    </w:p>
    <w:p w14:paraId="52A814D2" w14:textId="77777777" w:rsidR="00840344" w:rsidRDefault="00840344" w:rsidP="00DC5282">
      <w:pPr>
        <w:ind w:firstLine="709"/>
        <w:jc w:val="both"/>
        <w:rPr>
          <w:sz w:val="28"/>
          <w:szCs w:val="28"/>
        </w:rPr>
      </w:pPr>
    </w:p>
    <w:p w14:paraId="6F608084" w14:textId="77777777" w:rsidR="00DC5282" w:rsidRDefault="00DC5282" w:rsidP="00DC5282">
      <w:pPr>
        <w:spacing w:line="360" w:lineRule="auto"/>
        <w:ind w:firstLine="709"/>
        <w:jc w:val="both"/>
        <w:rPr>
          <w:sz w:val="28"/>
          <w:szCs w:val="28"/>
        </w:rPr>
      </w:pPr>
      <w:r w:rsidRPr="00840344">
        <w:rPr>
          <w:sz w:val="28"/>
          <w:szCs w:val="28"/>
        </w:rPr>
        <w:t xml:space="preserve">Отношение нефтегазовых доходов федерального бюджета к ВВП в первом полугодии текущего года было выше предварительных итогов года на 1,2 </w:t>
      </w:r>
      <w:proofErr w:type="spellStart"/>
      <w:r w:rsidRPr="00840344">
        <w:rPr>
          <w:sz w:val="28"/>
          <w:szCs w:val="28"/>
        </w:rPr>
        <w:t>п.п</w:t>
      </w:r>
      <w:proofErr w:type="spellEnd"/>
      <w:r w:rsidRPr="00840344">
        <w:rPr>
          <w:sz w:val="28"/>
          <w:szCs w:val="28"/>
        </w:rPr>
        <w:t>. и составляло 9,2% при средней цене на нефть сорта Юралс</w:t>
      </w:r>
      <w:r>
        <w:rPr>
          <w:sz w:val="28"/>
          <w:szCs w:val="28"/>
        </w:rPr>
        <w:t xml:space="preserve"> (применявшейся для расчета НДПИ) в этот период 85,4 долл. США/баррель. По предварительным оценкам итогов года цена на нефть составит уже 80,0 долл. США/баррель, а доля нефтегазовых доходов в ВВП сократится до 8,0% ВВП. </w:t>
      </w:r>
    </w:p>
    <w:p w14:paraId="642F3F8A" w14:textId="77777777" w:rsidR="00DC5282" w:rsidRDefault="00DC5282" w:rsidP="00DC5282">
      <w:pPr>
        <w:spacing w:line="360" w:lineRule="auto"/>
        <w:ind w:firstLine="709"/>
        <w:jc w:val="both"/>
        <w:rPr>
          <w:sz w:val="28"/>
          <w:szCs w:val="28"/>
        </w:rPr>
      </w:pPr>
      <w:r>
        <w:rPr>
          <w:sz w:val="28"/>
          <w:szCs w:val="28"/>
        </w:rPr>
        <w:t xml:space="preserve">Прогнозные расчеты исходят из более существенного снижения цен на нефть, чем это просматривается по текущему тренду (по итогам 9 месяцев года средняя цена на нефть составляет 84,1 долл. США/баррель). В </w:t>
      </w:r>
      <w:proofErr w:type="gramStart"/>
      <w:r>
        <w:rPr>
          <w:sz w:val="28"/>
          <w:szCs w:val="28"/>
        </w:rPr>
        <w:t>целом</w:t>
      </w:r>
      <w:proofErr w:type="gramEnd"/>
      <w:r>
        <w:rPr>
          <w:sz w:val="28"/>
          <w:szCs w:val="28"/>
        </w:rPr>
        <w:t xml:space="preserve"> же падение доли нефтегазовых доходов относительно ВВП будет следовать за динамикой цен на нефть (рисунок 1). </w:t>
      </w:r>
    </w:p>
    <w:p w14:paraId="03A5729E" w14:textId="657F7F66" w:rsidR="00DC5282" w:rsidRDefault="00DC5282" w:rsidP="00DC5282">
      <w:pPr>
        <w:spacing w:line="360" w:lineRule="auto"/>
        <w:ind w:firstLine="709"/>
        <w:jc w:val="both"/>
        <w:rPr>
          <w:sz w:val="28"/>
          <w:szCs w:val="28"/>
        </w:rPr>
      </w:pPr>
      <w:r>
        <w:rPr>
          <w:sz w:val="28"/>
          <w:szCs w:val="28"/>
        </w:rPr>
        <w:t>На протяжении планового трехлетнего периода доля нефтегазовых доходов в федеральном бюджет</w:t>
      </w:r>
      <w:r w:rsidR="00E574AF">
        <w:rPr>
          <w:sz w:val="28"/>
          <w:szCs w:val="28"/>
        </w:rPr>
        <w:t>е</w:t>
      </w:r>
      <w:r>
        <w:rPr>
          <w:sz w:val="28"/>
          <w:szCs w:val="28"/>
        </w:rPr>
        <w:t xml:space="preserve"> сокращается.  По сравнению с итогами 2021 г</w:t>
      </w:r>
      <w:r w:rsidR="00CB19A8">
        <w:rPr>
          <w:sz w:val="28"/>
          <w:szCs w:val="28"/>
        </w:rPr>
        <w:t>ода</w:t>
      </w:r>
      <w:r>
        <w:rPr>
          <w:sz w:val="28"/>
          <w:szCs w:val="28"/>
        </w:rPr>
        <w:t xml:space="preserve"> это сокращение может рассматриваться как относительно незначительное - с 35,8% до 34,2% в 2023 г</w:t>
      </w:r>
      <w:r w:rsidR="00CB19A8">
        <w:rPr>
          <w:sz w:val="28"/>
          <w:szCs w:val="28"/>
        </w:rPr>
        <w:t>оду</w:t>
      </w:r>
      <w:r>
        <w:rPr>
          <w:sz w:val="28"/>
          <w:szCs w:val="28"/>
        </w:rPr>
        <w:t xml:space="preserve"> и далее уже более существенно - до 30,3% в 2025 г</w:t>
      </w:r>
      <w:r w:rsidR="00CB19A8">
        <w:rPr>
          <w:sz w:val="28"/>
          <w:szCs w:val="28"/>
        </w:rPr>
        <w:t>оду.</w:t>
      </w:r>
      <w:r>
        <w:rPr>
          <w:sz w:val="28"/>
          <w:szCs w:val="28"/>
        </w:rPr>
        <w:t xml:space="preserve"> </w:t>
      </w:r>
      <w:proofErr w:type="gramStart"/>
      <w:r>
        <w:rPr>
          <w:sz w:val="28"/>
          <w:szCs w:val="28"/>
        </w:rPr>
        <w:t>Это сокращение выглядит более радикальным относительно показателей текущего 2022 г</w:t>
      </w:r>
      <w:r w:rsidR="00CB19A8">
        <w:rPr>
          <w:sz w:val="28"/>
          <w:szCs w:val="28"/>
        </w:rPr>
        <w:t>ода</w:t>
      </w:r>
      <w:r>
        <w:rPr>
          <w:sz w:val="28"/>
          <w:szCs w:val="28"/>
        </w:rPr>
        <w:t xml:space="preserve"> – по итогам первого полугодия доля нефтегазовых доходов составила 45,5%, а по итогам всего года прогнозируется на уровне 42,1%. Таким образом, доля данной категории доходов в 2023 г</w:t>
      </w:r>
      <w:r w:rsidR="00CB19A8">
        <w:rPr>
          <w:sz w:val="28"/>
          <w:szCs w:val="28"/>
        </w:rPr>
        <w:t>оду</w:t>
      </w:r>
      <w:r>
        <w:rPr>
          <w:sz w:val="28"/>
          <w:szCs w:val="28"/>
        </w:rPr>
        <w:t xml:space="preserve"> должна упасть почти на 10 </w:t>
      </w:r>
      <w:proofErr w:type="spellStart"/>
      <w:r>
        <w:rPr>
          <w:sz w:val="28"/>
          <w:szCs w:val="28"/>
        </w:rPr>
        <w:t>п.п</w:t>
      </w:r>
      <w:proofErr w:type="spellEnd"/>
      <w:r>
        <w:rPr>
          <w:sz w:val="28"/>
          <w:szCs w:val="28"/>
        </w:rPr>
        <w:t>. по сравнению с первым полугодием 2022 г</w:t>
      </w:r>
      <w:r w:rsidR="00CB19A8">
        <w:rPr>
          <w:sz w:val="28"/>
          <w:szCs w:val="28"/>
        </w:rPr>
        <w:t>ода.</w:t>
      </w:r>
      <w:proofErr w:type="gramEnd"/>
      <w:r>
        <w:rPr>
          <w:sz w:val="28"/>
          <w:szCs w:val="28"/>
        </w:rPr>
        <w:t xml:space="preserve"> Это падение прогнозируется на фоне повышения цены на нефть на 1 долл. США за баррель – с 69,1 долл. США/баррель в 2021 г</w:t>
      </w:r>
      <w:r w:rsidR="00CB19A8">
        <w:rPr>
          <w:sz w:val="28"/>
          <w:szCs w:val="28"/>
        </w:rPr>
        <w:t>оду</w:t>
      </w:r>
      <w:r>
        <w:rPr>
          <w:sz w:val="28"/>
          <w:szCs w:val="28"/>
        </w:rPr>
        <w:t xml:space="preserve"> до 70,1 долл. США/баррель в 2023 г</w:t>
      </w:r>
      <w:r w:rsidR="00CB19A8">
        <w:rPr>
          <w:sz w:val="28"/>
          <w:szCs w:val="28"/>
        </w:rPr>
        <w:t>оду.</w:t>
      </w:r>
      <w:r>
        <w:rPr>
          <w:sz w:val="28"/>
          <w:szCs w:val="28"/>
        </w:rPr>
        <w:t xml:space="preserve"> Такое изменение структуры доходов федерального бюджета не может быть связано исключительно с динамикой цен и валютного курса, а предполагает сокращение объемов добычи. </w:t>
      </w:r>
    </w:p>
    <w:p w14:paraId="7D2AD6EF" w14:textId="455C6BFF" w:rsidR="00DC5282" w:rsidRDefault="00DC5282" w:rsidP="00DC5282">
      <w:pPr>
        <w:spacing w:line="360" w:lineRule="auto"/>
        <w:ind w:firstLine="709"/>
        <w:jc w:val="both"/>
        <w:rPr>
          <w:sz w:val="28"/>
          <w:szCs w:val="28"/>
        </w:rPr>
      </w:pPr>
      <w:r>
        <w:rPr>
          <w:sz w:val="28"/>
          <w:szCs w:val="28"/>
        </w:rPr>
        <w:t xml:space="preserve">По абсолютным значениям поступлений доходов в федеральный бюджет просматривается следующая картина. В целом за период 2022–2025 годов прогнозируется </w:t>
      </w:r>
      <w:r>
        <w:rPr>
          <w:i/>
          <w:sz w:val="28"/>
          <w:szCs w:val="28"/>
        </w:rPr>
        <w:t>номинальный</w:t>
      </w:r>
      <w:r>
        <w:rPr>
          <w:sz w:val="28"/>
          <w:szCs w:val="28"/>
        </w:rPr>
        <w:t xml:space="preserve"> рост доходов федерального бюджета, который составит 110,7</w:t>
      </w:r>
      <w:r w:rsidRPr="003A2C74">
        <w:rPr>
          <w:sz w:val="28"/>
          <w:szCs w:val="28"/>
        </w:rPr>
        <w:t>%</w:t>
      </w:r>
      <w:r>
        <w:rPr>
          <w:sz w:val="28"/>
          <w:szCs w:val="28"/>
        </w:rPr>
        <w:t xml:space="preserve">. При этом, в 2023 году планируется сокращение поступлений в федеральный бюджет на 1563,8 </w:t>
      </w:r>
      <w:proofErr w:type="gramStart"/>
      <w:r>
        <w:rPr>
          <w:sz w:val="28"/>
          <w:szCs w:val="28"/>
        </w:rPr>
        <w:t>млрд</w:t>
      </w:r>
      <w:proofErr w:type="gramEnd"/>
      <w:r>
        <w:rPr>
          <w:sz w:val="28"/>
          <w:szCs w:val="28"/>
        </w:rPr>
        <w:t xml:space="preserve"> руб.</w:t>
      </w:r>
      <w:r w:rsidR="00E574AF">
        <w:rPr>
          <w:sz w:val="28"/>
          <w:szCs w:val="28"/>
        </w:rPr>
        <w:t>,</w:t>
      </w:r>
      <w:r>
        <w:rPr>
          <w:sz w:val="28"/>
          <w:szCs w:val="28"/>
        </w:rPr>
        <w:t xml:space="preserve"> или на 5,6%, которое не компенсируется в следующем 2024 г</w:t>
      </w:r>
      <w:r w:rsidR="00CB19A8">
        <w:rPr>
          <w:sz w:val="28"/>
          <w:szCs w:val="28"/>
        </w:rPr>
        <w:t>оду</w:t>
      </w:r>
      <w:r>
        <w:rPr>
          <w:sz w:val="28"/>
          <w:szCs w:val="28"/>
        </w:rPr>
        <w:t>. Поступления в федеральный бюджет во втором году планового трехлетнего периода оказываются ниже значений текущего 2022 г</w:t>
      </w:r>
      <w:r w:rsidR="00CB19A8">
        <w:rPr>
          <w:sz w:val="28"/>
          <w:szCs w:val="28"/>
        </w:rPr>
        <w:t>ода</w:t>
      </w:r>
      <w:r>
        <w:rPr>
          <w:sz w:val="28"/>
          <w:szCs w:val="28"/>
        </w:rPr>
        <w:t xml:space="preserve"> (по оценке) на 453,6 </w:t>
      </w:r>
      <w:proofErr w:type="gramStart"/>
      <w:r>
        <w:rPr>
          <w:sz w:val="28"/>
          <w:szCs w:val="28"/>
        </w:rPr>
        <w:t>млрд</w:t>
      </w:r>
      <w:proofErr w:type="gramEnd"/>
      <w:r>
        <w:rPr>
          <w:sz w:val="28"/>
          <w:szCs w:val="28"/>
        </w:rPr>
        <w:t xml:space="preserve"> руб.</w:t>
      </w:r>
      <w:r w:rsidR="00E574AF">
        <w:rPr>
          <w:sz w:val="28"/>
          <w:szCs w:val="28"/>
        </w:rPr>
        <w:t>,</w:t>
      </w:r>
      <w:r>
        <w:rPr>
          <w:sz w:val="28"/>
          <w:szCs w:val="28"/>
        </w:rPr>
        <w:t xml:space="preserve"> или на 1,6%. И только в третьем году рассматриваемого периода номинальные доходы федерального бюджета превысят показатели текущего года (на 1,0%</w:t>
      </w:r>
      <w:r w:rsidR="00E574AF">
        <w:rPr>
          <w:sz w:val="28"/>
          <w:szCs w:val="28"/>
        </w:rPr>
        <w:t>,</w:t>
      </w:r>
      <w:r>
        <w:rPr>
          <w:sz w:val="28"/>
          <w:szCs w:val="28"/>
        </w:rPr>
        <w:t xml:space="preserve"> или на 286,3 млрд руб.)</w:t>
      </w:r>
      <w:r w:rsidR="00CB19A8">
        <w:rPr>
          <w:sz w:val="28"/>
          <w:szCs w:val="28"/>
        </w:rPr>
        <w:t>.</w:t>
      </w:r>
    </w:p>
    <w:p w14:paraId="6F849039" w14:textId="4653114C" w:rsidR="00DC5282" w:rsidRDefault="00DC5282" w:rsidP="00DC5282">
      <w:pPr>
        <w:spacing w:line="360" w:lineRule="auto"/>
        <w:ind w:firstLine="709"/>
        <w:jc w:val="both"/>
        <w:rPr>
          <w:sz w:val="28"/>
          <w:szCs w:val="28"/>
        </w:rPr>
      </w:pPr>
      <w:r>
        <w:rPr>
          <w:i/>
          <w:iCs/>
          <w:sz w:val="28"/>
          <w:szCs w:val="28"/>
        </w:rPr>
        <w:t xml:space="preserve">В реальном </w:t>
      </w:r>
      <w:proofErr w:type="gramStart"/>
      <w:r>
        <w:rPr>
          <w:i/>
          <w:iCs/>
          <w:sz w:val="28"/>
          <w:szCs w:val="28"/>
        </w:rPr>
        <w:t>выражении</w:t>
      </w:r>
      <w:proofErr w:type="gramEnd"/>
      <w:r>
        <w:rPr>
          <w:i/>
          <w:iCs/>
          <w:sz w:val="28"/>
          <w:szCs w:val="28"/>
        </w:rPr>
        <w:t xml:space="preserve"> </w:t>
      </w:r>
      <w:r>
        <w:rPr>
          <w:sz w:val="28"/>
          <w:szCs w:val="28"/>
        </w:rPr>
        <w:t>сжатие доходов федерального выглядит еще более масштабным – в рамках планового периода в целом доходы федерального бюджета сократятся на 13,7% (</w:t>
      </w:r>
      <w:r w:rsidR="00E574AF">
        <w:rPr>
          <w:sz w:val="28"/>
          <w:szCs w:val="28"/>
        </w:rPr>
        <w:t xml:space="preserve">в </w:t>
      </w:r>
      <w:r>
        <w:rPr>
          <w:sz w:val="28"/>
          <w:szCs w:val="28"/>
        </w:rPr>
        <w:t>2025 г</w:t>
      </w:r>
      <w:r w:rsidR="00CB19A8">
        <w:rPr>
          <w:sz w:val="28"/>
          <w:szCs w:val="28"/>
        </w:rPr>
        <w:t>од</w:t>
      </w:r>
      <w:r w:rsidR="00E574AF">
        <w:rPr>
          <w:sz w:val="28"/>
          <w:szCs w:val="28"/>
        </w:rPr>
        <w:t>у</w:t>
      </w:r>
      <w:r>
        <w:rPr>
          <w:sz w:val="28"/>
          <w:szCs w:val="28"/>
        </w:rPr>
        <w:t xml:space="preserve"> по сравнению с 2022 г</w:t>
      </w:r>
      <w:r w:rsidR="00CB19A8">
        <w:rPr>
          <w:sz w:val="28"/>
          <w:szCs w:val="28"/>
        </w:rPr>
        <w:t>одом</w:t>
      </w:r>
      <w:r>
        <w:rPr>
          <w:sz w:val="28"/>
          <w:szCs w:val="28"/>
        </w:rPr>
        <w:t xml:space="preserve">). Само по себе такое сокращение доходов федерального бюджета при реальном росте (или хотя бы сохранении стабильного уровня) расходов в сочетании с наличием и эффективным использованием источников заимствования при снижении фискальной нагрузки не является чем-то угрожающим. Более того, снижение налоговой нагрузки на экономику при определенных условиях может позитивно сказываться на хозяйственной активности (если это снижение затрагивает </w:t>
      </w:r>
      <w:proofErr w:type="spellStart"/>
      <w:r>
        <w:rPr>
          <w:sz w:val="28"/>
          <w:szCs w:val="28"/>
        </w:rPr>
        <w:t>ненефтегазовый</w:t>
      </w:r>
      <w:proofErr w:type="spellEnd"/>
      <w:r>
        <w:rPr>
          <w:sz w:val="28"/>
          <w:szCs w:val="28"/>
        </w:rPr>
        <w:t xml:space="preserve"> сектор). </w:t>
      </w:r>
    </w:p>
    <w:p w14:paraId="4B9DCF38" w14:textId="4501D7FC" w:rsidR="00DC5282" w:rsidRDefault="00DC5282" w:rsidP="00DC5282">
      <w:pPr>
        <w:spacing w:line="360" w:lineRule="auto"/>
        <w:ind w:firstLine="709"/>
        <w:jc w:val="both"/>
        <w:rPr>
          <w:sz w:val="28"/>
          <w:szCs w:val="28"/>
        </w:rPr>
      </w:pPr>
      <w:r>
        <w:rPr>
          <w:sz w:val="28"/>
          <w:szCs w:val="28"/>
        </w:rPr>
        <w:t xml:space="preserve">Динамика нефтегазовых и </w:t>
      </w:r>
      <w:proofErr w:type="spellStart"/>
      <w:r>
        <w:rPr>
          <w:sz w:val="28"/>
          <w:szCs w:val="28"/>
        </w:rPr>
        <w:t>ненефтегазовых</w:t>
      </w:r>
      <w:proofErr w:type="spellEnd"/>
      <w:r>
        <w:rPr>
          <w:sz w:val="28"/>
          <w:szCs w:val="28"/>
        </w:rPr>
        <w:t xml:space="preserve"> доходов с учетом инфляции будет разнонаправленной. Так, если нефтегазовые доходы в реальном исчислении на протяжении всего планового периода будут сокращаться (на 27,4%, на 6,9% и на 5,7%, по годам, соответственно), то </w:t>
      </w:r>
      <w:proofErr w:type="spellStart"/>
      <w:r>
        <w:rPr>
          <w:sz w:val="28"/>
          <w:szCs w:val="28"/>
        </w:rPr>
        <w:t>ненефтегазовые</w:t>
      </w:r>
      <w:proofErr w:type="spellEnd"/>
      <w:r>
        <w:rPr>
          <w:sz w:val="28"/>
          <w:szCs w:val="28"/>
        </w:rPr>
        <w:t xml:space="preserve"> доходы будут расти (на 1,7%, 3,9% и 0,8%, соответственно). Принципиальное изменение роли </w:t>
      </w:r>
      <w:proofErr w:type="spellStart"/>
      <w:r>
        <w:rPr>
          <w:sz w:val="28"/>
          <w:szCs w:val="28"/>
        </w:rPr>
        <w:t>ненефтегазовых</w:t>
      </w:r>
      <w:proofErr w:type="spellEnd"/>
      <w:r>
        <w:rPr>
          <w:sz w:val="28"/>
          <w:szCs w:val="28"/>
        </w:rPr>
        <w:t xml:space="preserve"> доходов в структуре доходов федерального бюджета, тем не менее, не произойдет. </w:t>
      </w:r>
    </w:p>
    <w:p w14:paraId="6D54CBBD" w14:textId="77777777" w:rsidR="00DC5282" w:rsidRDefault="00DC5282" w:rsidP="00DC5282">
      <w:pPr>
        <w:spacing w:line="360" w:lineRule="auto"/>
        <w:ind w:firstLine="709"/>
        <w:jc w:val="both"/>
        <w:rPr>
          <w:b/>
          <w:bCs/>
          <w:i/>
          <w:iCs/>
          <w:sz w:val="28"/>
          <w:szCs w:val="28"/>
        </w:rPr>
      </w:pPr>
      <w:r>
        <w:rPr>
          <w:b/>
          <w:bCs/>
          <w:i/>
          <w:iCs/>
          <w:sz w:val="28"/>
          <w:szCs w:val="28"/>
        </w:rPr>
        <w:t>Нефтегазовые доходы</w:t>
      </w:r>
    </w:p>
    <w:p w14:paraId="69191469" w14:textId="23A2F562" w:rsidR="00DC5282" w:rsidRDefault="00DC5282" w:rsidP="00DC5282">
      <w:pPr>
        <w:spacing w:line="360" w:lineRule="auto"/>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планового периода 2023-2025 г</w:t>
      </w:r>
      <w:r w:rsidR="00DE7F60">
        <w:rPr>
          <w:sz w:val="28"/>
          <w:szCs w:val="28"/>
        </w:rPr>
        <w:t>одов</w:t>
      </w:r>
      <w:r>
        <w:rPr>
          <w:sz w:val="28"/>
          <w:szCs w:val="28"/>
        </w:rPr>
        <w:t xml:space="preserve"> в структуре нефтегазовых доходов федерального бюджета произойдут определенные изменения, обусловленные завершением налогового маневра, а также изменениями, вносимыми в налоговое законодательство, касающи</w:t>
      </w:r>
      <w:r w:rsidR="00E574AF">
        <w:rPr>
          <w:sz w:val="28"/>
          <w:szCs w:val="28"/>
        </w:rPr>
        <w:t>ми</w:t>
      </w:r>
      <w:r>
        <w:rPr>
          <w:sz w:val="28"/>
          <w:szCs w:val="28"/>
        </w:rPr>
        <w:t xml:space="preserve">ся НДПИ, НДД и обратного акциза на нефть, передаваемую на переработку. Динамика ключевых параметров мировых финансовых рынков (по прогнозу) также будет оказывать выраженное воздействие на составляющие данной категории поступлений (рисунок 2). </w:t>
      </w:r>
    </w:p>
    <w:p w14:paraId="0230E706" w14:textId="77777777" w:rsidR="00DC5282" w:rsidRDefault="00DC5282" w:rsidP="00DC5282">
      <w:pPr>
        <w:jc w:val="both"/>
        <w:rPr>
          <w:sz w:val="28"/>
          <w:szCs w:val="28"/>
        </w:rPr>
      </w:pPr>
      <w:r w:rsidRPr="009938D4">
        <w:rPr>
          <w:noProof/>
        </w:rPr>
        <w:drawing>
          <wp:inline distT="0" distB="0" distL="0" distR="0" wp14:anchorId="5566E331" wp14:editId="6726BB5F">
            <wp:extent cx="5940425" cy="38766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2F83EE" w14:textId="6F86697A" w:rsidR="00DC5282" w:rsidRDefault="00DC5282" w:rsidP="00DC5282">
      <w:pPr>
        <w:jc w:val="both"/>
        <w:rPr>
          <w:sz w:val="20"/>
          <w:szCs w:val="20"/>
        </w:rPr>
      </w:pPr>
      <w:r w:rsidRPr="000415A6">
        <w:rPr>
          <w:i/>
          <w:iCs/>
          <w:sz w:val="20"/>
          <w:szCs w:val="20"/>
        </w:rPr>
        <w:t>Источник:</w:t>
      </w:r>
      <w:r>
        <w:rPr>
          <w:sz w:val="20"/>
          <w:szCs w:val="20"/>
        </w:rPr>
        <w:t xml:space="preserve"> Пояснительная записка; Приложение №3 к Пояснительной записке; Отчет об исполнении консолидированного бюджета Российской Федерации и бюджетов государственных внебюджетных фондов на 01.01.2020., на 01.01.2021. на 01.01.2022 (сайт Федерального казначейства </w:t>
      </w:r>
      <w:r>
        <w:rPr>
          <w:sz w:val="20"/>
          <w:szCs w:val="20"/>
          <w:lang w:val="en-US"/>
        </w:rPr>
        <w:t>www</w:t>
      </w:r>
      <w:r>
        <w:rPr>
          <w:sz w:val="20"/>
          <w:szCs w:val="20"/>
        </w:rPr>
        <w:t>.</w:t>
      </w:r>
      <w:proofErr w:type="spellStart"/>
      <w:r>
        <w:rPr>
          <w:sz w:val="20"/>
          <w:szCs w:val="20"/>
          <w:lang w:val="en-US"/>
        </w:rPr>
        <w:t>roskazna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w:t>
      </w:r>
    </w:p>
    <w:p w14:paraId="5DE54974" w14:textId="5A5B07E8" w:rsidR="00DC5282" w:rsidRDefault="00DC5282" w:rsidP="00DC5282">
      <w:pPr>
        <w:ind w:firstLine="709"/>
        <w:jc w:val="both"/>
        <w:rPr>
          <w:sz w:val="28"/>
          <w:szCs w:val="28"/>
          <w:highlight w:val="lightGray"/>
        </w:rPr>
      </w:pPr>
    </w:p>
    <w:p w14:paraId="6F1E71C5" w14:textId="77777777" w:rsidR="00DE7F60" w:rsidRDefault="00DE7F60" w:rsidP="00DE7F60">
      <w:pPr>
        <w:ind w:firstLine="567"/>
        <w:jc w:val="both"/>
        <w:rPr>
          <w:sz w:val="28"/>
          <w:szCs w:val="28"/>
        </w:rPr>
      </w:pPr>
      <w:r>
        <w:rPr>
          <w:sz w:val="28"/>
          <w:szCs w:val="28"/>
        </w:rPr>
        <w:t xml:space="preserve">Рисунок 2 - Динамика нефтегазовых доходов федерального бюджета, 2019–2025 годов, </w:t>
      </w:r>
      <w:proofErr w:type="gramStart"/>
      <w:r>
        <w:rPr>
          <w:sz w:val="28"/>
          <w:szCs w:val="28"/>
        </w:rPr>
        <w:t>млрд</w:t>
      </w:r>
      <w:proofErr w:type="gramEnd"/>
      <w:r>
        <w:rPr>
          <w:sz w:val="28"/>
          <w:szCs w:val="28"/>
        </w:rPr>
        <w:t xml:space="preserve"> руб.</w:t>
      </w:r>
    </w:p>
    <w:p w14:paraId="714B418B" w14:textId="77777777" w:rsidR="00DE7F60" w:rsidRDefault="00DE7F60" w:rsidP="00DC5282">
      <w:pPr>
        <w:ind w:firstLine="709"/>
        <w:jc w:val="both"/>
        <w:rPr>
          <w:sz w:val="28"/>
          <w:szCs w:val="28"/>
          <w:highlight w:val="lightGray"/>
        </w:rPr>
      </w:pPr>
    </w:p>
    <w:p w14:paraId="403FDB0E" w14:textId="1F44A5CF" w:rsidR="00DC5282" w:rsidRDefault="00DC5282" w:rsidP="00DC5282">
      <w:pPr>
        <w:spacing w:line="360" w:lineRule="auto"/>
        <w:ind w:firstLine="709"/>
        <w:jc w:val="both"/>
        <w:rPr>
          <w:sz w:val="28"/>
          <w:szCs w:val="28"/>
        </w:rPr>
      </w:pPr>
      <w:proofErr w:type="gramStart"/>
      <w:r>
        <w:rPr>
          <w:sz w:val="28"/>
          <w:szCs w:val="28"/>
        </w:rPr>
        <w:t>Если в 2019–2021 г</w:t>
      </w:r>
      <w:r w:rsidR="00DE7F60">
        <w:rPr>
          <w:sz w:val="28"/>
          <w:szCs w:val="28"/>
        </w:rPr>
        <w:t>одов</w:t>
      </w:r>
      <w:r>
        <w:rPr>
          <w:sz w:val="28"/>
          <w:szCs w:val="28"/>
        </w:rPr>
        <w:t xml:space="preserve"> доля НДПИ в структуре нефтегазовых доходов составляла 72,4% и 68,7% (без учета отрицательного акциза), то в 2023 г</w:t>
      </w:r>
      <w:r w:rsidR="00DE7F60">
        <w:rPr>
          <w:sz w:val="28"/>
          <w:szCs w:val="28"/>
        </w:rPr>
        <w:t>оду</w:t>
      </w:r>
      <w:r>
        <w:rPr>
          <w:sz w:val="28"/>
          <w:szCs w:val="28"/>
        </w:rPr>
        <w:t xml:space="preserve"> она составит 71,7% (без учета акциза), а в 2025 г</w:t>
      </w:r>
      <w:r w:rsidR="00DE7F60">
        <w:rPr>
          <w:sz w:val="28"/>
          <w:szCs w:val="28"/>
        </w:rPr>
        <w:t>оду</w:t>
      </w:r>
      <w:r>
        <w:rPr>
          <w:sz w:val="28"/>
          <w:szCs w:val="28"/>
        </w:rPr>
        <w:t xml:space="preserve"> - уже 78,3%. По итогам 2022 г</w:t>
      </w:r>
      <w:r w:rsidR="00DE7F60">
        <w:rPr>
          <w:sz w:val="28"/>
          <w:szCs w:val="28"/>
        </w:rPr>
        <w:t>ода</w:t>
      </w:r>
      <w:r>
        <w:rPr>
          <w:sz w:val="28"/>
          <w:szCs w:val="28"/>
        </w:rPr>
        <w:t xml:space="preserve"> ожидается, что поступления данного налога возрастут более чем на 50% по сравнению с предшествующим годом, а их доля в общем объеме нефтегазовых</w:t>
      </w:r>
      <w:proofErr w:type="gramEnd"/>
      <w:r>
        <w:rPr>
          <w:sz w:val="28"/>
          <w:szCs w:val="28"/>
        </w:rPr>
        <w:t xml:space="preserve"> доходов составит 72,0%.  </w:t>
      </w:r>
    </w:p>
    <w:p w14:paraId="6CC381D9" w14:textId="45B7EDD1" w:rsidR="00DC5282" w:rsidRDefault="00DC5282" w:rsidP="00DC5282">
      <w:pPr>
        <w:spacing w:line="360" w:lineRule="auto"/>
        <w:ind w:firstLine="709"/>
        <w:jc w:val="both"/>
        <w:rPr>
          <w:sz w:val="28"/>
          <w:szCs w:val="28"/>
        </w:rPr>
      </w:pPr>
      <w:r>
        <w:rPr>
          <w:sz w:val="28"/>
          <w:szCs w:val="28"/>
        </w:rPr>
        <w:t>Выраженный всплеск поступлений налога в 2022 г</w:t>
      </w:r>
      <w:r w:rsidR="00DE7F60">
        <w:rPr>
          <w:sz w:val="28"/>
          <w:szCs w:val="28"/>
        </w:rPr>
        <w:t>оду</w:t>
      </w:r>
      <w:r>
        <w:rPr>
          <w:sz w:val="28"/>
          <w:szCs w:val="28"/>
        </w:rPr>
        <w:t>, вызванный взрывной динамикой цен, в 2023 г</w:t>
      </w:r>
      <w:r w:rsidR="00DE7F60">
        <w:rPr>
          <w:sz w:val="28"/>
          <w:szCs w:val="28"/>
        </w:rPr>
        <w:t>оду</w:t>
      </w:r>
      <w:r>
        <w:rPr>
          <w:sz w:val="28"/>
          <w:szCs w:val="28"/>
        </w:rPr>
        <w:t xml:space="preserve"> уже не будет сказываться на доходах бюджета, а общая ситуация, судя по прогнозу, вернется в целом на линию тренда, исходя из предшествующих лет. Соответственно, в первом году бюджетного трехлетия поступления НДПИ сократятся по сравнению с 2022 г</w:t>
      </w:r>
      <w:r w:rsidR="00DE7F60">
        <w:rPr>
          <w:sz w:val="28"/>
          <w:szCs w:val="28"/>
        </w:rPr>
        <w:t>од</w:t>
      </w:r>
      <w:r w:rsidR="00E574AF">
        <w:rPr>
          <w:sz w:val="28"/>
          <w:szCs w:val="28"/>
        </w:rPr>
        <w:t>ом</w:t>
      </w:r>
      <w:r>
        <w:rPr>
          <w:sz w:val="28"/>
          <w:szCs w:val="28"/>
        </w:rPr>
        <w:t xml:space="preserve"> на 25,6%. По сравнению же с 2021 г</w:t>
      </w:r>
      <w:r w:rsidR="00DE7F60">
        <w:rPr>
          <w:sz w:val="28"/>
          <w:szCs w:val="28"/>
        </w:rPr>
        <w:t>од</w:t>
      </w:r>
      <w:r w:rsidR="00E574AF">
        <w:rPr>
          <w:sz w:val="28"/>
          <w:szCs w:val="28"/>
        </w:rPr>
        <w:t>ом</w:t>
      </w:r>
      <w:r>
        <w:rPr>
          <w:sz w:val="28"/>
          <w:szCs w:val="28"/>
        </w:rPr>
        <w:t xml:space="preserve"> поступления данного налога в 2023 г</w:t>
      </w:r>
      <w:r w:rsidR="00DE7F60">
        <w:rPr>
          <w:sz w:val="28"/>
          <w:szCs w:val="28"/>
        </w:rPr>
        <w:t>оду</w:t>
      </w:r>
      <w:r>
        <w:rPr>
          <w:sz w:val="28"/>
          <w:szCs w:val="28"/>
        </w:rPr>
        <w:t xml:space="preserve"> возрастут всего на 11,7%, что не компенсирует темпов инфляции. Рост этой категории поступлений в последующие два года планового периода также будет отставать от темпов инфляции (прирост поступлений в номинальном выражении составит менее 2%).</w:t>
      </w:r>
    </w:p>
    <w:p w14:paraId="235952E7" w14:textId="770AD618" w:rsidR="00DC5282" w:rsidRDefault="00DC5282" w:rsidP="00DC5282">
      <w:pPr>
        <w:spacing w:line="360" w:lineRule="auto"/>
        <w:ind w:firstLine="709"/>
        <w:jc w:val="both"/>
        <w:rPr>
          <w:sz w:val="28"/>
          <w:szCs w:val="28"/>
        </w:rPr>
      </w:pPr>
      <w:r>
        <w:rPr>
          <w:sz w:val="28"/>
          <w:szCs w:val="28"/>
        </w:rPr>
        <w:t xml:space="preserve">Доля таможенных пошлин в структуре нефтегазовых доходов в результате завершения налогового маневра сократится почти на 10 </w:t>
      </w:r>
      <w:proofErr w:type="spellStart"/>
      <w:r>
        <w:rPr>
          <w:sz w:val="28"/>
          <w:szCs w:val="28"/>
        </w:rPr>
        <w:t>п.п</w:t>
      </w:r>
      <w:proofErr w:type="spellEnd"/>
      <w:r>
        <w:rPr>
          <w:sz w:val="28"/>
          <w:szCs w:val="28"/>
        </w:rPr>
        <w:t xml:space="preserve">. Если в 2019–2021 </w:t>
      </w:r>
      <w:r w:rsidR="00DE7F60">
        <w:rPr>
          <w:sz w:val="28"/>
          <w:szCs w:val="28"/>
        </w:rPr>
        <w:t>годах</w:t>
      </w:r>
      <w:r>
        <w:rPr>
          <w:sz w:val="28"/>
          <w:szCs w:val="28"/>
        </w:rPr>
        <w:t xml:space="preserve"> доля данной категории поступлений составляла 21,5% - 28,7%, то уже в 2023 г</w:t>
      </w:r>
      <w:r w:rsidR="00DE7F60">
        <w:rPr>
          <w:sz w:val="28"/>
          <w:szCs w:val="28"/>
        </w:rPr>
        <w:t>оду</w:t>
      </w:r>
      <w:r>
        <w:rPr>
          <w:sz w:val="28"/>
          <w:szCs w:val="28"/>
        </w:rPr>
        <w:t xml:space="preserve"> она сократится до 18,5%, а в 2025 г</w:t>
      </w:r>
      <w:r w:rsidR="00DE7F60">
        <w:rPr>
          <w:sz w:val="28"/>
          <w:szCs w:val="28"/>
        </w:rPr>
        <w:t xml:space="preserve">оду </w:t>
      </w:r>
      <w:r>
        <w:rPr>
          <w:sz w:val="28"/>
          <w:szCs w:val="28"/>
        </w:rPr>
        <w:t>составит только 10,0%. Такое сокращение поступлений таможенных пошлин связно с их фактической отменой в части сырой нефти с 2024 г</w:t>
      </w:r>
      <w:r w:rsidR="00DE7F60">
        <w:rPr>
          <w:sz w:val="28"/>
          <w:szCs w:val="28"/>
        </w:rPr>
        <w:t>оду.</w:t>
      </w:r>
      <w:r>
        <w:rPr>
          <w:sz w:val="28"/>
          <w:szCs w:val="28"/>
        </w:rPr>
        <w:t xml:space="preserve"> Прирост поступлений НДПИ в этой ситуации не компенсирует сокращения таможенных пошлин </w:t>
      </w:r>
      <w:r w:rsidR="00E574AF">
        <w:rPr>
          <w:sz w:val="28"/>
          <w:szCs w:val="28"/>
        </w:rPr>
        <w:t>о</w:t>
      </w:r>
      <w:r>
        <w:rPr>
          <w:sz w:val="28"/>
          <w:szCs w:val="28"/>
        </w:rPr>
        <w:t>тчасти вследствие расширения применения НДД, а отчасти вследствие расширения круга предоставляемых льгот по данному налогу и сокращения объемов нефтедобычи.</w:t>
      </w:r>
    </w:p>
    <w:p w14:paraId="34CE1F24" w14:textId="254AF7AA" w:rsidR="00DC5282" w:rsidRDefault="00DC5282" w:rsidP="00DC5282">
      <w:pPr>
        <w:spacing w:line="360" w:lineRule="auto"/>
        <w:ind w:firstLine="709"/>
        <w:jc w:val="both"/>
        <w:rPr>
          <w:sz w:val="28"/>
          <w:szCs w:val="28"/>
        </w:rPr>
      </w:pPr>
      <w:r>
        <w:rPr>
          <w:sz w:val="28"/>
          <w:szCs w:val="28"/>
        </w:rPr>
        <w:t>Обращает на себя внимание выраженный рост поступлений налога на дополнительный доход от добычи углеводородного сырья (НДД) в 2021 г</w:t>
      </w:r>
      <w:r w:rsidR="006E57C0">
        <w:rPr>
          <w:sz w:val="28"/>
          <w:szCs w:val="28"/>
        </w:rPr>
        <w:t>оду</w:t>
      </w:r>
      <w:r>
        <w:rPr>
          <w:sz w:val="28"/>
          <w:szCs w:val="28"/>
        </w:rPr>
        <w:t xml:space="preserve"> по сравнению с 2020 г</w:t>
      </w:r>
      <w:r w:rsidR="006E57C0">
        <w:rPr>
          <w:sz w:val="28"/>
          <w:szCs w:val="28"/>
        </w:rPr>
        <w:t>од</w:t>
      </w:r>
      <w:r w:rsidR="00E574AF">
        <w:rPr>
          <w:sz w:val="28"/>
          <w:szCs w:val="28"/>
        </w:rPr>
        <w:t>ом</w:t>
      </w:r>
      <w:r>
        <w:rPr>
          <w:sz w:val="28"/>
          <w:szCs w:val="28"/>
        </w:rPr>
        <w:t xml:space="preserve"> и в 2022 г</w:t>
      </w:r>
      <w:r w:rsidR="000415A6">
        <w:rPr>
          <w:sz w:val="28"/>
          <w:szCs w:val="28"/>
        </w:rPr>
        <w:t>оду</w:t>
      </w:r>
      <w:r>
        <w:rPr>
          <w:sz w:val="28"/>
          <w:szCs w:val="28"/>
        </w:rPr>
        <w:t xml:space="preserve"> по сравнению с предшествующим годом (в 6,6 раза и на 60%, соответственно). Однако выраженного роста его поступлений в 2023 г</w:t>
      </w:r>
      <w:r w:rsidR="000415A6">
        <w:rPr>
          <w:sz w:val="28"/>
          <w:szCs w:val="28"/>
        </w:rPr>
        <w:t>оду</w:t>
      </w:r>
      <w:r>
        <w:rPr>
          <w:sz w:val="28"/>
          <w:szCs w:val="28"/>
        </w:rPr>
        <w:t xml:space="preserve"> не просматривается – доходы бюджета от этого налога увеличатся всего на 0,7% по сравнению с 2021 г</w:t>
      </w:r>
      <w:r w:rsidR="00C571A0">
        <w:rPr>
          <w:sz w:val="28"/>
          <w:szCs w:val="28"/>
        </w:rPr>
        <w:t>одом</w:t>
      </w:r>
      <w:r>
        <w:rPr>
          <w:sz w:val="28"/>
          <w:szCs w:val="28"/>
        </w:rPr>
        <w:t xml:space="preserve"> и сократятся на 32,% по сравнению с 2022 г</w:t>
      </w:r>
      <w:r w:rsidR="000415A6">
        <w:rPr>
          <w:sz w:val="28"/>
          <w:szCs w:val="28"/>
        </w:rPr>
        <w:t>од</w:t>
      </w:r>
      <w:r w:rsidR="00C571A0">
        <w:rPr>
          <w:sz w:val="28"/>
          <w:szCs w:val="28"/>
        </w:rPr>
        <w:t>ом</w:t>
      </w:r>
      <w:r>
        <w:rPr>
          <w:sz w:val="28"/>
          <w:szCs w:val="28"/>
        </w:rPr>
        <w:t xml:space="preserve"> (ожидаемым исполнением). Некоторый рост поступлений НДД прогнозируется в 2024 г</w:t>
      </w:r>
      <w:r w:rsidR="000415A6">
        <w:rPr>
          <w:sz w:val="28"/>
          <w:szCs w:val="28"/>
        </w:rPr>
        <w:t>оду</w:t>
      </w:r>
      <w:r>
        <w:rPr>
          <w:sz w:val="28"/>
          <w:szCs w:val="28"/>
        </w:rPr>
        <w:t xml:space="preserve"> и снижение в 2025</w:t>
      </w:r>
      <w:r w:rsidR="000415A6">
        <w:rPr>
          <w:sz w:val="28"/>
          <w:szCs w:val="28"/>
        </w:rPr>
        <w:t xml:space="preserve"> году.</w:t>
      </w:r>
      <w:r>
        <w:rPr>
          <w:sz w:val="28"/>
          <w:szCs w:val="28"/>
        </w:rPr>
        <w:t xml:space="preserve"> В целом доля данного налога в структуре нефтегазовых доходов изменится не существенно – сократится на 1 </w:t>
      </w:r>
      <w:proofErr w:type="spellStart"/>
      <w:r>
        <w:rPr>
          <w:sz w:val="28"/>
          <w:szCs w:val="28"/>
        </w:rPr>
        <w:t>п</w:t>
      </w:r>
      <w:proofErr w:type="gramStart"/>
      <w:r>
        <w:rPr>
          <w:sz w:val="28"/>
          <w:szCs w:val="28"/>
        </w:rPr>
        <w:t>.п</w:t>
      </w:r>
      <w:proofErr w:type="spellEnd"/>
      <w:proofErr w:type="gramEnd"/>
      <w:r>
        <w:rPr>
          <w:sz w:val="28"/>
          <w:szCs w:val="28"/>
        </w:rPr>
        <w:t xml:space="preserve"> в 2023 г</w:t>
      </w:r>
      <w:r w:rsidR="000415A6">
        <w:rPr>
          <w:sz w:val="28"/>
          <w:szCs w:val="28"/>
        </w:rPr>
        <w:t>оду</w:t>
      </w:r>
      <w:r>
        <w:rPr>
          <w:sz w:val="28"/>
          <w:szCs w:val="28"/>
        </w:rPr>
        <w:t xml:space="preserve"> по сравнению с предшествующим и увеличится менее, чем на 2 </w:t>
      </w:r>
      <w:proofErr w:type="spellStart"/>
      <w:r>
        <w:rPr>
          <w:sz w:val="28"/>
          <w:szCs w:val="28"/>
        </w:rPr>
        <w:t>п.п</w:t>
      </w:r>
      <w:proofErr w:type="spellEnd"/>
      <w:r>
        <w:rPr>
          <w:sz w:val="28"/>
          <w:szCs w:val="28"/>
        </w:rPr>
        <w:t>. к 2025 г</w:t>
      </w:r>
      <w:r w:rsidR="000415A6">
        <w:rPr>
          <w:sz w:val="28"/>
          <w:szCs w:val="28"/>
        </w:rPr>
        <w:t>оду.</w:t>
      </w:r>
    </w:p>
    <w:p w14:paraId="628D7CE5" w14:textId="3C940E9F" w:rsidR="00DC5282" w:rsidRDefault="00DC5282" w:rsidP="00DC5282">
      <w:pPr>
        <w:spacing w:line="360" w:lineRule="auto"/>
        <w:ind w:firstLine="709"/>
        <w:jc w:val="both"/>
        <w:rPr>
          <w:sz w:val="28"/>
          <w:szCs w:val="28"/>
        </w:rPr>
      </w:pPr>
      <w:r>
        <w:rPr>
          <w:sz w:val="28"/>
          <w:szCs w:val="28"/>
        </w:rPr>
        <w:t xml:space="preserve"> «Поступления» акциза на нефтяное сырье, направляемое на переработку (с учетом демпфера и инвестиционного вычета) на протяжении всего планового периода (2023–2025 г</w:t>
      </w:r>
      <w:r w:rsidR="000415A6">
        <w:rPr>
          <w:sz w:val="28"/>
          <w:szCs w:val="28"/>
        </w:rPr>
        <w:t>оду</w:t>
      </w:r>
      <w:r>
        <w:rPr>
          <w:sz w:val="28"/>
          <w:szCs w:val="28"/>
        </w:rPr>
        <w:t>) прогнозиру</w:t>
      </w:r>
      <w:r w:rsidR="00283725">
        <w:rPr>
          <w:sz w:val="28"/>
          <w:szCs w:val="28"/>
        </w:rPr>
        <w:t>ю</w:t>
      </w:r>
      <w:r>
        <w:rPr>
          <w:sz w:val="28"/>
          <w:szCs w:val="28"/>
        </w:rPr>
        <w:t>тся отрицательными и будут нарастать после выраженного сокращения в первом году бюджетного трехлетия. Это сокращение является следствием корректировок, вносимых в порядок расчета демпфера и вычета при исчислении сумм данного акциза с 2023 г</w:t>
      </w:r>
      <w:r w:rsidR="000415A6">
        <w:rPr>
          <w:sz w:val="28"/>
          <w:szCs w:val="28"/>
        </w:rPr>
        <w:t>ода.</w:t>
      </w:r>
      <w:r>
        <w:rPr>
          <w:sz w:val="28"/>
          <w:szCs w:val="28"/>
        </w:rPr>
        <w:t xml:space="preserve"> Вносимые изменения</w:t>
      </w:r>
      <w:r w:rsidR="00283725">
        <w:rPr>
          <w:sz w:val="28"/>
          <w:szCs w:val="28"/>
        </w:rPr>
        <w:t>,</w:t>
      </w:r>
      <w:r>
        <w:rPr>
          <w:sz w:val="28"/>
          <w:szCs w:val="28"/>
        </w:rPr>
        <w:t xml:space="preserve"> тем не менее, сохранят в целом сложившийся тренд на существенные по объемам компенсации (суммы отрицательного акциза) нефтедобывающим/нефтеперерабатывающим компаниям. Таким образом, будет иметь место устойчивое возмещение из федерального бюджета этого акциза нефтедобывающим и перерабатывающим компаниям. При этом общая сумма возмещения за три года вдвое превысит доходы от НДД. </w:t>
      </w:r>
    </w:p>
    <w:p w14:paraId="68FD4EB5" w14:textId="406A73B1" w:rsidR="00DC5282" w:rsidRDefault="00DC5282" w:rsidP="00DC5282">
      <w:pPr>
        <w:spacing w:line="360" w:lineRule="auto"/>
        <w:ind w:firstLine="709"/>
        <w:jc w:val="both"/>
        <w:rPr>
          <w:sz w:val="28"/>
          <w:szCs w:val="28"/>
        </w:rPr>
      </w:pPr>
      <w:r>
        <w:rPr>
          <w:sz w:val="28"/>
          <w:szCs w:val="28"/>
        </w:rPr>
        <w:t>Наиболее значительными факторами, которые будут определять динамику поступлений нефтегазовых доходов в 2023–2025 г</w:t>
      </w:r>
      <w:r w:rsidR="000415A6">
        <w:rPr>
          <w:sz w:val="28"/>
          <w:szCs w:val="28"/>
        </w:rPr>
        <w:t>оду</w:t>
      </w:r>
      <w:r>
        <w:rPr>
          <w:sz w:val="28"/>
          <w:szCs w:val="28"/>
        </w:rPr>
        <w:t>, разработчикам проекта федерального бюджета видятся факторы, определяющие макроэкономическую ситуацию (таблица 2), а именно динамика мировых цен на нефть и валютного курса. На протяжении всего планового трехлетнего периода динамика мировых цен на нефть будет отрицательно сказываться на поступлениях нефтегазовых доходов. Влияние валютного курса будет негативным только в 2023 г</w:t>
      </w:r>
      <w:r w:rsidR="00C571A0">
        <w:rPr>
          <w:sz w:val="28"/>
          <w:szCs w:val="28"/>
        </w:rPr>
        <w:t>оду</w:t>
      </w:r>
      <w:r>
        <w:rPr>
          <w:sz w:val="28"/>
          <w:szCs w:val="28"/>
        </w:rPr>
        <w:t>, в последующие два года влияние данного фактора прогнозируется авторами документа как позитивное</w:t>
      </w:r>
      <w:r w:rsidR="003229CC">
        <w:rPr>
          <w:sz w:val="28"/>
          <w:szCs w:val="28"/>
        </w:rPr>
        <w:t>,</w:t>
      </w:r>
      <w:r>
        <w:rPr>
          <w:sz w:val="28"/>
          <w:szCs w:val="28"/>
        </w:rPr>
        <w:t xml:space="preserve"> позволяющее почти полностью компенсировать провал первого года.</w:t>
      </w:r>
    </w:p>
    <w:p w14:paraId="58C156B6" w14:textId="4EE51289" w:rsidR="00DC5282" w:rsidRDefault="00DC5282" w:rsidP="00DC5282">
      <w:pPr>
        <w:spacing w:line="360" w:lineRule="auto"/>
        <w:ind w:firstLine="709"/>
        <w:jc w:val="both"/>
        <w:rPr>
          <w:color w:val="000000"/>
          <w:sz w:val="28"/>
          <w:szCs w:val="28"/>
        </w:rPr>
      </w:pPr>
      <w:r>
        <w:rPr>
          <w:sz w:val="28"/>
          <w:szCs w:val="28"/>
        </w:rPr>
        <w:t>Влияние агрегированного фактора «</w:t>
      </w:r>
      <w:r>
        <w:rPr>
          <w:color w:val="000000"/>
          <w:sz w:val="28"/>
          <w:szCs w:val="28"/>
        </w:rPr>
        <w:t>Изменение объемов добычи углеводородного сырья, объемов экспорта» будет негативным в 2023 г</w:t>
      </w:r>
      <w:r w:rsidR="00C571A0">
        <w:rPr>
          <w:color w:val="000000"/>
          <w:sz w:val="28"/>
          <w:szCs w:val="28"/>
        </w:rPr>
        <w:t>оду</w:t>
      </w:r>
      <w:r>
        <w:rPr>
          <w:color w:val="000000"/>
          <w:sz w:val="28"/>
          <w:szCs w:val="28"/>
        </w:rPr>
        <w:t xml:space="preserve"> и слабо позитивным в последующие два года. Однако</w:t>
      </w:r>
      <w:r w:rsidR="003229CC">
        <w:rPr>
          <w:color w:val="000000"/>
          <w:sz w:val="28"/>
          <w:szCs w:val="28"/>
        </w:rPr>
        <w:t>,</w:t>
      </w:r>
      <w:r>
        <w:rPr>
          <w:color w:val="000000"/>
          <w:sz w:val="28"/>
          <w:szCs w:val="28"/>
        </w:rPr>
        <w:t xml:space="preserve"> в отличие от валютного курса, эта позитивная динамика не компенсирует провала первого года.</w:t>
      </w:r>
    </w:p>
    <w:p w14:paraId="0C285F9C" w14:textId="77777777" w:rsidR="00DC5282" w:rsidRDefault="00DC5282" w:rsidP="00DC5282">
      <w:pPr>
        <w:spacing w:line="360" w:lineRule="auto"/>
        <w:ind w:firstLine="709"/>
        <w:jc w:val="both"/>
        <w:rPr>
          <w:sz w:val="28"/>
          <w:szCs w:val="28"/>
        </w:rPr>
      </w:pPr>
      <w:r>
        <w:rPr>
          <w:color w:val="000000"/>
          <w:sz w:val="28"/>
          <w:szCs w:val="28"/>
        </w:rPr>
        <w:t>Изменение налогового и таможенного законодательства на протяжении всего трехлетнего периода будет позитивно сказываться на динамике поступлений нефтегазовых доходов. Однако их общий «вклад» в прирост данной категории доходов относительно незначителен – позволяет компенсировать менее 10% потерь, возникающих в результате динамики мировых цен.</w:t>
      </w:r>
    </w:p>
    <w:p w14:paraId="03E88ED6" w14:textId="40173D70" w:rsidR="00DC5282" w:rsidRPr="000415A6" w:rsidRDefault="00DC5282" w:rsidP="000415A6">
      <w:pPr>
        <w:jc w:val="both"/>
        <w:rPr>
          <w:sz w:val="28"/>
          <w:szCs w:val="28"/>
        </w:rPr>
      </w:pPr>
      <w:r w:rsidRPr="000415A6">
        <w:rPr>
          <w:sz w:val="28"/>
          <w:szCs w:val="28"/>
        </w:rPr>
        <w:t xml:space="preserve">Таблица </w:t>
      </w:r>
      <w:r w:rsidR="00901ACF">
        <w:rPr>
          <w:sz w:val="28"/>
          <w:szCs w:val="28"/>
        </w:rPr>
        <w:t>4</w:t>
      </w:r>
      <w:r w:rsidRPr="000415A6">
        <w:rPr>
          <w:sz w:val="28"/>
          <w:szCs w:val="28"/>
        </w:rPr>
        <w:t xml:space="preserve"> - Факторы, влияющие на прирост нефтегазовых доходов федерального бюджета по сравнению с предшествующим годом, млн. руб.</w:t>
      </w:r>
    </w:p>
    <w:p w14:paraId="4C4CA987" w14:textId="77777777" w:rsidR="00302032" w:rsidRDefault="00302032" w:rsidP="00DC5282">
      <w:pPr>
        <w:ind w:firstLine="709"/>
        <w:jc w:val="both"/>
        <w:rPr>
          <w:sz w:val="28"/>
          <w:szCs w:val="28"/>
        </w:rPr>
      </w:pPr>
    </w:p>
    <w:tbl>
      <w:tblPr>
        <w:tblW w:w="5000" w:type="pct"/>
        <w:tblLook w:val="04A0" w:firstRow="1" w:lastRow="0" w:firstColumn="1" w:lastColumn="0" w:noHBand="0" w:noVBand="1"/>
      </w:tblPr>
      <w:tblGrid>
        <w:gridCol w:w="4943"/>
        <w:gridCol w:w="1642"/>
        <w:gridCol w:w="1344"/>
        <w:gridCol w:w="1642"/>
      </w:tblGrid>
      <w:tr w:rsidR="00DC5282" w14:paraId="482CC892" w14:textId="77777777" w:rsidTr="00005928">
        <w:trPr>
          <w:trHeight w:val="315"/>
        </w:trPr>
        <w:tc>
          <w:tcPr>
            <w:tcW w:w="258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BBC4CD6" w14:textId="77777777" w:rsidR="00DC5282" w:rsidRDefault="00DC5282" w:rsidP="00005928">
            <w:pPr>
              <w:widowControl w:val="0"/>
              <w:jc w:val="center"/>
              <w:rPr>
                <w:color w:val="000000"/>
                <w:sz w:val="20"/>
                <w:szCs w:val="20"/>
              </w:rPr>
            </w:pPr>
            <w:r>
              <w:rPr>
                <w:bCs/>
                <w:color w:val="000000"/>
                <w:sz w:val="20"/>
                <w:szCs w:val="20"/>
              </w:rPr>
              <w:t>Фактор </w:t>
            </w:r>
          </w:p>
        </w:tc>
        <w:tc>
          <w:tcPr>
            <w:tcW w:w="858" w:type="pct"/>
            <w:tcBorders>
              <w:top w:val="single" w:sz="8" w:space="0" w:color="000000"/>
              <w:bottom w:val="single" w:sz="8" w:space="0" w:color="000000"/>
              <w:right w:val="single" w:sz="8" w:space="0" w:color="000000"/>
            </w:tcBorders>
            <w:shd w:val="clear" w:color="auto" w:fill="auto"/>
            <w:vAlign w:val="bottom"/>
          </w:tcPr>
          <w:p w14:paraId="51DC5DD8" w14:textId="77777777" w:rsidR="00DC5282" w:rsidRDefault="00DC5282" w:rsidP="00005928">
            <w:pPr>
              <w:widowControl w:val="0"/>
              <w:jc w:val="center"/>
              <w:rPr>
                <w:color w:val="000000"/>
                <w:sz w:val="20"/>
                <w:szCs w:val="20"/>
              </w:rPr>
            </w:pPr>
            <w:r>
              <w:rPr>
                <w:bCs/>
                <w:color w:val="000000"/>
                <w:sz w:val="20"/>
                <w:szCs w:val="20"/>
              </w:rPr>
              <w:t>2023 год</w:t>
            </w:r>
          </w:p>
        </w:tc>
        <w:tc>
          <w:tcPr>
            <w:tcW w:w="702" w:type="pct"/>
            <w:tcBorders>
              <w:top w:val="single" w:sz="8" w:space="0" w:color="000000"/>
              <w:bottom w:val="single" w:sz="8" w:space="0" w:color="000000"/>
              <w:right w:val="single" w:sz="8" w:space="0" w:color="000000"/>
            </w:tcBorders>
            <w:shd w:val="clear" w:color="auto" w:fill="auto"/>
            <w:vAlign w:val="bottom"/>
          </w:tcPr>
          <w:p w14:paraId="0E0918D7" w14:textId="77777777" w:rsidR="00DC5282" w:rsidRDefault="00DC5282" w:rsidP="00005928">
            <w:pPr>
              <w:widowControl w:val="0"/>
              <w:jc w:val="center"/>
              <w:rPr>
                <w:color w:val="000000"/>
                <w:sz w:val="20"/>
                <w:szCs w:val="20"/>
              </w:rPr>
            </w:pPr>
            <w:r>
              <w:rPr>
                <w:bCs/>
                <w:color w:val="000000"/>
                <w:sz w:val="20"/>
                <w:szCs w:val="20"/>
              </w:rPr>
              <w:t>2024 год</w:t>
            </w:r>
          </w:p>
        </w:tc>
        <w:tc>
          <w:tcPr>
            <w:tcW w:w="858" w:type="pct"/>
            <w:tcBorders>
              <w:top w:val="single" w:sz="8" w:space="0" w:color="000000"/>
              <w:bottom w:val="single" w:sz="8" w:space="0" w:color="000000"/>
              <w:right w:val="single" w:sz="8" w:space="0" w:color="000000"/>
            </w:tcBorders>
            <w:shd w:val="clear" w:color="auto" w:fill="auto"/>
            <w:vAlign w:val="bottom"/>
          </w:tcPr>
          <w:p w14:paraId="0E0A9CC4" w14:textId="77777777" w:rsidR="00DC5282" w:rsidRDefault="00DC5282" w:rsidP="00005928">
            <w:pPr>
              <w:widowControl w:val="0"/>
              <w:jc w:val="center"/>
              <w:rPr>
                <w:color w:val="000000"/>
                <w:sz w:val="20"/>
                <w:szCs w:val="20"/>
              </w:rPr>
            </w:pPr>
            <w:r>
              <w:rPr>
                <w:bCs/>
                <w:color w:val="000000"/>
                <w:sz w:val="20"/>
                <w:szCs w:val="20"/>
              </w:rPr>
              <w:t>2025 год</w:t>
            </w:r>
          </w:p>
        </w:tc>
      </w:tr>
      <w:tr w:rsidR="00DC5282" w14:paraId="16152DA2" w14:textId="77777777" w:rsidTr="00005928">
        <w:trPr>
          <w:trHeight w:val="315"/>
        </w:trPr>
        <w:tc>
          <w:tcPr>
            <w:tcW w:w="2581" w:type="pct"/>
            <w:tcBorders>
              <w:left w:val="single" w:sz="8" w:space="0" w:color="000000"/>
              <w:bottom w:val="single" w:sz="8" w:space="0" w:color="000000"/>
              <w:right w:val="single" w:sz="8" w:space="0" w:color="000000"/>
            </w:tcBorders>
            <w:shd w:val="clear" w:color="auto" w:fill="auto"/>
            <w:vAlign w:val="bottom"/>
          </w:tcPr>
          <w:p w14:paraId="791759CF" w14:textId="77777777" w:rsidR="00DC5282" w:rsidRDefault="00DC5282" w:rsidP="00005928">
            <w:pPr>
              <w:widowControl w:val="0"/>
              <w:rPr>
                <w:b/>
                <w:bCs/>
                <w:color w:val="000000"/>
                <w:sz w:val="20"/>
                <w:szCs w:val="20"/>
              </w:rPr>
            </w:pPr>
            <w:r>
              <w:rPr>
                <w:b/>
                <w:bCs/>
                <w:color w:val="000000"/>
                <w:sz w:val="20"/>
                <w:szCs w:val="20"/>
              </w:rPr>
              <w:t>Отклонение от предыдущего года</w:t>
            </w:r>
          </w:p>
        </w:tc>
        <w:tc>
          <w:tcPr>
            <w:tcW w:w="858" w:type="pct"/>
            <w:tcBorders>
              <w:bottom w:val="single" w:sz="8" w:space="0" w:color="000000"/>
              <w:right w:val="single" w:sz="8" w:space="0" w:color="000000"/>
            </w:tcBorders>
            <w:shd w:val="clear" w:color="auto" w:fill="auto"/>
            <w:vAlign w:val="bottom"/>
          </w:tcPr>
          <w:p w14:paraId="0FDD5310" w14:textId="77777777" w:rsidR="00DC5282" w:rsidRDefault="00DC5282" w:rsidP="00005928">
            <w:pPr>
              <w:widowControl w:val="0"/>
              <w:jc w:val="center"/>
              <w:rPr>
                <w:color w:val="000000"/>
                <w:sz w:val="18"/>
                <w:szCs w:val="18"/>
              </w:rPr>
            </w:pPr>
            <w:r>
              <w:rPr>
                <w:color w:val="000000"/>
                <w:sz w:val="18"/>
                <w:szCs w:val="18"/>
              </w:rPr>
              <w:t>-2 727 202,00</w:t>
            </w:r>
          </w:p>
        </w:tc>
        <w:tc>
          <w:tcPr>
            <w:tcW w:w="702" w:type="pct"/>
            <w:tcBorders>
              <w:bottom w:val="single" w:sz="8" w:space="0" w:color="000000"/>
              <w:right w:val="single" w:sz="8" w:space="0" w:color="000000"/>
            </w:tcBorders>
            <w:shd w:val="clear" w:color="auto" w:fill="auto"/>
            <w:vAlign w:val="bottom"/>
          </w:tcPr>
          <w:p w14:paraId="38C83FD7" w14:textId="77777777" w:rsidR="00DC5282" w:rsidRDefault="00DC5282" w:rsidP="00005928">
            <w:pPr>
              <w:widowControl w:val="0"/>
              <w:jc w:val="center"/>
              <w:rPr>
                <w:color w:val="000000"/>
                <w:sz w:val="18"/>
                <w:szCs w:val="18"/>
              </w:rPr>
            </w:pPr>
            <w:r>
              <w:rPr>
                <w:color w:val="000000"/>
                <w:sz w:val="18"/>
                <w:szCs w:val="18"/>
              </w:rPr>
              <w:t>-282 658,20</w:t>
            </w:r>
          </w:p>
        </w:tc>
        <w:tc>
          <w:tcPr>
            <w:tcW w:w="858" w:type="pct"/>
            <w:tcBorders>
              <w:bottom w:val="single" w:sz="8" w:space="0" w:color="000000"/>
              <w:right w:val="single" w:sz="8" w:space="0" w:color="000000"/>
            </w:tcBorders>
            <w:shd w:val="clear" w:color="auto" w:fill="auto"/>
            <w:vAlign w:val="bottom"/>
          </w:tcPr>
          <w:p w14:paraId="7545E954" w14:textId="77777777" w:rsidR="00DC5282" w:rsidRDefault="00DC5282" w:rsidP="00005928">
            <w:pPr>
              <w:widowControl w:val="0"/>
              <w:jc w:val="center"/>
              <w:rPr>
                <w:color w:val="000000"/>
                <w:sz w:val="18"/>
                <w:szCs w:val="18"/>
              </w:rPr>
            </w:pPr>
            <w:r>
              <w:rPr>
                <w:color w:val="000000"/>
                <w:sz w:val="18"/>
                <w:szCs w:val="18"/>
              </w:rPr>
              <w:t>-167 793,20</w:t>
            </w:r>
          </w:p>
        </w:tc>
      </w:tr>
      <w:tr w:rsidR="00DC5282" w14:paraId="1177134F" w14:textId="77777777" w:rsidTr="00005928">
        <w:trPr>
          <w:trHeight w:val="315"/>
        </w:trPr>
        <w:tc>
          <w:tcPr>
            <w:tcW w:w="2581" w:type="pct"/>
            <w:tcBorders>
              <w:left w:val="single" w:sz="8" w:space="0" w:color="000000"/>
              <w:bottom w:val="single" w:sz="8" w:space="0" w:color="000000"/>
              <w:right w:val="single" w:sz="8" w:space="0" w:color="000000"/>
            </w:tcBorders>
            <w:shd w:val="clear" w:color="auto" w:fill="auto"/>
            <w:vAlign w:val="bottom"/>
          </w:tcPr>
          <w:p w14:paraId="45846BE7" w14:textId="77777777" w:rsidR="00DC5282" w:rsidRDefault="00DC5282" w:rsidP="00005928">
            <w:pPr>
              <w:widowControl w:val="0"/>
              <w:jc w:val="both"/>
              <w:rPr>
                <w:color w:val="000000"/>
                <w:sz w:val="20"/>
                <w:szCs w:val="20"/>
              </w:rPr>
            </w:pPr>
            <w:r>
              <w:rPr>
                <w:color w:val="000000"/>
                <w:sz w:val="20"/>
                <w:szCs w:val="20"/>
              </w:rPr>
              <w:t xml:space="preserve">Изменения налогового законодательства </w:t>
            </w:r>
          </w:p>
        </w:tc>
        <w:tc>
          <w:tcPr>
            <w:tcW w:w="858" w:type="pct"/>
            <w:tcBorders>
              <w:bottom w:val="single" w:sz="8" w:space="0" w:color="000000"/>
              <w:right w:val="single" w:sz="8" w:space="0" w:color="000000"/>
            </w:tcBorders>
            <w:shd w:val="clear" w:color="auto" w:fill="auto"/>
            <w:vAlign w:val="bottom"/>
          </w:tcPr>
          <w:p w14:paraId="042C64C6" w14:textId="77777777" w:rsidR="00DC5282" w:rsidRDefault="00DC5282" w:rsidP="00005928">
            <w:pPr>
              <w:widowControl w:val="0"/>
              <w:jc w:val="center"/>
              <w:rPr>
                <w:color w:val="000000"/>
                <w:sz w:val="18"/>
                <w:szCs w:val="18"/>
              </w:rPr>
            </w:pPr>
            <w:r>
              <w:rPr>
                <w:color w:val="000000"/>
                <w:sz w:val="18"/>
                <w:szCs w:val="18"/>
              </w:rPr>
              <w:t>257 656,10</w:t>
            </w:r>
          </w:p>
        </w:tc>
        <w:tc>
          <w:tcPr>
            <w:tcW w:w="702" w:type="pct"/>
            <w:tcBorders>
              <w:bottom w:val="single" w:sz="8" w:space="0" w:color="000000"/>
              <w:right w:val="single" w:sz="8" w:space="0" w:color="000000"/>
            </w:tcBorders>
            <w:shd w:val="clear" w:color="auto" w:fill="auto"/>
            <w:vAlign w:val="bottom"/>
          </w:tcPr>
          <w:p w14:paraId="3622A9F7" w14:textId="77777777" w:rsidR="00DC5282" w:rsidRDefault="00DC5282" w:rsidP="00005928">
            <w:pPr>
              <w:widowControl w:val="0"/>
              <w:jc w:val="center"/>
              <w:rPr>
                <w:color w:val="000000"/>
                <w:sz w:val="18"/>
                <w:szCs w:val="18"/>
              </w:rPr>
            </w:pPr>
            <w:r>
              <w:rPr>
                <w:color w:val="000000"/>
                <w:sz w:val="18"/>
                <w:szCs w:val="18"/>
              </w:rPr>
              <w:t>492 521,00</w:t>
            </w:r>
          </w:p>
        </w:tc>
        <w:tc>
          <w:tcPr>
            <w:tcW w:w="858" w:type="pct"/>
            <w:tcBorders>
              <w:bottom w:val="single" w:sz="8" w:space="0" w:color="000000"/>
              <w:right w:val="single" w:sz="8" w:space="0" w:color="000000"/>
            </w:tcBorders>
            <w:shd w:val="clear" w:color="auto" w:fill="auto"/>
            <w:vAlign w:val="bottom"/>
          </w:tcPr>
          <w:p w14:paraId="6ADF3EBF" w14:textId="77777777" w:rsidR="00DC5282" w:rsidRDefault="00DC5282" w:rsidP="00005928">
            <w:pPr>
              <w:widowControl w:val="0"/>
              <w:jc w:val="center"/>
              <w:rPr>
                <w:color w:val="000000"/>
                <w:sz w:val="18"/>
                <w:szCs w:val="18"/>
              </w:rPr>
            </w:pPr>
            <w:r>
              <w:rPr>
                <w:color w:val="000000"/>
                <w:sz w:val="18"/>
                <w:szCs w:val="18"/>
              </w:rPr>
              <w:t>207 016,40</w:t>
            </w:r>
          </w:p>
        </w:tc>
      </w:tr>
      <w:tr w:rsidR="00DC5282" w14:paraId="710FB7FE" w14:textId="77777777" w:rsidTr="00005928">
        <w:trPr>
          <w:trHeight w:val="315"/>
        </w:trPr>
        <w:tc>
          <w:tcPr>
            <w:tcW w:w="2581" w:type="pct"/>
            <w:tcBorders>
              <w:left w:val="single" w:sz="8" w:space="0" w:color="000000"/>
              <w:bottom w:val="single" w:sz="8" w:space="0" w:color="000000"/>
              <w:right w:val="single" w:sz="8" w:space="0" w:color="000000"/>
            </w:tcBorders>
            <w:shd w:val="clear" w:color="auto" w:fill="auto"/>
            <w:vAlign w:val="bottom"/>
          </w:tcPr>
          <w:p w14:paraId="202C8329" w14:textId="77777777" w:rsidR="00DC5282" w:rsidRDefault="00DC5282" w:rsidP="00005928">
            <w:pPr>
              <w:widowControl w:val="0"/>
              <w:jc w:val="both"/>
              <w:rPr>
                <w:color w:val="000000"/>
                <w:sz w:val="20"/>
                <w:szCs w:val="20"/>
              </w:rPr>
            </w:pPr>
            <w:r>
              <w:rPr>
                <w:color w:val="000000"/>
                <w:sz w:val="20"/>
                <w:szCs w:val="20"/>
              </w:rPr>
              <w:t>Изменение мировых цен на нефть марки "Юралс"</w:t>
            </w:r>
          </w:p>
        </w:tc>
        <w:tc>
          <w:tcPr>
            <w:tcW w:w="858" w:type="pct"/>
            <w:tcBorders>
              <w:bottom w:val="single" w:sz="8" w:space="0" w:color="000000"/>
              <w:right w:val="single" w:sz="8" w:space="0" w:color="000000"/>
            </w:tcBorders>
            <w:shd w:val="clear" w:color="auto" w:fill="auto"/>
            <w:vAlign w:val="bottom"/>
          </w:tcPr>
          <w:p w14:paraId="66B07DFB" w14:textId="77777777" w:rsidR="00DC5282" w:rsidRDefault="00DC5282" w:rsidP="00005928">
            <w:pPr>
              <w:widowControl w:val="0"/>
              <w:jc w:val="center"/>
              <w:rPr>
                <w:color w:val="000000"/>
                <w:sz w:val="18"/>
                <w:szCs w:val="18"/>
              </w:rPr>
            </w:pPr>
            <w:r>
              <w:rPr>
                <w:color w:val="000000"/>
                <w:sz w:val="18"/>
                <w:szCs w:val="18"/>
              </w:rPr>
              <w:t>-1 246 700,10</w:t>
            </w:r>
          </w:p>
        </w:tc>
        <w:tc>
          <w:tcPr>
            <w:tcW w:w="702" w:type="pct"/>
            <w:tcBorders>
              <w:bottom w:val="single" w:sz="8" w:space="0" w:color="000000"/>
              <w:right w:val="single" w:sz="8" w:space="0" w:color="000000"/>
            </w:tcBorders>
            <w:shd w:val="clear" w:color="auto" w:fill="auto"/>
            <w:vAlign w:val="bottom"/>
          </w:tcPr>
          <w:p w14:paraId="1BDDE7F8" w14:textId="77777777" w:rsidR="00DC5282" w:rsidRDefault="00DC5282" w:rsidP="00005928">
            <w:pPr>
              <w:widowControl w:val="0"/>
              <w:jc w:val="center"/>
              <w:rPr>
                <w:color w:val="000000"/>
                <w:sz w:val="18"/>
                <w:szCs w:val="18"/>
              </w:rPr>
            </w:pPr>
            <w:r>
              <w:rPr>
                <w:color w:val="000000"/>
                <w:sz w:val="18"/>
                <w:szCs w:val="18"/>
              </w:rPr>
              <w:t>-580 918,00</w:t>
            </w:r>
          </w:p>
        </w:tc>
        <w:tc>
          <w:tcPr>
            <w:tcW w:w="858" w:type="pct"/>
            <w:tcBorders>
              <w:bottom w:val="single" w:sz="8" w:space="0" w:color="000000"/>
              <w:right w:val="single" w:sz="8" w:space="0" w:color="000000"/>
            </w:tcBorders>
            <w:shd w:val="clear" w:color="auto" w:fill="auto"/>
            <w:vAlign w:val="bottom"/>
          </w:tcPr>
          <w:p w14:paraId="2B18CA25" w14:textId="77777777" w:rsidR="00DC5282" w:rsidRDefault="00DC5282" w:rsidP="00005928">
            <w:pPr>
              <w:widowControl w:val="0"/>
              <w:jc w:val="center"/>
              <w:rPr>
                <w:color w:val="000000"/>
                <w:sz w:val="18"/>
                <w:szCs w:val="18"/>
              </w:rPr>
            </w:pPr>
            <w:r>
              <w:rPr>
                <w:color w:val="000000"/>
                <w:sz w:val="18"/>
                <w:szCs w:val="18"/>
              </w:rPr>
              <w:t>-382 727,50</w:t>
            </w:r>
          </w:p>
        </w:tc>
      </w:tr>
      <w:tr w:rsidR="00DC5282" w14:paraId="32D0FA52" w14:textId="77777777" w:rsidTr="00005928">
        <w:trPr>
          <w:trHeight w:val="315"/>
        </w:trPr>
        <w:tc>
          <w:tcPr>
            <w:tcW w:w="2581" w:type="pct"/>
            <w:tcBorders>
              <w:left w:val="single" w:sz="8" w:space="0" w:color="000000"/>
              <w:bottom w:val="single" w:sz="8" w:space="0" w:color="000000"/>
              <w:right w:val="single" w:sz="8" w:space="0" w:color="000000"/>
            </w:tcBorders>
            <w:shd w:val="clear" w:color="auto" w:fill="auto"/>
            <w:vAlign w:val="bottom"/>
          </w:tcPr>
          <w:p w14:paraId="03128137" w14:textId="77777777" w:rsidR="00DC5282" w:rsidRDefault="00DC5282" w:rsidP="00005928">
            <w:pPr>
              <w:widowControl w:val="0"/>
              <w:jc w:val="both"/>
              <w:rPr>
                <w:color w:val="000000"/>
                <w:sz w:val="20"/>
                <w:szCs w:val="20"/>
              </w:rPr>
            </w:pPr>
            <w:r>
              <w:rPr>
                <w:color w:val="000000"/>
                <w:sz w:val="20"/>
                <w:szCs w:val="20"/>
              </w:rPr>
              <w:t>Изменение курса доллара США по отношению к рублю</w:t>
            </w:r>
          </w:p>
        </w:tc>
        <w:tc>
          <w:tcPr>
            <w:tcW w:w="858" w:type="pct"/>
            <w:tcBorders>
              <w:bottom w:val="single" w:sz="8" w:space="0" w:color="000000"/>
              <w:right w:val="single" w:sz="8" w:space="0" w:color="000000"/>
            </w:tcBorders>
            <w:shd w:val="clear" w:color="auto" w:fill="auto"/>
            <w:vAlign w:val="bottom"/>
          </w:tcPr>
          <w:p w14:paraId="77F3CADB" w14:textId="77777777" w:rsidR="00DC5282" w:rsidRDefault="00DC5282" w:rsidP="00005928">
            <w:pPr>
              <w:widowControl w:val="0"/>
              <w:jc w:val="center"/>
              <w:rPr>
                <w:color w:val="000000"/>
                <w:sz w:val="18"/>
                <w:szCs w:val="18"/>
              </w:rPr>
            </w:pPr>
            <w:r>
              <w:rPr>
                <w:color w:val="000000"/>
                <w:sz w:val="18"/>
                <w:szCs w:val="18"/>
              </w:rPr>
              <w:t>-419 521,20</w:t>
            </w:r>
          </w:p>
        </w:tc>
        <w:tc>
          <w:tcPr>
            <w:tcW w:w="702" w:type="pct"/>
            <w:tcBorders>
              <w:bottom w:val="single" w:sz="8" w:space="0" w:color="000000"/>
              <w:right w:val="single" w:sz="8" w:space="0" w:color="000000"/>
            </w:tcBorders>
            <w:shd w:val="clear" w:color="auto" w:fill="auto"/>
            <w:vAlign w:val="bottom"/>
          </w:tcPr>
          <w:p w14:paraId="5EBA3662" w14:textId="77777777" w:rsidR="00DC5282" w:rsidRDefault="00DC5282" w:rsidP="00005928">
            <w:pPr>
              <w:widowControl w:val="0"/>
              <w:jc w:val="center"/>
              <w:rPr>
                <w:color w:val="000000"/>
                <w:sz w:val="18"/>
                <w:szCs w:val="18"/>
              </w:rPr>
            </w:pPr>
            <w:r>
              <w:rPr>
                <w:color w:val="000000"/>
                <w:sz w:val="18"/>
                <w:szCs w:val="18"/>
              </w:rPr>
              <w:t>247 614,30</w:t>
            </w:r>
          </w:p>
        </w:tc>
        <w:tc>
          <w:tcPr>
            <w:tcW w:w="858" w:type="pct"/>
            <w:tcBorders>
              <w:bottom w:val="single" w:sz="8" w:space="0" w:color="000000"/>
              <w:right w:val="single" w:sz="8" w:space="0" w:color="000000"/>
            </w:tcBorders>
            <w:shd w:val="clear" w:color="auto" w:fill="auto"/>
            <w:vAlign w:val="bottom"/>
          </w:tcPr>
          <w:p w14:paraId="28C54411" w14:textId="77777777" w:rsidR="00DC5282" w:rsidRDefault="00DC5282" w:rsidP="00005928">
            <w:pPr>
              <w:widowControl w:val="0"/>
              <w:jc w:val="center"/>
              <w:rPr>
                <w:color w:val="000000"/>
                <w:sz w:val="18"/>
                <w:szCs w:val="18"/>
              </w:rPr>
            </w:pPr>
            <w:r>
              <w:rPr>
                <w:color w:val="000000"/>
                <w:sz w:val="18"/>
                <w:szCs w:val="18"/>
              </w:rPr>
              <w:t>167 101,00</w:t>
            </w:r>
          </w:p>
        </w:tc>
      </w:tr>
      <w:tr w:rsidR="00DC5282" w14:paraId="09CB6D49" w14:textId="77777777" w:rsidTr="00005928">
        <w:trPr>
          <w:trHeight w:val="540"/>
        </w:trPr>
        <w:tc>
          <w:tcPr>
            <w:tcW w:w="2581" w:type="pct"/>
            <w:tcBorders>
              <w:left w:val="single" w:sz="8" w:space="0" w:color="000000"/>
              <w:bottom w:val="single" w:sz="8" w:space="0" w:color="000000"/>
              <w:right w:val="single" w:sz="8" w:space="0" w:color="000000"/>
            </w:tcBorders>
            <w:shd w:val="clear" w:color="auto" w:fill="auto"/>
            <w:vAlign w:val="bottom"/>
          </w:tcPr>
          <w:p w14:paraId="161FF3D5" w14:textId="77777777" w:rsidR="00DC5282" w:rsidRDefault="00DC5282" w:rsidP="00005928">
            <w:pPr>
              <w:widowControl w:val="0"/>
              <w:jc w:val="both"/>
              <w:rPr>
                <w:color w:val="000000"/>
                <w:sz w:val="20"/>
                <w:szCs w:val="20"/>
              </w:rPr>
            </w:pPr>
            <w:r>
              <w:rPr>
                <w:color w:val="000000"/>
                <w:sz w:val="20"/>
                <w:szCs w:val="20"/>
              </w:rPr>
              <w:t xml:space="preserve">Изменение объемов добычи углеводородного сырья, объемов экспорта </w:t>
            </w:r>
          </w:p>
        </w:tc>
        <w:tc>
          <w:tcPr>
            <w:tcW w:w="858" w:type="pct"/>
            <w:tcBorders>
              <w:bottom w:val="single" w:sz="8" w:space="0" w:color="000000"/>
              <w:right w:val="single" w:sz="8" w:space="0" w:color="000000"/>
            </w:tcBorders>
            <w:shd w:val="clear" w:color="auto" w:fill="auto"/>
            <w:vAlign w:val="bottom"/>
          </w:tcPr>
          <w:p w14:paraId="62D9F643" w14:textId="77777777" w:rsidR="00DC5282" w:rsidRDefault="00DC5282" w:rsidP="00005928">
            <w:pPr>
              <w:widowControl w:val="0"/>
              <w:jc w:val="center"/>
              <w:rPr>
                <w:color w:val="000000"/>
                <w:sz w:val="18"/>
                <w:szCs w:val="18"/>
              </w:rPr>
            </w:pPr>
            <w:r>
              <w:rPr>
                <w:color w:val="000000"/>
                <w:sz w:val="18"/>
                <w:szCs w:val="18"/>
              </w:rPr>
              <w:t>-699 382,60</w:t>
            </w:r>
          </w:p>
        </w:tc>
        <w:tc>
          <w:tcPr>
            <w:tcW w:w="702" w:type="pct"/>
            <w:tcBorders>
              <w:bottom w:val="single" w:sz="8" w:space="0" w:color="000000"/>
              <w:right w:val="single" w:sz="8" w:space="0" w:color="000000"/>
            </w:tcBorders>
            <w:shd w:val="clear" w:color="auto" w:fill="auto"/>
            <w:vAlign w:val="bottom"/>
          </w:tcPr>
          <w:p w14:paraId="5EC957E8" w14:textId="77777777" w:rsidR="00DC5282" w:rsidRDefault="00DC5282" w:rsidP="00005928">
            <w:pPr>
              <w:widowControl w:val="0"/>
              <w:jc w:val="center"/>
              <w:rPr>
                <w:color w:val="000000"/>
                <w:sz w:val="18"/>
                <w:szCs w:val="18"/>
              </w:rPr>
            </w:pPr>
            <w:r>
              <w:rPr>
                <w:color w:val="000000"/>
                <w:sz w:val="18"/>
                <w:szCs w:val="18"/>
              </w:rPr>
              <w:t>77 016,70</w:t>
            </w:r>
          </w:p>
        </w:tc>
        <w:tc>
          <w:tcPr>
            <w:tcW w:w="858" w:type="pct"/>
            <w:tcBorders>
              <w:bottom w:val="single" w:sz="8" w:space="0" w:color="000000"/>
              <w:right w:val="single" w:sz="8" w:space="0" w:color="000000"/>
            </w:tcBorders>
            <w:shd w:val="clear" w:color="auto" w:fill="auto"/>
            <w:vAlign w:val="bottom"/>
          </w:tcPr>
          <w:p w14:paraId="6D3E4AE0" w14:textId="77777777" w:rsidR="00DC5282" w:rsidRDefault="00DC5282" w:rsidP="00005928">
            <w:pPr>
              <w:widowControl w:val="0"/>
              <w:jc w:val="center"/>
              <w:rPr>
                <w:color w:val="000000"/>
                <w:sz w:val="18"/>
                <w:szCs w:val="18"/>
              </w:rPr>
            </w:pPr>
            <w:r>
              <w:rPr>
                <w:color w:val="000000"/>
                <w:sz w:val="18"/>
                <w:szCs w:val="18"/>
              </w:rPr>
              <w:t>105 534,20</w:t>
            </w:r>
          </w:p>
        </w:tc>
      </w:tr>
      <w:tr w:rsidR="00DC5282" w14:paraId="3F418840" w14:textId="77777777" w:rsidTr="00005928">
        <w:trPr>
          <w:trHeight w:val="315"/>
        </w:trPr>
        <w:tc>
          <w:tcPr>
            <w:tcW w:w="2581" w:type="pct"/>
            <w:tcBorders>
              <w:left w:val="single" w:sz="8" w:space="0" w:color="000000"/>
              <w:bottom w:val="single" w:sz="8" w:space="0" w:color="000000"/>
              <w:right w:val="single" w:sz="8" w:space="0" w:color="000000"/>
            </w:tcBorders>
            <w:shd w:val="clear" w:color="auto" w:fill="auto"/>
          </w:tcPr>
          <w:p w14:paraId="5C2C5160" w14:textId="77777777" w:rsidR="00DC5282" w:rsidRDefault="00DC5282" w:rsidP="00005928">
            <w:pPr>
              <w:widowControl w:val="0"/>
              <w:jc w:val="both"/>
              <w:rPr>
                <w:color w:val="000000"/>
                <w:sz w:val="20"/>
                <w:szCs w:val="20"/>
              </w:rPr>
            </w:pPr>
            <w:r>
              <w:rPr>
                <w:color w:val="000000"/>
                <w:sz w:val="20"/>
                <w:szCs w:val="20"/>
              </w:rPr>
              <w:t>Прочие факторы</w:t>
            </w:r>
          </w:p>
        </w:tc>
        <w:tc>
          <w:tcPr>
            <w:tcW w:w="858" w:type="pct"/>
            <w:tcBorders>
              <w:bottom w:val="single" w:sz="8" w:space="0" w:color="000000"/>
              <w:right w:val="single" w:sz="8" w:space="0" w:color="000000"/>
            </w:tcBorders>
            <w:shd w:val="clear" w:color="auto" w:fill="auto"/>
            <w:vAlign w:val="bottom"/>
          </w:tcPr>
          <w:p w14:paraId="2B3AB122" w14:textId="77777777" w:rsidR="00DC5282" w:rsidRDefault="00DC5282" w:rsidP="00005928">
            <w:pPr>
              <w:widowControl w:val="0"/>
              <w:jc w:val="center"/>
              <w:rPr>
                <w:color w:val="000000"/>
                <w:sz w:val="18"/>
                <w:szCs w:val="18"/>
              </w:rPr>
            </w:pPr>
            <w:r>
              <w:rPr>
                <w:color w:val="000000"/>
                <w:sz w:val="18"/>
                <w:szCs w:val="18"/>
              </w:rPr>
              <w:t>-1 038 775,40</w:t>
            </w:r>
          </w:p>
        </w:tc>
        <w:tc>
          <w:tcPr>
            <w:tcW w:w="702" w:type="pct"/>
            <w:tcBorders>
              <w:bottom w:val="single" w:sz="8" w:space="0" w:color="000000"/>
              <w:right w:val="single" w:sz="8" w:space="0" w:color="000000"/>
            </w:tcBorders>
            <w:shd w:val="clear" w:color="auto" w:fill="auto"/>
            <w:vAlign w:val="bottom"/>
          </w:tcPr>
          <w:p w14:paraId="05AA365A" w14:textId="77777777" w:rsidR="00DC5282" w:rsidRDefault="00DC5282" w:rsidP="00005928">
            <w:pPr>
              <w:widowControl w:val="0"/>
              <w:jc w:val="center"/>
              <w:rPr>
                <w:color w:val="000000"/>
                <w:sz w:val="18"/>
                <w:szCs w:val="18"/>
              </w:rPr>
            </w:pPr>
            <w:r>
              <w:rPr>
                <w:color w:val="000000"/>
                <w:sz w:val="18"/>
                <w:szCs w:val="18"/>
              </w:rPr>
              <w:t>-271 277,90</w:t>
            </w:r>
          </w:p>
        </w:tc>
        <w:tc>
          <w:tcPr>
            <w:tcW w:w="858" w:type="pct"/>
            <w:tcBorders>
              <w:bottom w:val="single" w:sz="8" w:space="0" w:color="000000"/>
              <w:right w:val="single" w:sz="8" w:space="0" w:color="000000"/>
            </w:tcBorders>
            <w:shd w:val="clear" w:color="auto" w:fill="auto"/>
            <w:vAlign w:val="bottom"/>
          </w:tcPr>
          <w:p w14:paraId="6DF3DBBB" w14:textId="77777777" w:rsidR="00DC5282" w:rsidRDefault="00DC5282" w:rsidP="00005928">
            <w:pPr>
              <w:widowControl w:val="0"/>
              <w:jc w:val="center"/>
              <w:rPr>
                <w:color w:val="000000"/>
                <w:sz w:val="18"/>
                <w:szCs w:val="18"/>
              </w:rPr>
            </w:pPr>
            <w:r>
              <w:rPr>
                <w:color w:val="000000"/>
                <w:sz w:val="18"/>
                <w:szCs w:val="18"/>
              </w:rPr>
              <w:t>-97 616,30</w:t>
            </w:r>
          </w:p>
        </w:tc>
      </w:tr>
    </w:tbl>
    <w:p w14:paraId="483E3708" w14:textId="0528B891" w:rsidR="00DC5282" w:rsidRDefault="00DC5282" w:rsidP="00302032">
      <w:pPr>
        <w:ind w:firstLine="567"/>
        <w:jc w:val="both"/>
        <w:rPr>
          <w:sz w:val="28"/>
          <w:szCs w:val="28"/>
        </w:rPr>
      </w:pPr>
      <w:r w:rsidRPr="000415A6">
        <w:rPr>
          <w:i/>
          <w:iCs/>
          <w:sz w:val="20"/>
          <w:szCs w:val="20"/>
        </w:rPr>
        <w:t>Источник:</w:t>
      </w:r>
      <w:r>
        <w:rPr>
          <w:sz w:val="20"/>
          <w:szCs w:val="20"/>
        </w:rPr>
        <w:t xml:space="preserve"> Пояснительная записка</w:t>
      </w:r>
    </w:p>
    <w:p w14:paraId="15D2044D" w14:textId="77777777" w:rsidR="00DC5282" w:rsidRDefault="00DC5282" w:rsidP="00DC5282">
      <w:pPr>
        <w:ind w:firstLine="709"/>
        <w:jc w:val="both"/>
        <w:rPr>
          <w:sz w:val="28"/>
          <w:szCs w:val="28"/>
        </w:rPr>
      </w:pPr>
    </w:p>
    <w:p w14:paraId="34FBC202" w14:textId="4EECF78B" w:rsidR="00DC5282" w:rsidRDefault="00DC5282" w:rsidP="00DC5282">
      <w:pPr>
        <w:spacing w:line="360" w:lineRule="auto"/>
        <w:ind w:firstLine="709"/>
        <w:jc w:val="both"/>
        <w:rPr>
          <w:sz w:val="28"/>
          <w:szCs w:val="28"/>
        </w:rPr>
      </w:pPr>
      <w:proofErr w:type="gramStart"/>
      <w:r>
        <w:rPr>
          <w:sz w:val="28"/>
          <w:szCs w:val="28"/>
        </w:rPr>
        <w:t>Необходимо отметить, что ключевой для данной категории доходов бюджета фактор – мировые цены на углеводороды, в последние годы демонстрируют столь существенную волатильность, что достоверность их прогнозов в целом невелика.</w:t>
      </w:r>
      <w:proofErr w:type="gramEnd"/>
      <w:r>
        <w:rPr>
          <w:sz w:val="28"/>
          <w:szCs w:val="28"/>
        </w:rPr>
        <w:t xml:space="preserve"> Данный фактор опосредованно сказывается на целом ряде иных менее значимых фактор</w:t>
      </w:r>
      <w:r w:rsidR="003229CC">
        <w:rPr>
          <w:sz w:val="28"/>
          <w:szCs w:val="28"/>
        </w:rPr>
        <w:t>ов</w:t>
      </w:r>
      <w:r>
        <w:rPr>
          <w:sz w:val="28"/>
          <w:szCs w:val="28"/>
        </w:rPr>
        <w:t xml:space="preserve">, объединенных в таблице </w:t>
      </w:r>
      <w:r w:rsidR="00901ACF">
        <w:rPr>
          <w:sz w:val="28"/>
          <w:szCs w:val="28"/>
        </w:rPr>
        <w:t>4</w:t>
      </w:r>
      <w:r>
        <w:rPr>
          <w:sz w:val="28"/>
          <w:szCs w:val="28"/>
        </w:rPr>
        <w:t xml:space="preserve"> в группу «Прочие факторы», а также может оказывать влияние и фактор валютного курса. В </w:t>
      </w:r>
      <w:proofErr w:type="gramStart"/>
      <w:r>
        <w:rPr>
          <w:sz w:val="28"/>
          <w:szCs w:val="28"/>
        </w:rPr>
        <w:t>результате</w:t>
      </w:r>
      <w:proofErr w:type="gramEnd"/>
      <w:r>
        <w:rPr>
          <w:sz w:val="28"/>
          <w:szCs w:val="28"/>
        </w:rPr>
        <w:t xml:space="preserve"> приведенные выше данные, вероятно, следует расценивать не столько как прогноз, сколько как оценку с определенной долей вероятности.</w:t>
      </w:r>
    </w:p>
    <w:p w14:paraId="180B3102" w14:textId="77777777" w:rsidR="00DC5282" w:rsidRDefault="00DC5282" w:rsidP="004275CE">
      <w:pPr>
        <w:spacing w:line="360" w:lineRule="auto"/>
        <w:ind w:firstLine="709"/>
        <w:jc w:val="both"/>
        <w:rPr>
          <w:b/>
          <w:bCs/>
          <w:i/>
          <w:iCs/>
          <w:sz w:val="28"/>
          <w:szCs w:val="28"/>
        </w:rPr>
      </w:pPr>
      <w:proofErr w:type="spellStart"/>
      <w:r>
        <w:rPr>
          <w:b/>
          <w:bCs/>
          <w:i/>
          <w:iCs/>
          <w:sz w:val="28"/>
          <w:szCs w:val="28"/>
        </w:rPr>
        <w:t>Ненефтегазовые</w:t>
      </w:r>
      <w:proofErr w:type="spellEnd"/>
      <w:r>
        <w:rPr>
          <w:b/>
          <w:bCs/>
          <w:i/>
          <w:iCs/>
          <w:sz w:val="28"/>
          <w:szCs w:val="28"/>
        </w:rPr>
        <w:t xml:space="preserve"> доходы</w:t>
      </w:r>
    </w:p>
    <w:p w14:paraId="0EEF5F23" w14:textId="6C0A72E5" w:rsidR="00DC5282" w:rsidRDefault="00DC5282" w:rsidP="004275CE">
      <w:pPr>
        <w:spacing w:line="360" w:lineRule="auto"/>
        <w:ind w:firstLine="709"/>
        <w:jc w:val="both"/>
        <w:rPr>
          <w:sz w:val="28"/>
          <w:szCs w:val="28"/>
        </w:rPr>
      </w:pPr>
      <w:r>
        <w:rPr>
          <w:sz w:val="28"/>
          <w:szCs w:val="28"/>
        </w:rPr>
        <w:t xml:space="preserve">Прогнозируемая динамика </w:t>
      </w:r>
      <w:proofErr w:type="spellStart"/>
      <w:r>
        <w:rPr>
          <w:sz w:val="28"/>
          <w:szCs w:val="28"/>
        </w:rPr>
        <w:t>ненефтегазовых</w:t>
      </w:r>
      <w:proofErr w:type="spellEnd"/>
      <w:r>
        <w:rPr>
          <w:sz w:val="28"/>
          <w:szCs w:val="28"/>
        </w:rPr>
        <w:t xml:space="preserve"> доходов в целом вызывает определенные вопросы. Так, в 2023 г</w:t>
      </w:r>
      <w:r w:rsidR="000415A6">
        <w:rPr>
          <w:sz w:val="28"/>
          <w:szCs w:val="28"/>
        </w:rPr>
        <w:t>оду</w:t>
      </w:r>
      <w:r>
        <w:rPr>
          <w:sz w:val="28"/>
          <w:szCs w:val="28"/>
        </w:rPr>
        <w:t xml:space="preserve"> </w:t>
      </w:r>
      <w:proofErr w:type="spellStart"/>
      <w:r>
        <w:rPr>
          <w:sz w:val="28"/>
          <w:szCs w:val="28"/>
        </w:rPr>
        <w:t>ненефтегазовые</w:t>
      </w:r>
      <w:proofErr w:type="spellEnd"/>
      <w:r>
        <w:rPr>
          <w:sz w:val="28"/>
          <w:szCs w:val="28"/>
        </w:rPr>
        <w:t xml:space="preserve"> доходы федерального бюджета увеличатся в реальном исчислении на 1,3% по сравнению с 2022 г</w:t>
      </w:r>
      <w:r w:rsidR="000415A6">
        <w:rPr>
          <w:sz w:val="28"/>
          <w:szCs w:val="28"/>
        </w:rPr>
        <w:t>одом</w:t>
      </w:r>
      <w:r>
        <w:rPr>
          <w:sz w:val="28"/>
          <w:szCs w:val="28"/>
        </w:rPr>
        <w:t xml:space="preserve"> (предварительная оценка). При этом поступления НДС по реализации на территории РФ в реальном исчислении возрастут на 5,4%, а доходы от это</w:t>
      </w:r>
      <w:r w:rsidR="003229CC">
        <w:rPr>
          <w:sz w:val="28"/>
          <w:szCs w:val="28"/>
        </w:rPr>
        <w:t>го</w:t>
      </w:r>
      <w:r>
        <w:rPr>
          <w:sz w:val="28"/>
          <w:szCs w:val="28"/>
        </w:rPr>
        <w:t xml:space="preserve"> налога, поступающие при импорте</w:t>
      </w:r>
      <w:r w:rsidR="003229CC">
        <w:rPr>
          <w:sz w:val="28"/>
          <w:szCs w:val="28"/>
        </w:rPr>
        <w:t>,</w:t>
      </w:r>
      <w:r>
        <w:rPr>
          <w:sz w:val="28"/>
          <w:szCs w:val="28"/>
        </w:rPr>
        <w:t xml:space="preserve"> увеличатся на 3,5%. На данный налог в общей сумме в 2022 г</w:t>
      </w:r>
      <w:r w:rsidR="000415A6">
        <w:rPr>
          <w:sz w:val="28"/>
          <w:szCs w:val="28"/>
        </w:rPr>
        <w:t>оду</w:t>
      </w:r>
      <w:r>
        <w:rPr>
          <w:sz w:val="28"/>
          <w:szCs w:val="28"/>
        </w:rPr>
        <w:t xml:space="preserve"> приходится 58,8% всех </w:t>
      </w:r>
      <w:proofErr w:type="spellStart"/>
      <w:r>
        <w:rPr>
          <w:sz w:val="28"/>
          <w:szCs w:val="28"/>
        </w:rPr>
        <w:t>ненефтегазовых</w:t>
      </w:r>
      <w:proofErr w:type="spellEnd"/>
      <w:r>
        <w:rPr>
          <w:sz w:val="28"/>
          <w:szCs w:val="28"/>
        </w:rPr>
        <w:t xml:space="preserve"> доходов. На протяжении всего планового периода доля налога остается относительно стабильной – 60–62%. В целом просматривается повышательная динамика его поступлений в соответствии с прогнозируемой динамикой ВВП (рисунок 3). Это касается как НДС по реализации на территории РФ, так и налога при импорте. Обращает на себя внимание более быстрое восстановление налога, связанного с внутренним товарооборотом, чем налога, связанного с импортом.</w:t>
      </w:r>
    </w:p>
    <w:p w14:paraId="102172CC" w14:textId="77777777" w:rsidR="00DC5282" w:rsidRDefault="00DC5282" w:rsidP="00DC5282">
      <w:pPr>
        <w:jc w:val="both"/>
        <w:rPr>
          <w:rFonts w:ascii="PT Sans" w:hAnsi="PT Sans"/>
          <w:color w:val="000000"/>
          <w:sz w:val="26"/>
          <w:szCs w:val="26"/>
          <w:shd w:val="clear" w:color="auto" w:fill="FFFFFF"/>
        </w:rPr>
      </w:pPr>
    </w:p>
    <w:p w14:paraId="6E3DBCFA" w14:textId="77777777" w:rsidR="00DC5282" w:rsidRDefault="00DC5282" w:rsidP="00DC5282">
      <w:pPr>
        <w:jc w:val="both"/>
        <w:rPr>
          <w:sz w:val="20"/>
          <w:szCs w:val="20"/>
        </w:rPr>
      </w:pPr>
      <w:r>
        <w:rPr>
          <w:noProof/>
        </w:rPr>
        <w:drawing>
          <wp:inline distT="0" distB="0" distL="0" distR="0" wp14:anchorId="53EF0CEB" wp14:editId="14CF724F">
            <wp:extent cx="5940425" cy="381444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74F09D" w14:textId="77777777" w:rsidR="000415A6" w:rsidRDefault="000415A6" w:rsidP="000415A6">
      <w:pPr>
        <w:jc w:val="both"/>
        <w:rPr>
          <w:sz w:val="20"/>
          <w:szCs w:val="20"/>
        </w:rPr>
      </w:pPr>
      <w:r w:rsidRPr="000415A6">
        <w:rPr>
          <w:i/>
          <w:iCs/>
          <w:sz w:val="20"/>
          <w:szCs w:val="20"/>
        </w:rPr>
        <w:t>Источник:</w:t>
      </w:r>
      <w:r>
        <w:rPr>
          <w:sz w:val="20"/>
          <w:szCs w:val="20"/>
        </w:rPr>
        <w:t xml:space="preserve"> </w:t>
      </w:r>
      <w:proofErr w:type="gramStart"/>
      <w:r>
        <w:rPr>
          <w:sz w:val="20"/>
          <w:szCs w:val="20"/>
        </w:rPr>
        <w:t xml:space="preserve">Пояснительная записка к проекту Федерального Закона «О федеральном бюджете на 2023 год и на плановый период 2024 и 2025 годов»; Приложение №3 к Пояснительной записке; Отчет об исполнении консолидированного бюджета Российской Федерации и бюджетов государственных внебюджетных фондов на 01.01.2022 (сайт Федерального казначейства </w:t>
      </w:r>
      <w:r>
        <w:rPr>
          <w:sz w:val="20"/>
          <w:szCs w:val="20"/>
          <w:lang w:val="en-US"/>
        </w:rPr>
        <w:t>www</w:t>
      </w:r>
      <w:r>
        <w:rPr>
          <w:sz w:val="20"/>
          <w:szCs w:val="20"/>
        </w:rPr>
        <w:t>.</w:t>
      </w:r>
      <w:proofErr w:type="spellStart"/>
      <w:r>
        <w:rPr>
          <w:sz w:val="20"/>
          <w:szCs w:val="20"/>
          <w:lang w:val="en-US"/>
        </w:rPr>
        <w:t>roskazna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w:t>
      </w:r>
      <w:proofErr w:type="gramEnd"/>
    </w:p>
    <w:p w14:paraId="5187B00C" w14:textId="77777777" w:rsidR="00DC5282" w:rsidRDefault="00DC5282" w:rsidP="00DC5282">
      <w:pPr>
        <w:jc w:val="both"/>
        <w:rPr>
          <w:sz w:val="20"/>
          <w:szCs w:val="20"/>
        </w:rPr>
      </w:pPr>
    </w:p>
    <w:p w14:paraId="5D7997B2" w14:textId="33239336" w:rsidR="00DC5282" w:rsidRDefault="00DC5282" w:rsidP="000415A6">
      <w:pPr>
        <w:jc w:val="both"/>
        <w:rPr>
          <w:sz w:val="28"/>
          <w:szCs w:val="28"/>
        </w:rPr>
      </w:pPr>
      <w:r>
        <w:rPr>
          <w:sz w:val="28"/>
          <w:szCs w:val="28"/>
        </w:rPr>
        <w:t xml:space="preserve">Рисунок 3 - Поступления основных </w:t>
      </w:r>
      <w:proofErr w:type="spellStart"/>
      <w:r>
        <w:rPr>
          <w:sz w:val="28"/>
          <w:szCs w:val="28"/>
        </w:rPr>
        <w:t>ненефтегазовых</w:t>
      </w:r>
      <w:proofErr w:type="spellEnd"/>
      <w:r>
        <w:rPr>
          <w:sz w:val="28"/>
          <w:szCs w:val="28"/>
        </w:rPr>
        <w:t xml:space="preserve"> доходов в федеральный бюджет, </w:t>
      </w:r>
      <w:proofErr w:type="gramStart"/>
      <w:r>
        <w:rPr>
          <w:sz w:val="28"/>
          <w:szCs w:val="28"/>
        </w:rPr>
        <w:t>млрд</w:t>
      </w:r>
      <w:proofErr w:type="gramEnd"/>
      <w:r>
        <w:rPr>
          <w:sz w:val="28"/>
          <w:szCs w:val="28"/>
        </w:rPr>
        <w:t xml:space="preserve"> руб. в 2022–2025 г</w:t>
      </w:r>
      <w:r w:rsidR="00C571A0">
        <w:rPr>
          <w:sz w:val="28"/>
          <w:szCs w:val="28"/>
        </w:rPr>
        <w:t>одов</w:t>
      </w:r>
    </w:p>
    <w:p w14:paraId="1CBD719D" w14:textId="77777777" w:rsidR="00DC5282" w:rsidRDefault="00DC5282" w:rsidP="00DC5282">
      <w:pPr>
        <w:jc w:val="both"/>
        <w:rPr>
          <w:sz w:val="20"/>
          <w:szCs w:val="20"/>
        </w:rPr>
      </w:pPr>
    </w:p>
    <w:p w14:paraId="087746B8" w14:textId="77777777" w:rsidR="00DC5282" w:rsidRDefault="00DC5282" w:rsidP="00DC5282">
      <w:pPr>
        <w:ind w:firstLine="709"/>
        <w:jc w:val="both"/>
        <w:rPr>
          <w:sz w:val="20"/>
          <w:szCs w:val="20"/>
        </w:rPr>
      </w:pPr>
    </w:p>
    <w:p w14:paraId="60DA2650" w14:textId="0C31A48D" w:rsidR="00DC5282" w:rsidRDefault="00DC5282" w:rsidP="00DC5282">
      <w:pPr>
        <w:spacing w:line="360" w:lineRule="auto"/>
        <w:ind w:firstLine="709"/>
        <w:jc w:val="both"/>
        <w:rPr>
          <w:sz w:val="28"/>
          <w:szCs w:val="28"/>
        </w:rPr>
      </w:pPr>
      <w:r>
        <w:rPr>
          <w:sz w:val="28"/>
          <w:szCs w:val="28"/>
        </w:rPr>
        <w:t xml:space="preserve">Почти столь же плавный рост поступлений в рамках планового горизонта прогнозируется и по иным ключевым доходам федерального бюджета. В реальном </w:t>
      </w:r>
      <w:proofErr w:type="gramStart"/>
      <w:r>
        <w:rPr>
          <w:sz w:val="28"/>
          <w:szCs w:val="28"/>
        </w:rPr>
        <w:t>исчислении</w:t>
      </w:r>
      <w:proofErr w:type="gramEnd"/>
      <w:r>
        <w:rPr>
          <w:sz w:val="28"/>
          <w:szCs w:val="28"/>
        </w:rPr>
        <w:t xml:space="preserve"> будут расти поступления налога на прибыль организаций (начиная с 2024 г</w:t>
      </w:r>
      <w:r w:rsidR="000415A6">
        <w:rPr>
          <w:sz w:val="28"/>
          <w:szCs w:val="28"/>
        </w:rPr>
        <w:t>ода</w:t>
      </w:r>
      <w:r>
        <w:rPr>
          <w:sz w:val="28"/>
          <w:szCs w:val="28"/>
        </w:rPr>
        <w:t xml:space="preserve">), НДФЛ, а также ввозных таможенных пошлин. Исключение составляют акцизы, динамика которых будет существенно отставать от темпов инфляции. </w:t>
      </w:r>
    </w:p>
    <w:p w14:paraId="216058CD" w14:textId="77777777" w:rsidR="004275CE" w:rsidRDefault="004275CE" w:rsidP="004275CE">
      <w:pPr>
        <w:pStyle w:val="Style1"/>
        <w:spacing w:line="360" w:lineRule="auto"/>
      </w:pPr>
      <w:r>
        <w:t>Предполагается, что наиболее быстро из всех видов доходов федерального бюджета будут расти налоги на доходы физических лиц (НДФЛ) и д</w:t>
      </w:r>
      <w:r w:rsidRPr="00FE5D4E">
        <w:t>оходы, связанные с импортом</w:t>
      </w:r>
      <w:r>
        <w:t>.</w:t>
      </w:r>
    </w:p>
    <w:p w14:paraId="083B69B9" w14:textId="77777777" w:rsidR="004275CE" w:rsidRPr="000415A6" w:rsidRDefault="004275CE" w:rsidP="000415A6">
      <w:pPr>
        <w:pStyle w:val="Default"/>
        <w:jc w:val="both"/>
        <w:rPr>
          <w:rFonts w:ascii="Times New Roman" w:hAnsi="Times New Roman" w:cs="Times New Roman"/>
          <w:sz w:val="28"/>
          <w:szCs w:val="28"/>
        </w:rPr>
      </w:pPr>
    </w:p>
    <w:p w14:paraId="21BB4740" w14:textId="69AB321A" w:rsidR="004275CE" w:rsidRDefault="004275CE" w:rsidP="000415A6">
      <w:pPr>
        <w:pStyle w:val="Default"/>
        <w:jc w:val="both"/>
        <w:rPr>
          <w:rFonts w:ascii="Times New Roman" w:hAnsi="Times New Roman" w:cs="Times New Roman"/>
          <w:sz w:val="28"/>
          <w:szCs w:val="28"/>
        </w:rPr>
      </w:pPr>
      <w:r w:rsidRPr="000415A6">
        <w:rPr>
          <w:rFonts w:ascii="Times New Roman" w:hAnsi="Times New Roman" w:cs="Times New Roman"/>
          <w:sz w:val="28"/>
          <w:szCs w:val="28"/>
        </w:rPr>
        <w:t xml:space="preserve">Таблица </w:t>
      </w:r>
      <w:r w:rsidR="00901ACF">
        <w:rPr>
          <w:rFonts w:ascii="Times New Roman" w:hAnsi="Times New Roman" w:cs="Times New Roman"/>
          <w:sz w:val="28"/>
          <w:szCs w:val="28"/>
        </w:rPr>
        <w:t>5</w:t>
      </w:r>
      <w:r w:rsidR="000415A6">
        <w:rPr>
          <w:rFonts w:ascii="Times New Roman" w:hAnsi="Times New Roman" w:cs="Times New Roman"/>
          <w:sz w:val="28"/>
          <w:szCs w:val="28"/>
        </w:rPr>
        <w:t xml:space="preserve"> -</w:t>
      </w:r>
      <w:r w:rsidRPr="000415A6">
        <w:rPr>
          <w:rFonts w:ascii="Times New Roman" w:hAnsi="Times New Roman" w:cs="Times New Roman"/>
          <w:sz w:val="28"/>
          <w:szCs w:val="28"/>
        </w:rPr>
        <w:t xml:space="preserve"> Отношение среднегодовых доходов федерального бюджета в 2023</w:t>
      </w:r>
      <w:r w:rsidRPr="000415A6">
        <w:rPr>
          <w:rFonts w:ascii="Times New Roman" w:hAnsi="Times New Roman" w:cs="Times New Roman"/>
          <w:sz w:val="28"/>
          <w:szCs w:val="28"/>
        </w:rPr>
        <w:noBreakHyphen/>
        <w:t xml:space="preserve">2025 </w:t>
      </w:r>
      <w:r w:rsidR="000415A6">
        <w:rPr>
          <w:rFonts w:ascii="Times New Roman" w:hAnsi="Times New Roman" w:cs="Times New Roman"/>
          <w:sz w:val="28"/>
          <w:szCs w:val="28"/>
        </w:rPr>
        <w:t xml:space="preserve">годах </w:t>
      </w:r>
      <w:r w:rsidRPr="000415A6">
        <w:rPr>
          <w:rFonts w:ascii="Times New Roman" w:hAnsi="Times New Roman" w:cs="Times New Roman"/>
          <w:sz w:val="28"/>
          <w:szCs w:val="28"/>
        </w:rPr>
        <w:t xml:space="preserve"> к доходам 2022 г</w:t>
      </w:r>
      <w:r w:rsidR="000415A6">
        <w:rPr>
          <w:rFonts w:ascii="Times New Roman" w:hAnsi="Times New Roman" w:cs="Times New Roman"/>
          <w:sz w:val="28"/>
          <w:szCs w:val="28"/>
        </w:rPr>
        <w:t>ода</w:t>
      </w:r>
      <w:r w:rsidRPr="000415A6">
        <w:rPr>
          <w:rFonts w:ascii="Times New Roman" w:hAnsi="Times New Roman" w:cs="Times New Roman"/>
          <w:sz w:val="28"/>
          <w:szCs w:val="28"/>
        </w:rPr>
        <w:t>, %</w:t>
      </w:r>
    </w:p>
    <w:p w14:paraId="0C0F6341" w14:textId="77777777" w:rsidR="000415A6" w:rsidRPr="000415A6" w:rsidRDefault="000415A6" w:rsidP="000415A6">
      <w:pPr>
        <w:pStyle w:val="Default"/>
        <w:jc w:val="both"/>
        <w:rPr>
          <w:rFonts w:ascii="Times New Roman" w:hAnsi="Times New Roman" w:cs="Times New Roman"/>
          <w:sz w:val="28"/>
          <w:szCs w:val="28"/>
        </w:rPr>
      </w:pPr>
    </w:p>
    <w:tbl>
      <w:tblPr>
        <w:tblStyle w:val="ae"/>
        <w:tblW w:w="5000" w:type="pct"/>
        <w:tblLook w:val="04A0" w:firstRow="1" w:lastRow="0" w:firstColumn="1" w:lastColumn="0" w:noHBand="0" w:noVBand="1"/>
      </w:tblPr>
      <w:tblGrid>
        <w:gridCol w:w="5827"/>
        <w:gridCol w:w="3744"/>
      </w:tblGrid>
      <w:tr w:rsidR="004275CE" w:rsidRPr="00023A6B" w14:paraId="02AA10C5" w14:textId="77777777" w:rsidTr="004275CE">
        <w:tc>
          <w:tcPr>
            <w:tcW w:w="3044" w:type="pct"/>
          </w:tcPr>
          <w:p w14:paraId="28A926F6" w14:textId="77777777" w:rsidR="004275CE" w:rsidRPr="00023A6B" w:rsidRDefault="004275CE" w:rsidP="00005928">
            <w:pPr>
              <w:pStyle w:val="Default"/>
              <w:jc w:val="center"/>
              <w:rPr>
                <w:rFonts w:ascii="Times New Roman" w:hAnsi="Times New Roman" w:cs="Times New Roman"/>
                <w:b/>
              </w:rPr>
            </w:pPr>
            <w:r w:rsidRPr="00023A6B">
              <w:rPr>
                <w:rFonts w:ascii="Times New Roman" w:hAnsi="Times New Roman" w:cs="Times New Roman"/>
                <w:b/>
              </w:rPr>
              <w:t>Доходы</w:t>
            </w:r>
          </w:p>
        </w:tc>
        <w:tc>
          <w:tcPr>
            <w:tcW w:w="1956" w:type="pct"/>
          </w:tcPr>
          <w:p w14:paraId="7C48747E" w14:textId="77777777" w:rsidR="004275CE" w:rsidRPr="00023A6B" w:rsidRDefault="004275CE" w:rsidP="00005928">
            <w:pPr>
              <w:pStyle w:val="Default"/>
              <w:jc w:val="center"/>
              <w:rPr>
                <w:rFonts w:ascii="Times New Roman" w:hAnsi="Times New Roman" w:cs="Times New Roman"/>
                <w:b/>
              </w:rPr>
            </w:pPr>
            <w:r w:rsidRPr="00023A6B">
              <w:rPr>
                <w:rFonts w:ascii="Times New Roman" w:hAnsi="Times New Roman" w:cs="Times New Roman"/>
                <w:b/>
              </w:rPr>
              <w:t>%</w:t>
            </w:r>
          </w:p>
        </w:tc>
      </w:tr>
      <w:tr w:rsidR="004275CE" w:rsidRPr="00023A6B" w14:paraId="266C4794" w14:textId="77777777" w:rsidTr="004275CE">
        <w:tc>
          <w:tcPr>
            <w:tcW w:w="3044" w:type="pct"/>
          </w:tcPr>
          <w:p w14:paraId="515206F2"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Доходы всего</w:t>
            </w:r>
          </w:p>
        </w:tc>
        <w:tc>
          <w:tcPr>
            <w:tcW w:w="1956" w:type="pct"/>
          </w:tcPr>
          <w:p w14:paraId="52E1404A" w14:textId="77777777" w:rsidR="004275CE" w:rsidRPr="00023A6B" w:rsidRDefault="004275CE" w:rsidP="00005928">
            <w:pPr>
              <w:pStyle w:val="Default"/>
              <w:jc w:val="center"/>
              <w:rPr>
                <w:rFonts w:ascii="Times New Roman" w:hAnsi="Times New Roman" w:cs="Times New Roman"/>
              </w:rPr>
            </w:pPr>
            <w:r w:rsidRPr="00023A6B">
              <w:rPr>
                <w:rFonts w:ascii="Times New Roman" w:hAnsi="Times New Roman" w:cs="Times New Roman"/>
              </w:rPr>
              <w:t>97,1</w:t>
            </w:r>
          </w:p>
        </w:tc>
      </w:tr>
      <w:tr w:rsidR="004275CE" w:rsidRPr="00023A6B" w14:paraId="39AA8BC8" w14:textId="77777777" w:rsidTr="004275CE">
        <w:tc>
          <w:tcPr>
            <w:tcW w:w="5000" w:type="pct"/>
            <w:gridSpan w:val="2"/>
          </w:tcPr>
          <w:p w14:paraId="2302B370"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В том числе:</w:t>
            </w:r>
          </w:p>
        </w:tc>
      </w:tr>
      <w:tr w:rsidR="004275CE" w:rsidRPr="00023A6B" w14:paraId="3BE0A2BD" w14:textId="77777777" w:rsidTr="004275CE">
        <w:tc>
          <w:tcPr>
            <w:tcW w:w="3044" w:type="pct"/>
          </w:tcPr>
          <w:p w14:paraId="5EC1450E"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НДФЛ</w:t>
            </w:r>
          </w:p>
        </w:tc>
        <w:tc>
          <w:tcPr>
            <w:tcW w:w="1956" w:type="pct"/>
          </w:tcPr>
          <w:p w14:paraId="37831C47" w14:textId="77777777" w:rsidR="004275CE" w:rsidRPr="00023A6B" w:rsidRDefault="004275CE" w:rsidP="00005928">
            <w:pPr>
              <w:pStyle w:val="Default"/>
              <w:jc w:val="center"/>
              <w:rPr>
                <w:rFonts w:ascii="Times New Roman" w:hAnsi="Times New Roman" w:cs="Times New Roman"/>
              </w:rPr>
            </w:pPr>
            <w:r w:rsidRPr="00023A6B">
              <w:rPr>
                <w:rFonts w:ascii="Times New Roman" w:hAnsi="Times New Roman" w:cs="Times New Roman"/>
              </w:rPr>
              <w:t>166,4</w:t>
            </w:r>
          </w:p>
        </w:tc>
      </w:tr>
      <w:tr w:rsidR="004275CE" w:rsidRPr="00023A6B" w14:paraId="3F30491C" w14:textId="77777777" w:rsidTr="004275CE">
        <w:tc>
          <w:tcPr>
            <w:tcW w:w="3044" w:type="pct"/>
          </w:tcPr>
          <w:p w14:paraId="33D0096C"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Доходы, связанные с импортом</w:t>
            </w:r>
          </w:p>
        </w:tc>
        <w:tc>
          <w:tcPr>
            <w:tcW w:w="1956" w:type="pct"/>
          </w:tcPr>
          <w:p w14:paraId="4F064921" w14:textId="77777777" w:rsidR="004275CE" w:rsidRPr="00023A6B" w:rsidRDefault="004275CE" w:rsidP="00005928">
            <w:pPr>
              <w:pStyle w:val="Default"/>
              <w:jc w:val="center"/>
              <w:rPr>
                <w:rFonts w:ascii="Times New Roman" w:hAnsi="Times New Roman" w:cs="Times New Roman"/>
              </w:rPr>
            </w:pPr>
            <w:r w:rsidRPr="00023A6B">
              <w:rPr>
                <w:rFonts w:ascii="Times New Roman" w:hAnsi="Times New Roman" w:cs="Times New Roman"/>
              </w:rPr>
              <w:t>121,4</w:t>
            </w:r>
          </w:p>
        </w:tc>
      </w:tr>
      <w:tr w:rsidR="004275CE" w:rsidRPr="00023A6B" w14:paraId="0C4C2ADC" w14:textId="77777777" w:rsidTr="004275CE">
        <w:tc>
          <w:tcPr>
            <w:tcW w:w="3044" w:type="pct"/>
          </w:tcPr>
          <w:p w14:paraId="3A719402"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НДС</w:t>
            </w:r>
          </w:p>
        </w:tc>
        <w:tc>
          <w:tcPr>
            <w:tcW w:w="1956" w:type="pct"/>
          </w:tcPr>
          <w:p w14:paraId="3247EC97" w14:textId="77777777" w:rsidR="004275CE" w:rsidRPr="00023A6B" w:rsidRDefault="004275CE" w:rsidP="00005928">
            <w:pPr>
              <w:pStyle w:val="Default"/>
              <w:jc w:val="center"/>
              <w:rPr>
                <w:rFonts w:ascii="Times New Roman" w:hAnsi="Times New Roman" w:cs="Times New Roman"/>
              </w:rPr>
            </w:pPr>
            <w:r w:rsidRPr="00023A6B">
              <w:rPr>
                <w:rFonts w:ascii="Times New Roman" w:hAnsi="Times New Roman" w:cs="Times New Roman"/>
              </w:rPr>
              <w:t>119,7</w:t>
            </w:r>
          </w:p>
        </w:tc>
      </w:tr>
      <w:tr w:rsidR="004275CE" w:rsidRPr="00023A6B" w14:paraId="0201DD0B" w14:textId="77777777" w:rsidTr="004275CE">
        <w:tc>
          <w:tcPr>
            <w:tcW w:w="3044" w:type="pct"/>
          </w:tcPr>
          <w:p w14:paraId="6114F0C5"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Налог на прибыль</w:t>
            </w:r>
          </w:p>
        </w:tc>
        <w:tc>
          <w:tcPr>
            <w:tcW w:w="1956" w:type="pct"/>
          </w:tcPr>
          <w:p w14:paraId="7B658DE7" w14:textId="77777777" w:rsidR="004275CE" w:rsidRPr="00023A6B" w:rsidRDefault="004275CE" w:rsidP="00005928">
            <w:pPr>
              <w:pStyle w:val="Default"/>
              <w:jc w:val="center"/>
              <w:rPr>
                <w:rFonts w:ascii="Times New Roman" w:hAnsi="Times New Roman" w:cs="Times New Roman"/>
              </w:rPr>
            </w:pPr>
            <w:r w:rsidRPr="00023A6B">
              <w:rPr>
                <w:rFonts w:ascii="Times New Roman" w:hAnsi="Times New Roman" w:cs="Times New Roman"/>
              </w:rPr>
              <w:t>115,8</w:t>
            </w:r>
          </w:p>
        </w:tc>
      </w:tr>
    </w:tbl>
    <w:p w14:paraId="67F9C451" w14:textId="7DCD33EA" w:rsidR="004275CE" w:rsidRPr="004275CE" w:rsidRDefault="004275CE" w:rsidP="004275CE">
      <w:pPr>
        <w:pStyle w:val="11"/>
        <w:rPr>
          <w:rFonts w:cs="Times New Roman"/>
          <w:sz w:val="20"/>
          <w:szCs w:val="20"/>
        </w:rPr>
      </w:pPr>
      <w:r w:rsidRPr="004275CE">
        <w:rPr>
          <w:rFonts w:cs="Times New Roman"/>
          <w:i/>
          <w:sz w:val="20"/>
          <w:szCs w:val="20"/>
        </w:rPr>
        <w:t>Источник</w:t>
      </w:r>
      <w:r w:rsidRPr="004275CE">
        <w:rPr>
          <w:rFonts w:cs="Times New Roman"/>
          <w:sz w:val="20"/>
          <w:szCs w:val="20"/>
        </w:rPr>
        <w:t>: составлено по данным табл. 2.2</w:t>
      </w:r>
      <w:r w:rsidRPr="004275CE">
        <w:rPr>
          <w:rFonts w:cs="Times New Roman"/>
          <w:sz w:val="20"/>
          <w:szCs w:val="20"/>
        </w:rPr>
        <w:noBreakHyphen/>
        <w:t>2.3 Пояснительной записки.</w:t>
      </w:r>
    </w:p>
    <w:p w14:paraId="73ED5201" w14:textId="77777777" w:rsidR="004275CE" w:rsidRPr="007B14DF" w:rsidRDefault="004275CE" w:rsidP="004275CE">
      <w:pPr>
        <w:pStyle w:val="11"/>
        <w:rPr>
          <w:rFonts w:cs="Times New Roman"/>
          <w:sz w:val="16"/>
          <w:szCs w:val="16"/>
        </w:rPr>
      </w:pPr>
    </w:p>
    <w:p w14:paraId="1094AEEF" w14:textId="77777777" w:rsidR="0085442D" w:rsidRDefault="0085442D" w:rsidP="0085442D">
      <w:pPr>
        <w:spacing w:line="360" w:lineRule="auto"/>
        <w:ind w:firstLine="709"/>
        <w:jc w:val="both"/>
        <w:rPr>
          <w:sz w:val="28"/>
          <w:szCs w:val="28"/>
        </w:rPr>
      </w:pPr>
      <w:r>
        <w:rPr>
          <w:sz w:val="28"/>
          <w:szCs w:val="28"/>
        </w:rPr>
        <w:t>Основным фактором роста поступлений НДФЛ разработчики документа считают рост доходов тех категорий населения, которые подпадают под налоговую ставку 15%, а также введение отложенного налога на проценты по банковским вкладам (с поступлениями в 2024 году).</w:t>
      </w:r>
    </w:p>
    <w:p w14:paraId="726FF6DB" w14:textId="1853CABE" w:rsidR="004275CE" w:rsidRDefault="004275CE" w:rsidP="004275CE">
      <w:pPr>
        <w:pStyle w:val="Style1"/>
        <w:spacing w:line="360" w:lineRule="auto"/>
      </w:pPr>
      <w:r>
        <w:t>Хотя доля НДФЛ в доходах федерального бюджета мала (0,5% в 2022</w:t>
      </w:r>
      <w:r w:rsidR="000415A6">
        <w:t xml:space="preserve"> году</w:t>
      </w:r>
      <w:r>
        <w:t xml:space="preserve"> и 1,0% </w:t>
      </w:r>
      <w:r>
        <w:noBreakHyphen/>
        <w:t xml:space="preserve"> в 2025 г</w:t>
      </w:r>
      <w:r w:rsidR="000415A6">
        <w:t>оду</w:t>
      </w:r>
      <w:r>
        <w:t>)</w:t>
      </w:r>
      <w:r>
        <w:rPr>
          <w:rStyle w:val="aa"/>
        </w:rPr>
        <w:footnoteReference w:id="8"/>
      </w:r>
      <w:r>
        <w:t>, для россиян, думается, заложенный в проект бюджет рост (среднегодовая величина НДФЛ в 2023</w:t>
      </w:r>
      <w:r>
        <w:noBreakHyphen/>
        <w:t>2025 г</w:t>
      </w:r>
      <w:r w:rsidR="000F5DFF">
        <w:t>одах</w:t>
      </w:r>
      <w:r>
        <w:t xml:space="preserve"> вырастет по сравнению с 2022 г</w:t>
      </w:r>
      <w:r w:rsidR="000F5DFF">
        <w:t>одом</w:t>
      </w:r>
      <w:r>
        <w:t xml:space="preserve"> на 66,4%) будет чувствительным. </w:t>
      </w:r>
      <w:proofErr w:type="gramStart"/>
      <w:r>
        <w:t>Рост налоговой нагрузки ощутят и занятые в сфере импорта товаров и услуг в Российскую Федерацию, а вот для прибыльных организаций он пройдёт, возможно, незаметно (табл</w:t>
      </w:r>
      <w:r w:rsidR="000415A6">
        <w:t xml:space="preserve">ица </w:t>
      </w:r>
      <w:r w:rsidR="00901ACF">
        <w:t>6</w:t>
      </w:r>
      <w:r>
        <w:t xml:space="preserve">). </w:t>
      </w:r>
      <w:proofErr w:type="gramEnd"/>
    </w:p>
    <w:p w14:paraId="4C5E318F" w14:textId="77777777" w:rsidR="004275CE" w:rsidRDefault="004275CE" w:rsidP="004275CE">
      <w:pPr>
        <w:pStyle w:val="Default"/>
        <w:rPr>
          <w:rFonts w:ascii="Times New Roman" w:hAnsi="Times New Roman" w:cs="Times New Roman"/>
          <w:sz w:val="16"/>
          <w:szCs w:val="16"/>
        </w:rPr>
      </w:pPr>
    </w:p>
    <w:p w14:paraId="54A01A7B" w14:textId="4393BEA2" w:rsidR="004275CE" w:rsidRDefault="004275CE" w:rsidP="000415A6">
      <w:pPr>
        <w:pStyle w:val="Default"/>
        <w:rPr>
          <w:rFonts w:ascii="Times New Roman" w:hAnsi="Times New Roman" w:cs="Times New Roman"/>
          <w:bCs/>
          <w:sz w:val="28"/>
          <w:szCs w:val="28"/>
        </w:rPr>
      </w:pPr>
      <w:r w:rsidRPr="000415A6">
        <w:rPr>
          <w:rFonts w:ascii="Times New Roman" w:hAnsi="Times New Roman" w:cs="Times New Roman"/>
          <w:bCs/>
          <w:sz w:val="28"/>
          <w:szCs w:val="28"/>
        </w:rPr>
        <w:t xml:space="preserve">Таблица </w:t>
      </w:r>
      <w:r w:rsidR="00901ACF">
        <w:rPr>
          <w:rFonts w:ascii="Times New Roman" w:hAnsi="Times New Roman" w:cs="Times New Roman"/>
          <w:bCs/>
          <w:sz w:val="28"/>
          <w:szCs w:val="28"/>
        </w:rPr>
        <w:t>6</w:t>
      </w:r>
      <w:r w:rsidR="000415A6">
        <w:rPr>
          <w:rFonts w:ascii="Times New Roman" w:hAnsi="Times New Roman" w:cs="Times New Roman"/>
          <w:bCs/>
          <w:sz w:val="28"/>
          <w:szCs w:val="28"/>
        </w:rPr>
        <w:t xml:space="preserve"> - </w:t>
      </w:r>
      <w:r w:rsidRPr="000415A6">
        <w:rPr>
          <w:rFonts w:ascii="Times New Roman" w:hAnsi="Times New Roman" w:cs="Times New Roman"/>
          <w:bCs/>
          <w:sz w:val="28"/>
          <w:szCs w:val="28"/>
        </w:rPr>
        <w:t>Оценка налоговой нагрузки на прибыль и на импорт, %</w:t>
      </w:r>
    </w:p>
    <w:p w14:paraId="7026AE15" w14:textId="77777777" w:rsidR="000415A6" w:rsidRPr="000415A6" w:rsidRDefault="000415A6" w:rsidP="000415A6">
      <w:pPr>
        <w:pStyle w:val="Default"/>
        <w:rPr>
          <w:rFonts w:ascii="Times New Roman" w:hAnsi="Times New Roman" w:cs="Times New Roman"/>
          <w:bCs/>
          <w:sz w:val="28"/>
          <w:szCs w:val="28"/>
        </w:rPr>
      </w:pPr>
    </w:p>
    <w:tbl>
      <w:tblPr>
        <w:tblStyle w:val="ae"/>
        <w:tblW w:w="0" w:type="auto"/>
        <w:tblLook w:val="04A0" w:firstRow="1" w:lastRow="0" w:firstColumn="1" w:lastColumn="0" w:noHBand="0" w:noVBand="1"/>
      </w:tblPr>
      <w:tblGrid>
        <w:gridCol w:w="6787"/>
        <w:gridCol w:w="696"/>
        <w:gridCol w:w="696"/>
        <w:gridCol w:w="696"/>
        <w:gridCol w:w="696"/>
      </w:tblGrid>
      <w:tr w:rsidR="004275CE" w:rsidRPr="00023A6B" w14:paraId="4F743BB6" w14:textId="77777777" w:rsidTr="00005928">
        <w:tc>
          <w:tcPr>
            <w:tcW w:w="0" w:type="auto"/>
          </w:tcPr>
          <w:p w14:paraId="1D24D13A" w14:textId="77777777" w:rsidR="004275CE" w:rsidRPr="00023A6B" w:rsidRDefault="004275CE" w:rsidP="00005928">
            <w:pPr>
              <w:pStyle w:val="Default"/>
              <w:jc w:val="center"/>
              <w:rPr>
                <w:rFonts w:ascii="Times New Roman" w:hAnsi="Times New Roman" w:cs="Times New Roman"/>
                <w:b/>
              </w:rPr>
            </w:pPr>
            <w:r w:rsidRPr="00023A6B">
              <w:rPr>
                <w:rFonts w:ascii="Times New Roman" w:hAnsi="Times New Roman" w:cs="Times New Roman"/>
                <w:b/>
              </w:rPr>
              <w:t>Показатель</w:t>
            </w:r>
          </w:p>
        </w:tc>
        <w:tc>
          <w:tcPr>
            <w:tcW w:w="0" w:type="auto"/>
          </w:tcPr>
          <w:p w14:paraId="287B712B" w14:textId="77777777" w:rsidR="004275CE" w:rsidRPr="00023A6B" w:rsidRDefault="004275CE" w:rsidP="00005928">
            <w:pPr>
              <w:pStyle w:val="Default"/>
              <w:jc w:val="center"/>
              <w:rPr>
                <w:rFonts w:ascii="Times New Roman" w:hAnsi="Times New Roman" w:cs="Times New Roman"/>
                <w:b/>
              </w:rPr>
            </w:pPr>
            <w:r w:rsidRPr="00023A6B">
              <w:rPr>
                <w:rFonts w:ascii="Times New Roman" w:hAnsi="Times New Roman" w:cs="Times New Roman"/>
                <w:b/>
              </w:rPr>
              <w:t>2022</w:t>
            </w:r>
          </w:p>
        </w:tc>
        <w:tc>
          <w:tcPr>
            <w:tcW w:w="0" w:type="auto"/>
          </w:tcPr>
          <w:p w14:paraId="22B142F5" w14:textId="77777777" w:rsidR="004275CE" w:rsidRPr="00023A6B" w:rsidRDefault="004275CE" w:rsidP="00005928">
            <w:pPr>
              <w:pStyle w:val="Default"/>
              <w:jc w:val="center"/>
              <w:rPr>
                <w:rFonts w:ascii="Times New Roman" w:hAnsi="Times New Roman" w:cs="Times New Roman"/>
                <w:b/>
              </w:rPr>
            </w:pPr>
            <w:r w:rsidRPr="00023A6B">
              <w:rPr>
                <w:rFonts w:ascii="Times New Roman" w:hAnsi="Times New Roman" w:cs="Times New Roman"/>
                <w:b/>
              </w:rPr>
              <w:t>2023</w:t>
            </w:r>
          </w:p>
        </w:tc>
        <w:tc>
          <w:tcPr>
            <w:tcW w:w="0" w:type="auto"/>
          </w:tcPr>
          <w:p w14:paraId="05627DA9" w14:textId="77777777" w:rsidR="004275CE" w:rsidRPr="00023A6B" w:rsidRDefault="004275CE" w:rsidP="00005928">
            <w:pPr>
              <w:pStyle w:val="Default"/>
              <w:jc w:val="center"/>
              <w:rPr>
                <w:rFonts w:ascii="Times New Roman" w:hAnsi="Times New Roman" w:cs="Times New Roman"/>
                <w:b/>
              </w:rPr>
            </w:pPr>
            <w:r w:rsidRPr="00023A6B">
              <w:rPr>
                <w:rFonts w:ascii="Times New Roman" w:hAnsi="Times New Roman" w:cs="Times New Roman"/>
                <w:b/>
              </w:rPr>
              <w:t>2024</w:t>
            </w:r>
          </w:p>
        </w:tc>
        <w:tc>
          <w:tcPr>
            <w:tcW w:w="0" w:type="auto"/>
          </w:tcPr>
          <w:p w14:paraId="2E7B68E7" w14:textId="77777777" w:rsidR="004275CE" w:rsidRPr="00023A6B" w:rsidRDefault="004275CE" w:rsidP="00005928">
            <w:pPr>
              <w:pStyle w:val="Default"/>
              <w:jc w:val="center"/>
              <w:rPr>
                <w:rFonts w:ascii="Times New Roman" w:hAnsi="Times New Roman" w:cs="Times New Roman"/>
                <w:b/>
              </w:rPr>
            </w:pPr>
            <w:r w:rsidRPr="00023A6B">
              <w:rPr>
                <w:rFonts w:ascii="Times New Roman" w:hAnsi="Times New Roman" w:cs="Times New Roman"/>
                <w:b/>
              </w:rPr>
              <w:t>2025</w:t>
            </w:r>
          </w:p>
        </w:tc>
      </w:tr>
      <w:tr w:rsidR="004275CE" w:rsidRPr="00023A6B" w14:paraId="236459DA" w14:textId="77777777" w:rsidTr="00005928">
        <w:tc>
          <w:tcPr>
            <w:tcW w:w="0" w:type="auto"/>
          </w:tcPr>
          <w:p w14:paraId="39238E22"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Доля налогов на прибыль в прибыли прибыльных организаций</w:t>
            </w:r>
          </w:p>
        </w:tc>
        <w:tc>
          <w:tcPr>
            <w:tcW w:w="0" w:type="auto"/>
          </w:tcPr>
          <w:p w14:paraId="2410801A"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2,9</w:t>
            </w:r>
          </w:p>
        </w:tc>
        <w:tc>
          <w:tcPr>
            <w:tcW w:w="0" w:type="auto"/>
          </w:tcPr>
          <w:p w14:paraId="280F1F71"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2,9</w:t>
            </w:r>
          </w:p>
        </w:tc>
        <w:tc>
          <w:tcPr>
            <w:tcW w:w="0" w:type="auto"/>
          </w:tcPr>
          <w:p w14:paraId="6735FC27"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3,0</w:t>
            </w:r>
          </w:p>
        </w:tc>
        <w:tc>
          <w:tcPr>
            <w:tcW w:w="0" w:type="auto"/>
          </w:tcPr>
          <w:p w14:paraId="1D1756A9"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3,0</w:t>
            </w:r>
          </w:p>
        </w:tc>
      </w:tr>
      <w:tr w:rsidR="004275CE" w:rsidRPr="00023A6B" w14:paraId="34D9596C" w14:textId="77777777" w:rsidTr="00005928">
        <w:tc>
          <w:tcPr>
            <w:tcW w:w="0" w:type="auto"/>
          </w:tcPr>
          <w:p w14:paraId="5BD7CC79"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Доля связанных с импортом доходов в объёме импорта (по кругу товаров, учитываемых ФТС России)</w:t>
            </w:r>
          </w:p>
        </w:tc>
        <w:tc>
          <w:tcPr>
            <w:tcW w:w="0" w:type="auto"/>
          </w:tcPr>
          <w:p w14:paraId="00CC145B"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17,9</w:t>
            </w:r>
          </w:p>
        </w:tc>
        <w:tc>
          <w:tcPr>
            <w:tcW w:w="0" w:type="auto"/>
          </w:tcPr>
          <w:p w14:paraId="303584BB"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24,5</w:t>
            </w:r>
          </w:p>
        </w:tc>
        <w:tc>
          <w:tcPr>
            <w:tcW w:w="0" w:type="auto"/>
          </w:tcPr>
          <w:p w14:paraId="1031D114"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24,1</w:t>
            </w:r>
          </w:p>
        </w:tc>
        <w:tc>
          <w:tcPr>
            <w:tcW w:w="0" w:type="auto"/>
          </w:tcPr>
          <w:p w14:paraId="622EB4C2" w14:textId="77777777" w:rsidR="004275CE" w:rsidRPr="00023A6B" w:rsidRDefault="004275CE" w:rsidP="00005928">
            <w:pPr>
              <w:pStyle w:val="Default"/>
              <w:rPr>
                <w:rFonts w:ascii="Times New Roman" w:hAnsi="Times New Roman" w:cs="Times New Roman"/>
              </w:rPr>
            </w:pPr>
            <w:r w:rsidRPr="00023A6B">
              <w:rPr>
                <w:rFonts w:ascii="Times New Roman" w:hAnsi="Times New Roman" w:cs="Times New Roman"/>
              </w:rPr>
              <w:t>23,3</w:t>
            </w:r>
          </w:p>
        </w:tc>
      </w:tr>
    </w:tbl>
    <w:p w14:paraId="2949E612" w14:textId="47F5A845" w:rsidR="000F5DFF" w:rsidRPr="000F5DFF" w:rsidRDefault="000F5DFF" w:rsidP="000415A6">
      <w:pPr>
        <w:pStyle w:val="11"/>
        <w:spacing w:line="240" w:lineRule="auto"/>
        <w:rPr>
          <w:rFonts w:cs="Times New Roman"/>
          <w:sz w:val="20"/>
          <w:szCs w:val="20"/>
        </w:rPr>
      </w:pPr>
      <w:r w:rsidRPr="000F5DFF">
        <w:rPr>
          <w:rFonts w:cs="Times New Roman"/>
          <w:i/>
          <w:sz w:val="20"/>
          <w:szCs w:val="20"/>
        </w:rPr>
        <w:t>Источник</w:t>
      </w:r>
      <w:r w:rsidRPr="000F5DFF">
        <w:rPr>
          <w:rFonts w:cs="Times New Roman"/>
          <w:sz w:val="20"/>
          <w:szCs w:val="20"/>
        </w:rPr>
        <w:t>: составлено по данным табл. 1 и таблицы «Сравнительная таблица вариантов прогноза» Прогноза социально-экономического развития российской федерации на 2023 год и на плановый период 2024 и 2025 годов; табл. 2.2</w:t>
      </w:r>
      <w:r w:rsidRPr="000F5DFF">
        <w:rPr>
          <w:rFonts w:cs="Times New Roman"/>
          <w:sz w:val="20"/>
          <w:szCs w:val="20"/>
        </w:rPr>
        <w:noBreakHyphen/>
        <w:t>2.3 Пояснительной записки</w:t>
      </w:r>
      <w:r>
        <w:rPr>
          <w:rFonts w:cs="Times New Roman"/>
          <w:sz w:val="20"/>
          <w:szCs w:val="20"/>
        </w:rPr>
        <w:t>.</w:t>
      </w:r>
    </w:p>
    <w:p w14:paraId="27EB3ABD" w14:textId="70ADFF83" w:rsidR="000F5DFF" w:rsidRDefault="000F5DFF" w:rsidP="004275CE">
      <w:pPr>
        <w:pStyle w:val="11"/>
        <w:rPr>
          <w:rFonts w:cs="Times New Roman"/>
          <w:i/>
          <w:sz w:val="20"/>
          <w:szCs w:val="20"/>
        </w:rPr>
      </w:pPr>
      <w:r>
        <w:rPr>
          <w:rFonts w:cs="Times New Roman"/>
          <w:i/>
          <w:sz w:val="20"/>
          <w:szCs w:val="20"/>
        </w:rPr>
        <w:t>_______________</w:t>
      </w:r>
    </w:p>
    <w:p w14:paraId="7967D88C" w14:textId="77777777" w:rsidR="000F5DFF" w:rsidRPr="000F5DFF" w:rsidRDefault="000F5DFF" w:rsidP="000415A6">
      <w:pPr>
        <w:pStyle w:val="Default"/>
        <w:jc w:val="both"/>
        <w:rPr>
          <w:rFonts w:ascii="Times New Roman" w:hAnsi="Times New Roman" w:cs="Times New Roman"/>
          <w:sz w:val="20"/>
          <w:szCs w:val="20"/>
        </w:rPr>
      </w:pPr>
      <w:r w:rsidRPr="000F5DFF">
        <w:rPr>
          <w:rFonts w:ascii="Times New Roman" w:hAnsi="Times New Roman" w:cs="Times New Roman"/>
          <w:i/>
          <w:sz w:val="20"/>
          <w:szCs w:val="20"/>
        </w:rPr>
        <w:t>Примечание</w:t>
      </w:r>
      <w:r w:rsidRPr="000F5DFF">
        <w:rPr>
          <w:rFonts w:ascii="Times New Roman" w:hAnsi="Times New Roman" w:cs="Times New Roman"/>
          <w:sz w:val="20"/>
          <w:szCs w:val="20"/>
        </w:rPr>
        <w:t>: Импорт переведён из долларов США в рубли по курсу доллара, представленного в табл. 1 Прогноза социально-экономического развития российской федерации на 2023 год и на плановый период 2024 и 2025 годов.</w:t>
      </w:r>
    </w:p>
    <w:p w14:paraId="2BC95AC4" w14:textId="77777777" w:rsidR="004275CE" w:rsidRPr="007B14DF" w:rsidRDefault="004275CE" w:rsidP="004275CE">
      <w:pPr>
        <w:pStyle w:val="11"/>
        <w:rPr>
          <w:rFonts w:cs="Times New Roman"/>
          <w:sz w:val="16"/>
          <w:szCs w:val="16"/>
        </w:rPr>
      </w:pPr>
    </w:p>
    <w:p w14:paraId="66ABD742" w14:textId="241F2B13" w:rsidR="004275CE" w:rsidRDefault="004275CE" w:rsidP="004275CE">
      <w:pPr>
        <w:pStyle w:val="Default"/>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Заложенное в Проект федерального бюджета повышение налога на доходы физических лиц в </w:t>
      </w:r>
      <w:r w:rsidRPr="000F500E">
        <w:rPr>
          <w:rFonts w:ascii="Times New Roman" w:hAnsi="Times New Roman" w:cs="Times New Roman"/>
          <w:sz w:val="28"/>
          <w:szCs w:val="28"/>
        </w:rPr>
        <w:t>20</w:t>
      </w:r>
      <w:r>
        <w:rPr>
          <w:rFonts w:ascii="Times New Roman" w:hAnsi="Times New Roman" w:cs="Times New Roman"/>
          <w:sz w:val="28"/>
          <w:szCs w:val="28"/>
        </w:rPr>
        <w:t>23</w:t>
      </w:r>
      <w:r>
        <w:rPr>
          <w:rFonts w:ascii="Times New Roman" w:hAnsi="Times New Roman" w:cs="Times New Roman"/>
          <w:sz w:val="28"/>
          <w:szCs w:val="28"/>
        </w:rPr>
        <w:noBreakHyphen/>
        <w:t>2025 г</w:t>
      </w:r>
      <w:r w:rsidR="000415A6">
        <w:rPr>
          <w:rFonts w:ascii="Times New Roman" w:hAnsi="Times New Roman" w:cs="Times New Roman"/>
          <w:sz w:val="28"/>
          <w:szCs w:val="28"/>
        </w:rPr>
        <w:t>одах</w:t>
      </w:r>
      <w:r>
        <w:rPr>
          <w:rFonts w:ascii="Times New Roman" w:hAnsi="Times New Roman" w:cs="Times New Roman"/>
          <w:sz w:val="28"/>
          <w:szCs w:val="28"/>
        </w:rPr>
        <w:t xml:space="preserve"> в 200,4% по сравнению </w:t>
      </w:r>
      <w:r w:rsidR="00CE1136">
        <w:rPr>
          <w:rFonts w:ascii="Times New Roman" w:hAnsi="Times New Roman" w:cs="Times New Roman"/>
          <w:sz w:val="28"/>
          <w:szCs w:val="28"/>
        </w:rPr>
        <w:t>с</w:t>
      </w:r>
      <w:r>
        <w:rPr>
          <w:rFonts w:ascii="Times New Roman" w:hAnsi="Times New Roman" w:cs="Times New Roman"/>
          <w:sz w:val="28"/>
          <w:szCs w:val="28"/>
        </w:rPr>
        <w:t xml:space="preserve"> 2022 г</w:t>
      </w:r>
      <w:r w:rsidR="000415A6">
        <w:rPr>
          <w:rFonts w:ascii="Times New Roman" w:hAnsi="Times New Roman" w:cs="Times New Roman"/>
          <w:sz w:val="28"/>
          <w:szCs w:val="28"/>
        </w:rPr>
        <w:t>одом</w:t>
      </w:r>
      <w:r w:rsidRPr="000F500E">
        <w:rPr>
          <w:rFonts w:ascii="Times New Roman" w:hAnsi="Times New Roman" w:cs="Times New Roman"/>
          <w:sz w:val="28"/>
          <w:szCs w:val="28"/>
        </w:rPr>
        <w:t xml:space="preserve"> </w:t>
      </w:r>
      <w:r>
        <w:rPr>
          <w:rFonts w:ascii="Times New Roman" w:hAnsi="Times New Roman" w:cs="Times New Roman"/>
          <w:sz w:val="28"/>
          <w:szCs w:val="28"/>
        </w:rPr>
        <w:t>при росте инфляции (индекса потребительских цен в расчёте декабрь к декабрю) в 128,3%</w:t>
      </w:r>
      <w:r w:rsidRPr="00023A6B">
        <w:rPr>
          <w:rStyle w:val="aa"/>
          <w:rFonts w:ascii="Times New Roman" w:hAnsi="Times New Roman" w:cs="Times New Roman"/>
          <w:szCs w:val="28"/>
        </w:rPr>
        <w:footnoteReference w:id="9"/>
      </w:r>
      <w:r>
        <w:rPr>
          <w:rFonts w:ascii="Times New Roman" w:hAnsi="Times New Roman" w:cs="Times New Roman"/>
          <w:sz w:val="28"/>
          <w:szCs w:val="28"/>
        </w:rPr>
        <w:t xml:space="preserve"> в условиях непростой геополитической обстановки в мире и ситуации внутри страны повысит уровень недовольства населения и степень имущественного расслоения общества. </w:t>
      </w:r>
      <w:proofErr w:type="gramEnd"/>
    </w:p>
    <w:p w14:paraId="078B9689" w14:textId="5A0DEBCD" w:rsidR="0085442D" w:rsidRDefault="0085442D" w:rsidP="0085442D">
      <w:pPr>
        <w:spacing w:line="360" w:lineRule="auto"/>
        <w:ind w:firstLine="709"/>
        <w:jc w:val="both"/>
        <w:rPr>
          <w:sz w:val="28"/>
          <w:szCs w:val="28"/>
        </w:rPr>
      </w:pPr>
      <w:r>
        <w:rPr>
          <w:sz w:val="28"/>
          <w:szCs w:val="28"/>
        </w:rPr>
        <w:t xml:space="preserve">Прирост поступлений налога на прибыль в 2023 году в значительной мере обеспечивает введение повышенной ставки налога на прибыль для некоторых организаций - производителей сжиженного газа. И если в первом году планового трехлетнего периода динамика прибыли хозяйствующих субъектов будет негативной, то в последующие два года – повышательной, что обеспечивает некоторое увеличение общей суммы </w:t>
      </w:r>
      <w:proofErr w:type="spellStart"/>
      <w:r>
        <w:rPr>
          <w:sz w:val="28"/>
          <w:szCs w:val="28"/>
        </w:rPr>
        <w:t>ненефтегазовых</w:t>
      </w:r>
      <w:proofErr w:type="spellEnd"/>
      <w:r>
        <w:rPr>
          <w:sz w:val="28"/>
          <w:szCs w:val="28"/>
        </w:rPr>
        <w:t xml:space="preserve"> доходов.</w:t>
      </w:r>
    </w:p>
    <w:p w14:paraId="696DF8CF" w14:textId="62325250" w:rsidR="004275CE" w:rsidRDefault="004275CE" w:rsidP="004275CE">
      <w:pPr>
        <w:pStyle w:val="Default"/>
        <w:spacing w:line="360" w:lineRule="auto"/>
        <w:ind w:firstLine="709"/>
        <w:jc w:val="both"/>
        <w:rPr>
          <w:rStyle w:val="12"/>
          <w:rFonts w:cs="Times New Roman"/>
          <w:szCs w:val="28"/>
        </w:rPr>
      </w:pPr>
      <w:r>
        <w:rPr>
          <w:rFonts w:ascii="Times New Roman" w:hAnsi="Times New Roman" w:cs="Times New Roman"/>
          <w:sz w:val="28"/>
          <w:szCs w:val="28"/>
        </w:rPr>
        <w:t>Неясно, удастся ли повысить поступления в бюджет доходов от импорта при сокращении его объёмов из-за</w:t>
      </w:r>
      <w:r w:rsidRPr="00E84684">
        <w:rPr>
          <w:rStyle w:val="12"/>
          <w:rFonts w:cs="Times New Roman"/>
          <w:szCs w:val="28"/>
        </w:rPr>
        <w:t xml:space="preserve"> </w:t>
      </w:r>
      <w:r>
        <w:rPr>
          <w:rStyle w:val="12"/>
          <w:rFonts w:cs="Times New Roman"/>
          <w:szCs w:val="28"/>
        </w:rPr>
        <w:t xml:space="preserve">антироссийских санкций и </w:t>
      </w:r>
      <w:proofErr w:type="spellStart"/>
      <w:r>
        <w:rPr>
          <w:rStyle w:val="12"/>
          <w:rFonts w:cs="Times New Roman"/>
          <w:szCs w:val="28"/>
        </w:rPr>
        <w:t>контрсанкций</w:t>
      </w:r>
      <w:proofErr w:type="spellEnd"/>
      <w:r>
        <w:rPr>
          <w:rStyle w:val="12"/>
          <w:rFonts w:cs="Times New Roman"/>
          <w:szCs w:val="28"/>
        </w:rPr>
        <w:t xml:space="preserve"> со стороны РФ, а также в результате «</w:t>
      </w:r>
      <w:r w:rsidRPr="00E84684">
        <w:rPr>
          <w:rStyle w:val="12"/>
          <w:rFonts w:cs="Times New Roman"/>
          <w:szCs w:val="28"/>
        </w:rPr>
        <w:t>добровольного отказа</w:t>
      </w:r>
      <w:r>
        <w:rPr>
          <w:rStyle w:val="12"/>
          <w:rFonts w:cs="Times New Roman"/>
          <w:szCs w:val="28"/>
        </w:rPr>
        <w:t>»</w:t>
      </w:r>
      <w:r w:rsidRPr="00E84684">
        <w:rPr>
          <w:rStyle w:val="12"/>
          <w:rFonts w:cs="Times New Roman"/>
          <w:szCs w:val="28"/>
        </w:rPr>
        <w:t xml:space="preserve"> иностранных партнеров от сотрудничества с Россией</w:t>
      </w:r>
      <w:r>
        <w:rPr>
          <w:rStyle w:val="12"/>
          <w:rFonts w:cs="Times New Roman"/>
          <w:szCs w:val="28"/>
        </w:rPr>
        <w:t xml:space="preserve">. Так, по </w:t>
      </w:r>
      <w:r w:rsidRPr="003B2FD5">
        <w:rPr>
          <w:rStyle w:val="12"/>
          <w:rFonts w:cs="Times New Roman"/>
          <w:szCs w:val="28"/>
        </w:rPr>
        <w:t>информации Министерства экономического развития РФ, в 2022 г</w:t>
      </w:r>
      <w:r w:rsidR="000919DD">
        <w:rPr>
          <w:rStyle w:val="12"/>
          <w:rFonts w:cs="Times New Roman"/>
          <w:szCs w:val="28"/>
        </w:rPr>
        <w:t>оду</w:t>
      </w:r>
      <w:r w:rsidRPr="003B2FD5">
        <w:rPr>
          <w:rStyle w:val="12"/>
          <w:rFonts w:cs="Times New Roman"/>
          <w:szCs w:val="28"/>
        </w:rPr>
        <w:t xml:space="preserve"> </w:t>
      </w:r>
      <w:r w:rsidRPr="003B2FD5">
        <w:rPr>
          <w:rFonts w:ascii="Times New Roman" w:hAnsi="Times New Roman" w:cs="Times New Roman"/>
          <w:sz w:val="28"/>
          <w:szCs w:val="28"/>
        </w:rPr>
        <w:t xml:space="preserve">импорт Россией товаров сократится на 26,5% в реальном выражении и на 17,1% </w:t>
      </w:r>
      <w:r w:rsidRPr="003B2FD5">
        <w:rPr>
          <w:rFonts w:ascii="Times New Roman" w:hAnsi="Times New Roman" w:cs="Times New Roman"/>
          <w:sz w:val="28"/>
          <w:szCs w:val="28"/>
        </w:rPr>
        <w:noBreakHyphen/>
        <w:t xml:space="preserve"> в номинальном. </w:t>
      </w:r>
      <w:proofErr w:type="gramStart"/>
      <w:r w:rsidRPr="003B2FD5">
        <w:rPr>
          <w:rFonts w:ascii="Times New Roman" w:hAnsi="Times New Roman" w:cs="Times New Roman"/>
          <w:sz w:val="28"/>
          <w:szCs w:val="28"/>
        </w:rPr>
        <w:t>К 2025 г</w:t>
      </w:r>
      <w:r w:rsidR="000919DD">
        <w:rPr>
          <w:rFonts w:ascii="Times New Roman" w:hAnsi="Times New Roman" w:cs="Times New Roman"/>
          <w:sz w:val="28"/>
          <w:szCs w:val="28"/>
        </w:rPr>
        <w:t>оду</w:t>
      </w:r>
      <w:r w:rsidRPr="003B2FD5">
        <w:rPr>
          <w:rFonts w:ascii="Times New Roman" w:hAnsi="Times New Roman" w:cs="Times New Roman"/>
          <w:sz w:val="28"/>
          <w:szCs w:val="28"/>
        </w:rPr>
        <w:t xml:space="preserve"> импорт товаров отыграет «примерно треть падения 2022 г</w:t>
      </w:r>
      <w:r w:rsidR="0085442D">
        <w:rPr>
          <w:rFonts w:ascii="Times New Roman" w:hAnsi="Times New Roman" w:cs="Times New Roman"/>
          <w:sz w:val="28"/>
          <w:szCs w:val="28"/>
        </w:rPr>
        <w:t>ода</w:t>
      </w:r>
      <w:r w:rsidRPr="003B2FD5">
        <w:rPr>
          <w:rFonts w:ascii="Times New Roman" w:hAnsi="Times New Roman" w:cs="Times New Roman"/>
          <w:sz w:val="28"/>
          <w:szCs w:val="28"/>
        </w:rPr>
        <w:t xml:space="preserve"> (2025 г</w:t>
      </w:r>
      <w:r w:rsidR="0085442D">
        <w:rPr>
          <w:rFonts w:ascii="Times New Roman" w:hAnsi="Times New Roman" w:cs="Times New Roman"/>
          <w:sz w:val="28"/>
          <w:szCs w:val="28"/>
        </w:rPr>
        <w:t>од</w:t>
      </w:r>
      <w:r w:rsidRPr="003B2FD5">
        <w:rPr>
          <w:rFonts w:ascii="Times New Roman" w:hAnsi="Times New Roman" w:cs="Times New Roman"/>
          <w:sz w:val="28"/>
          <w:szCs w:val="28"/>
        </w:rPr>
        <w:t> к 2021 г</w:t>
      </w:r>
      <w:r w:rsidR="0085442D">
        <w:rPr>
          <w:rFonts w:ascii="Times New Roman" w:hAnsi="Times New Roman" w:cs="Times New Roman"/>
          <w:sz w:val="28"/>
          <w:szCs w:val="28"/>
        </w:rPr>
        <w:t>оду</w:t>
      </w:r>
      <w:r w:rsidRPr="003B2FD5">
        <w:rPr>
          <w:rFonts w:ascii="Times New Roman" w:hAnsi="Times New Roman" w:cs="Times New Roman"/>
          <w:sz w:val="28"/>
          <w:szCs w:val="28"/>
        </w:rPr>
        <w:t>: -16,9% в реальном выражении)</w:t>
      </w:r>
      <w:r>
        <w:rPr>
          <w:rFonts w:ascii="Times New Roman" w:hAnsi="Times New Roman" w:cs="Times New Roman"/>
          <w:sz w:val="28"/>
          <w:szCs w:val="28"/>
        </w:rPr>
        <w:t>»</w:t>
      </w:r>
      <w:r w:rsidRPr="00023A6B">
        <w:rPr>
          <w:rStyle w:val="aa"/>
          <w:rFonts w:ascii="Times New Roman" w:hAnsi="Times New Roman" w:cs="Times New Roman"/>
          <w:szCs w:val="28"/>
        </w:rPr>
        <w:footnoteReference w:id="10"/>
      </w:r>
      <w:r>
        <w:rPr>
          <w:rFonts w:ascii="Times New Roman" w:hAnsi="Times New Roman" w:cs="Times New Roman"/>
          <w:sz w:val="28"/>
          <w:szCs w:val="28"/>
        </w:rPr>
        <w:t>.</w:t>
      </w:r>
      <w:r w:rsidRPr="003B2FD5">
        <w:rPr>
          <w:rFonts w:ascii="Times New Roman" w:hAnsi="Times New Roman" w:cs="Times New Roman"/>
          <w:sz w:val="28"/>
          <w:szCs w:val="28"/>
        </w:rPr>
        <w:t xml:space="preserve"> </w:t>
      </w:r>
      <w:r>
        <w:rPr>
          <w:rFonts w:ascii="Times New Roman" w:hAnsi="Times New Roman" w:cs="Times New Roman"/>
          <w:sz w:val="28"/>
          <w:szCs w:val="28"/>
        </w:rPr>
        <w:t xml:space="preserve">Расчёты же, </w:t>
      </w:r>
      <w:r>
        <w:rPr>
          <w:rStyle w:val="12"/>
          <w:rFonts w:cs="Times New Roman"/>
          <w:szCs w:val="28"/>
        </w:rPr>
        <w:t>выполненные по данным табл</w:t>
      </w:r>
      <w:r w:rsidR="000919DD">
        <w:rPr>
          <w:rStyle w:val="12"/>
          <w:rFonts w:cs="Times New Roman"/>
          <w:szCs w:val="28"/>
        </w:rPr>
        <w:t>ицы</w:t>
      </w:r>
      <w:r>
        <w:rPr>
          <w:rStyle w:val="12"/>
          <w:rFonts w:cs="Times New Roman"/>
          <w:szCs w:val="28"/>
        </w:rPr>
        <w:t xml:space="preserve"> 2.2 Пояснительной записки, показывают, что исчисленны</w:t>
      </w:r>
      <w:r w:rsidR="000919DD">
        <w:rPr>
          <w:rStyle w:val="12"/>
          <w:rFonts w:cs="Times New Roman"/>
          <w:szCs w:val="28"/>
        </w:rPr>
        <w:t>й</w:t>
      </w:r>
      <w:r>
        <w:rPr>
          <w:rStyle w:val="12"/>
          <w:rFonts w:cs="Times New Roman"/>
          <w:szCs w:val="28"/>
        </w:rPr>
        <w:t xml:space="preserve"> в долларах США объём </w:t>
      </w:r>
      <w:r w:rsidRPr="00E57CDA">
        <w:rPr>
          <w:rStyle w:val="12"/>
          <w:rFonts w:cs="Times New Roman"/>
          <w:szCs w:val="28"/>
        </w:rPr>
        <w:t>импорта (по кругу товаров, учитываемых ФТС России)</w:t>
      </w:r>
      <w:r>
        <w:rPr>
          <w:rStyle w:val="12"/>
          <w:rFonts w:cs="Times New Roman"/>
          <w:szCs w:val="28"/>
        </w:rPr>
        <w:t xml:space="preserve"> в 2022 г</w:t>
      </w:r>
      <w:r w:rsidR="000919DD">
        <w:rPr>
          <w:rStyle w:val="12"/>
          <w:rFonts w:cs="Times New Roman"/>
          <w:szCs w:val="28"/>
        </w:rPr>
        <w:t>оду</w:t>
      </w:r>
      <w:r>
        <w:rPr>
          <w:rStyle w:val="12"/>
          <w:rFonts w:cs="Times New Roman"/>
          <w:szCs w:val="28"/>
        </w:rPr>
        <w:t xml:space="preserve"> сократится на 11,6%. В 2025 г</w:t>
      </w:r>
      <w:r w:rsidR="000919DD">
        <w:rPr>
          <w:rStyle w:val="12"/>
          <w:rFonts w:cs="Times New Roman"/>
          <w:szCs w:val="28"/>
        </w:rPr>
        <w:t>оду</w:t>
      </w:r>
      <w:r>
        <w:rPr>
          <w:rStyle w:val="12"/>
          <w:rFonts w:cs="Times New Roman"/>
          <w:szCs w:val="28"/>
        </w:rPr>
        <w:t xml:space="preserve"> он будет на 8,8% больше, чем в 2021</w:t>
      </w:r>
      <w:proofErr w:type="gramEnd"/>
      <w:r>
        <w:rPr>
          <w:rStyle w:val="12"/>
          <w:rFonts w:cs="Times New Roman"/>
          <w:szCs w:val="28"/>
        </w:rPr>
        <w:t xml:space="preserve"> г</w:t>
      </w:r>
      <w:r w:rsidR="000919DD">
        <w:rPr>
          <w:rStyle w:val="12"/>
          <w:rFonts w:cs="Times New Roman"/>
          <w:szCs w:val="28"/>
        </w:rPr>
        <w:t>оду</w:t>
      </w:r>
      <w:r>
        <w:rPr>
          <w:rStyle w:val="12"/>
          <w:rFonts w:cs="Times New Roman"/>
          <w:szCs w:val="28"/>
        </w:rPr>
        <w:t xml:space="preserve">. </w:t>
      </w:r>
    </w:p>
    <w:p w14:paraId="3AEF0460" w14:textId="77777777" w:rsidR="004275CE" w:rsidRDefault="004275CE" w:rsidP="004275C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Понятно, что повышение налоговой нагрузки на импорт может ухудшить ситуацию с импортными товарами на внутреннем рынке. Что также может негативно отразиться на динамике доходов населения. И далеко не факт, что предусмотренное в Проекте федерального бюджета увеличение расходов на цели социальной политики поможет в этих условиях исправить ситуацию.</w:t>
      </w:r>
    </w:p>
    <w:p w14:paraId="2BFCBF0E" w14:textId="77777777" w:rsidR="00DC5282" w:rsidRDefault="00DC5282" w:rsidP="00DC5282">
      <w:pPr>
        <w:spacing w:line="360" w:lineRule="auto"/>
        <w:ind w:firstLine="709"/>
        <w:jc w:val="both"/>
        <w:rPr>
          <w:sz w:val="28"/>
          <w:szCs w:val="28"/>
        </w:rPr>
      </w:pPr>
      <w:r>
        <w:rPr>
          <w:sz w:val="28"/>
          <w:szCs w:val="28"/>
        </w:rPr>
        <w:t>С учетом роли Н</w:t>
      </w:r>
      <w:proofErr w:type="gramStart"/>
      <w:r>
        <w:rPr>
          <w:sz w:val="28"/>
          <w:szCs w:val="28"/>
        </w:rPr>
        <w:t>ДС в стр</w:t>
      </w:r>
      <w:proofErr w:type="gramEnd"/>
      <w:r>
        <w:rPr>
          <w:sz w:val="28"/>
          <w:szCs w:val="28"/>
        </w:rPr>
        <w:t xml:space="preserve">уктуре </w:t>
      </w:r>
      <w:proofErr w:type="spellStart"/>
      <w:r>
        <w:rPr>
          <w:sz w:val="28"/>
          <w:szCs w:val="28"/>
        </w:rPr>
        <w:t>ненефтегазовых</w:t>
      </w:r>
      <w:proofErr w:type="spellEnd"/>
      <w:r>
        <w:rPr>
          <w:sz w:val="28"/>
          <w:szCs w:val="28"/>
        </w:rPr>
        <w:t xml:space="preserve"> доходов именно этот налог обеспечивает около 80% общей суммы прироста поступлений в рамках трехлетнего планового периода. В свою очередь, факторами, которые наиболее серьезно влияют на прирост поступлений данного налога, разработчики законопроекта считают увеличение объема ВВП с учетом изменения его структуры, а также активизацию внешнеэкономической деятельности. Если первый фактор выражено действует в сторону роста налоговых поступлений, то второй – в сторону их снижения. При этом второй фактор «съедает» от 25% до 39% (по годам трехлетнего периода) того прироста, который обеспечивает первый. </w:t>
      </w:r>
    </w:p>
    <w:p w14:paraId="505F42E0" w14:textId="0277E2A0" w:rsidR="00DC5282" w:rsidRDefault="00DC5282" w:rsidP="00DC5282">
      <w:pPr>
        <w:spacing w:line="360" w:lineRule="auto"/>
        <w:ind w:firstLine="709"/>
        <w:jc w:val="both"/>
        <w:rPr>
          <w:sz w:val="28"/>
          <w:szCs w:val="28"/>
        </w:rPr>
      </w:pPr>
      <w:r>
        <w:rPr>
          <w:sz w:val="28"/>
          <w:szCs w:val="28"/>
        </w:rPr>
        <w:t xml:space="preserve">Введение акциза на сахаросодержащие напитки не дает существенного увеличения </w:t>
      </w:r>
      <w:proofErr w:type="spellStart"/>
      <w:r>
        <w:rPr>
          <w:sz w:val="28"/>
          <w:szCs w:val="28"/>
        </w:rPr>
        <w:t>ненефтегазовых</w:t>
      </w:r>
      <w:proofErr w:type="spellEnd"/>
      <w:r>
        <w:rPr>
          <w:sz w:val="28"/>
          <w:szCs w:val="28"/>
        </w:rPr>
        <w:t xml:space="preserve"> доходов. Доля данного фактора в формировании общей суммы прироста в 2023 г</w:t>
      </w:r>
      <w:r w:rsidR="002C7EF0">
        <w:rPr>
          <w:sz w:val="28"/>
          <w:szCs w:val="28"/>
        </w:rPr>
        <w:t>оду</w:t>
      </w:r>
      <w:r>
        <w:rPr>
          <w:sz w:val="28"/>
          <w:szCs w:val="28"/>
        </w:rPr>
        <w:t xml:space="preserve"> составит около 2%.</w:t>
      </w:r>
    </w:p>
    <w:p w14:paraId="71957C10" w14:textId="26111D32" w:rsidR="00DC5282" w:rsidRDefault="00DC5282" w:rsidP="00DC5282">
      <w:pPr>
        <w:spacing w:line="360" w:lineRule="auto"/>
        <w:ind w:firstLine="709"/>
        <w:jc w:val="both"/>
        <w:rPr>
          <w:sz w:val="28"/>
          <w:szCs w:val="28"/>
        </w:rPr>
      </w:pPr>
      <w:r>
        <w:rPr>
          <w:sz w:val="28"/>
          <w:szCs w:val="28"/>
        </w:rPr>
        <w:t>Наиболее значительным фактором увеличения поступлений акцизов является изменение порядка исчисления акциза на природный газ (в соответствии с международными соглашениями). Данный фактор действует только в 2023 г</w:t>
      </w:r>
      <w:r w:rsidR="0085442D">
        <w:rPr>
          <w:sz w:val="28"/>
          <w:szCs w:val="28"/>
        </w:rPr>
        <w:t>оду</w:t>
      </w:r>
      <w:r>
        <w:rPr>
          <w:sz w:val="28"/>
          <w:szCs w:val="28"/>
        </w:rPr>
        <w:t xml:space="preserve"> и обеспечивает около 10% общей суммы прироста </w:t>
      </w:r>
      <w:proofErr w:type="spellStart"/>
      <w:r>
        <w:rPr>
          <w:sz w:val="28"/>
          <w:szCs w:val="28"/>
        </w:rPr>
        <w:t>ненефтегазовых</w:t>
      </w:r>
      <w:proofErr w:type="spellEnd"/>
      <w:r>
        <w:rPr>
          <w:sz w:val="28"/>
          <w:szCs w:val="28"/>
        </w:rPr>
        <w:t xml:space="preserve"> доходов.</w:t>
      </w:r>
    </w:p>
    <w:p w14:paraId="0EC57936" w14:textId="77777777" w:rsidR="00DC5282" w:rsidRDefault="00DC5282" w:rsidP="00DC5282">
      <w:pPr>
        <w:spacing w:line="360" w:lineRule="auto"/>
        <w:ind w:firstLine="709"/>
        <w:jc w:val="both"/>
        <w:rPr>
          <w:sz w:val="28"/>
          <w:szCs w:val="28"/>
        </w:rPr>
      </w:pPr>
      <w:r>
        <w:rPr>
          <w:sz w:val="28"/>
          <w:szCs w:val="28"/>
        </w:rPr>
        <w:t xml:space="preserve">Обращает на себя внимание, что </w:t>
      </w:r>
      <w:proofErr w:type="gramStart"/>
      <w:r>
        <w:rPr>
          <w:sz w:val="28"/>
          <w:szCs w:val="28"/>
        </w:rPr>
        <w:t>качестве</w:t>
      </w:r>
      <w:proofErr w:type="gramEnd"/>
      <w:r>
        <w:rPr>
          <w:sz w:val="28"/>
          <w:szCs w:val="28"/>
        </w:rPr>
        <w:t xml:space="preserve"> самостоятельного выделяется фактор «повышение собираемости и улучшение администрирования акцизов на табачную продукцию», который по мнению авторов Пояснительной записки призван обеспечить еще 8,6% общей суммы прироста </w:t>
      </w:r>
      <w:proofErr w:type="spellStart"/>
      <w:r>
        <w:rPr>
          <w:sz w:val="28"/>
          <w:szCs w:val="28"/>
        </w:rPr>
        <w:t>ненефтегазовых</w:t>
      </w:r>
      <w:proofErr w:type="spellEnd"/>
      <w:r>
        <w:rPr>
          <w:sz w:val="28"/>
          <w:szCs w:val="28"/>
        </w:rPr>
        <w:t xml:space="preserve"> доходов. Однако из текста Пояснительной записки не ясно, из чего складывается данная оценка.</w:t>
      </w:r>
    </w:p>
    <w:p w14:paraId="48C7C8C9" w14:textId="3A39CFB6" w:rsidR="00DC5282" w:rsidRDefault="00DC5282" w:rsidP="00DC5282">
      <w:pPr>
        <w:spacing w:line="360" w:lineRule="auto"/>
        <w:ind w:firstLine="709"/>
        <w:jc w:val="both"/>
        <w:rPr>
          <w:sz w:val="28"/>
          <w:szCs w:val="28"/>
        </w:rPr>
      </w:pPr>
      <w:r>
        <w:rPr>
          <w:sz w:val="28"/>
          <w:szCs w:val="28"/>
        </w:rPr>
        <w:t>В целом достоверность прогноза доходов федерального бюджета на 2023 г</w:t>
      </w:r>
      <w:r w:rsidR="0085442D">
        <w:rPr>
          <w:sz w:val="28"/>
          <w:szCs w:val="28"/>
        </w:rPr>
        <w:t>од</w:t>
      </w:r>
      <w:r>
        <w:rPr>
          <w:sz w:val="28"/>
          <w:szCs w:val="28"/>
        </w:rPr>
        <w:t xml:space="preserve"> и плановый период 2024 и 2025 годов выражено зависит от достоверности оценок динамики мировых сырьевых рынков и динамики ВВП, сложность прогнозирования которых в настоящее время усугубляется политическими и геополитическими факторами. В </w:t>
      </w:r>
      <w:proofErr w:type="gramStart"/>
      <w:r>
        <w:rPr>
          <w:sz w:val="28"/>
          <w:szCs w:val="28"/>
        </w:rPr>
        <w:t>случае</w:t>
      </w:r>
      <w:proofErr w:type="gramEnd"/>
      <w:r>
        <w:rPr>
          <w:sz w:val="28"/>
          <w:szCs w:val="28"/>
        </w:rPr>
        <w:t xml:space="preserve"> реализации заявленных макроэкономических условий вероятность достижения прогнозного уровня доходов федерального бюджета в целом достаточно велика. В то же время целый ряд параметров указывают на формирование определенного рода скрытых резервов дополнительных доходов. Последнее в целом достаточно характерно для отечественного бюджетного планирования (и не только в последние годы).</w:t>
      </w:r>
    </w:p>
    <w:p w14:paraId="354C1309" w14:textId="77777777" w:rsidR="00DC5282" w:rsidRDefault="00DC5282" w:rsidP="00DC5282">
      <w:pPr>
        <w:spacing w:line="360" w:lineRule="auto"/>
        <w:ind w:firstLine="709"/>
        <w:jc w:val="both"/>
        <w:rPr>
          <w:b/>
          <w:bCs/>
          <w:i/>
          <w:iCs/>
          <w:sz w:val="28"/>
          <w:szCs w:val="28"/>
        </w:rPr>
      </w:pPr>
      <w:r>
        <w:rPr>
          <w:b/>
          <w:bCs/>
          <w:i/>
          <w:iCs/>
          <w:sz w:val="28"/>
          <w:szCs w:val="28"/>
        </w:rPr>
        <w:t>Некоторые налоговые новации</w:t>
      </w:r>
    </w:p>
    <w:p w14:paraId="39936119" w14:textId="72F7CEF0" w:rsidR="00DC5282" w:rsidRDefault="00DC5282" w:rsidP="00DC5282">
      <w:pPr>
        <w:spacing w:line="360" w:lineRule="auto"/>
        <w:ind w:firstLine="709"/>
        <w:jc w:val="both"/>
        <w:rPr>
          <w:color w:val="000000"/>
          <w:sz w:val="28"/>
          <w:szCs w:val="28"/>
          <w:shd w:val="clear" w:color="auto" w:fill="FFFFFF"/>
        </w:rPr>
      </w:pPr>
      <w:r>
        <w:rPr>
          <w:color w:val="000000"/>
          <w:sz w:val="28"/>
          <w:szCs w:val="28"/>
          <w:shd w:val="clear" w:color="auto" w:fill="FFFFFF"/>
        </w:rPr>
        <w:t>Проект федерального бюджета на 2023 г</w:t>
      </w:r>
      <w:r w:rsidR="0085442D">
        <w:rPr>
          <w:color w:val="000000"/>
          <w:sz w:val="28"/>
          <w:szCs w:val="28"/>
          <w:shd w:val="clear" w:color="auto" w:fill="FFFFFF"/>
        </w:rPr>
        <w:t>од</w:t>
      </w:r>
      <w:r>
        <w:rPr>
          <w:color w:val="000000"/>
          <w:sz w:val="28"/>
          <w:szCs w:val="28"/>
          <w:shd w:val="clear" w:color="auto" w:fill="FFFFFF"/>
        </w:rPr>
        <w:t xml:space="preserve"> и плановый период 2024 и 2025 г</w:t>
      </w:r>
      <w:r w:rsidR="0085442D">
        <w:rPr>
          <w:color w:val="000000"/>
          <w:sz w:val="28"/>
          <w:szCs w:val="28"/>
          <w:shd w:val="clear" w:color="auto" w:fill="FFFFFF"/>
        </w:rPr>
        <w:t>одов</w:t>
      </w:r>
      <w:r>
        <w:rPr>
          <w:color w:val="000000"/>
          <w:sz w:val="28"/>
          <w:szCs w:val="28"/>
          <w:shd w:val="clear" w:color="auto" w:fill="FFFFFF"/>
        </w:rPr>
        <w:t xml:space="preserve"> учитывает целый ряд серьезных налоговых новаций, а также весьма значительный перечень относительно незначительных с макроэкономической точки зрения изменений, корректировок и уточнений. </w:t>
      </w:r>
    </w:p>
    <w:p w14:paraId="6600BC5E" w14:textId="77777777" w:rsidR="00DC5282" w:rsidRDefault="00DC5282" w:rsidP="00DC5282">
      <w:pPr>
        <w:spacing w:line="360" w:lineRule="auto"/>
        <w:ind w:firstLine="680"/>
        <w:jc w:val="both"/>
        <w:rPr>
          <w:color w:val="000000"/>
          <w:sz w:val="28"/>
          <w:szCs w:val="28"/>
          <w:shd w:val="clear" w:color="auto" w:fill="FFFFFF"/>
        </w:rPr>
      </w:pPr>
      <w:r>
        <w:rPr>
          <w:color w:val="000000"/>
          <w:sz w:val="28"/>
          <w:szCs w:val="28"/>
          <w:shd w:val="clear" w:color="auto" w:fill="FFFFFF"/>
        </w:rPr>
        <w:t>С определенной долей условности можно выделить следующих группы изменений и уточнений действующего налогового законодательства, имеющие различное значение для формирования доходов федерального бюджета.</w:t>
      </w:r>
    </w:p>
    <w:p w14:paraId="45475C82" w14:textId="77777777" w:rsidR="00DC5282" w:rsidRDefault="00DC5282" w:rsidP="00DC5282">
      <w:pPr>
        <w:pStyle w:val="a4"/>
        <w:spacing w:line="360" w:lineRule="auto"/>
        <w:ind w:left="0" w:firstLine="680"/>
        <w:contextualSpacing w:val="0"/>
        <w:jc w:val="both"/>
      </w:pPr>
      <w:r w:rsidRPr="00A36C08">
        <w:rPr>
          <w:i/>
          <w:iCs/>
          <w:color w:val="000000"/>
          <w:sz w:val="28"/>
          <w:szCs w:val="28"/>
          <w:shd w:val="clear" w:color="auto" w:fill="FFFFFF"/>
        </w:rPr>
        <w:t>Первая группа</w:t>
      </w:r>
      <w:r>
        <w:rPr>
          <w:color w:val="000000"/>
          <w:sz w:val="28"/>
          <w:szCs w:val="28"/>
          <w:shd w:val="clear" w:color="auto" w:fill="FFFFFF"/>
        </w:rPr>
        <w:t xml:space="preserve"> – налоговые мероприятия, нацеленные на перераспределение ресурсной ренты в пользу государства в тех сегментах добывающего и непосредственно связанных с ним секторов, где в настоящее время имеет место рост доходов в результате существенного повышения мировых цен на сырье. Именно данная группа уточнений налогового законодательства имеет существенное фискальное значение. К мероприятиям этой группы относятся, в частности:</w:t>
      </w:r>
    </w:p>
    <w:p w14:paraId="5DB4B274" w14:textId="77777777" w:rsidR="00DC5282" w:rsidRPr="00A36C08" w:rsidRDefault="00DC5282" w:rsidP="00DC5282">
      <w:pPr>
        <w:pStyle w:val="a4"/>
        <w:numPr>
          <w:ilvl w:val="0"/>
          <w:numId w:val="17"/>
        </w:numPr>
        <w:suppressAutoHyphens/>
        <w:spacing w:line="360" w:lineRule="auto"/>
        <w:ind w:left="993"/>
        <w:jc w:val="both"/>
        <w:rPr>
          <w:sz w:val="28"/>
          <w:szCs w:val="28"/>
        </w:rPr>
      </w:pPr>
      <w:r w:rsidRPr="00A36C08">
        <w:rPr>
          <w:sz w:val="28"/>
          <w:szCs w:val="28"/>
        </w:rPr>
        <w:t xml:space="preserve">повышение ставки НДПИ и увеличение ставки экспортной пошлины на природный газ; </w:t>
      </w:r>
    </w:p>
    <w:p w14:paraId="782EF410" w14:textId="77777777" w:rsidR="00DC5282" w:rsidRPr="00A36C08" w:rsidRDefault="00DC5282" w:rsidP="00DC5282">
      <w:pPr>
        <w:pStyle w:val="a4"/>
        <w:numPr>
          <w:ilvl w:val="0"/>
          <w:numId w:val="17"/>
        </w:numPr>
        <w:suppressAutoHyphens/>
        <w:spacing w:line="360" w:lineRule="auto"/>
        <w:ind w:left="993"/>
        <w:jc w:val="both"/>
        <w:rPr>
          <w:sz w:val="28"/>
          <w:szCs w:val="28"/>
        </w:rPr>
      </w:pPr>
      <w:r w:rsidRPr="00A36C08">
        <w:rPr>
          <w:sz w:val="28"/>
          <w:szCs w:val="28"/>
        </w:rPr>
        <w:t>введение повышенной ставки налога на прибыль на производителей и экспортеров СПГ;</w:t>
      </w:r>
    </w:p>
    <w:p w14:paraId="3C56078B" w14:textId="77777777" w:rsidR="00DC5282" w:rsidRPr="00A36C08" w:rsidRDefault="00DC5282" w:rsidP="00DC5282">
      <w:pPr>
        <w:pStyle w:val="a4"/>
        <w:numPr>
          <w:ilvl w:val="0"/>
          <w:numId w:val="17"/>
        </w:numPr>
        <w:suppressAutoHyphens/>
        <w:spacing w:line="360" w:lineRule="auto"/>
        <w:ind w:left="993"/>
        <w:jc w:val="both"/>
        <w:rPr>
          <w:sz w:val="28"/>
          <w:szCs w:val="28"/>
        </w:rPr>
      </w:pPr>
      <w:r w:rsidRPr="00A36C08">
        <w:rPr>
          <w:sz w:val="28"/>
          <w:szCs w:val="28"/>
        </w:rPr>
        <w:t>мероприятия по завершению налогового маневра;</w:t>
      </w:r>
    </w:p>
    <w:p w14:paraId="4B6C318B" w14:textId="77777777" w:rsidR="00DC5282" w:rsidRPr="00A36C08" w:rsidRDefault="00DC5282" w:rsidP="00DC5282">
      <w:pPr>
        <w:pStyle w:val="a4"/>
        <w:numPr>
          <w:ilvl w:val="0"/>
          <w:numId w:val="17"/>
        </w:numPr>
        <w:suppressAutoHyphens/>
        <w:spacing w:line="360" w:lineRule="auto"/>
        <w:ind w:left="993"/>
        <w:jc w:val="both"/>
        <w:rPr>
          <w:sz w:val="28"/>
          <w:szCs w:val="28"/>
        </w:rPr>
      </w:pPr>
      <w:r w:rsidRPr="00A36C08">
        <w:rPr>
          <w:sz w:val="28"/>
          <w:szCs w:val="28"/>
        </w:rPr>
        <w:t>корректировка демпфирующего механизма в обратном акцизе на нефтяное сырье и соответствующая корректировка параметров НДПИ;</w:t>
      </w:r>
    </w:p>
    <w:p w14:paraId="10B5775E" w14:textId="77777777" w:rsidR="00DC5282" w:rsidRPr="00A36C08" w:rsidRDefault="00DC5282" w:rsidP="00DC5282">
      <w:pPr>
        <w:pStyle w:val="a4"/>
        <w:numPr>
          <w:ilvl w:val="0"/>
          <w:numId w:val="17"/>
        </w:numPr>
        <w:suppressAutoHyphens/>
        <w:spacing w:line="360" w:lineRule="auto"/>
        <w:ind w:left="993"/>
        <w:jc w:val="both"/>
        <w:rPr>
          <w:sz w:val="28"/>
          <w:szCs w:val="28"/>
        </w:rPr>
      </w:pPr>
      <w:r w:rsidRPr="00A36C08">
        <w:rPr>
          <w:sz w:val="28"/>
          <w:szCs w:val="28"/>
        </w:rPr>
        <w:t>временное повышение НДПИ на уголь;</w:t>
      </w:r>
    </w:p>
    <w:p w14:paraId="1CB10AC5" w14:textId="77777777" w:rsidR="00DC5282" w:rsidRPr="00A36C08" w:rsidRDefault="00DC5282" w:rsidP="00DC5282">
      <w:pPr>
        <w:pStyle w:val="a4"/>
        <w:numPr>
          <w:ilvl w:val="0"/>
          <w:numId w:val="17"/>
        </w:numPr>
        <w:suppressAutoHyphens/>
        <w:spacing w:line="360" w:lineRule="auto"/>
        <w:ind w:left="993"/>
        <w:jc w:val="both"/>
        <w:rPr>
          <w:sz w:val="28"/>
          <w:szCs w:val="28"/>
        </w:rPr>
      </w:pPr>
      <w:r w:rsidRPr="00A36C08">
        <w:rPr>
          <w:sz w:val="28"/>
          <w:szCs w:val="28"/>
        </w:rPr>
        <w:t>введение экспортной пошлины на удобрения и уголь;</w:t>
      </w:r>
    </w:p>
    <w:p w14:paraId="4EF6F531" w14:textId="77777777" w:rsidR="00DC5282" w:rsidRPr="00A36C08" w:rsidRDefault="00DC5282" w:rsidP="00DC5282">
      <w:pPr>
        <w:pStyle w:val="a4"/>
        <w:numPr>
          <w:ilvl w:val="0"/>
          <w:numId w:val="17"/>
        </w:numPr>
        <w:suppressAutoHyphens/>
        <w:spacing w:line="360" w:lineRule="auto"/>
        <w:ind w:left="993"/>
        <w:jc w:val="both"/>
        <w:rPr>
          <w:sz w:val="28"/>
          <w:szCs w:val="28"/>
        </w:rPr>
      </w:pPr>
      <w:r w:rsidRPr="00A36C08">
        <w:rPr>
          <w:sz w:val="28"/>
          <w:szCs w:val="28"/>
        </w:rPr>
        <w:t>корректировка параметров НДПИ по ряду твердых полезных ископаемых;</w:t>
      </w:r>
    </w:p>
    <w:p w14:paraId="73293988" w14:textId="77777777" w:rsidR="00DC5282" w:rsidRPr="00A36C08" w:rsidRDefault="00DC5282" w:rsidP="00DC5282">
      <w:pPr>
        <w:pStyle w:val="a4"/>
        <w:numPr>
          <w:ilvl w:val="0"/>
          <w:numId w:val="17"/>
        </w:numPr>
        <w:suppressAutoHyphens/>
        <w:spacing w:line="360" w:lineRule="auto"/>
        <w:ind w:left="993"/>
        <w:jc w:val="both"/>
        <w:rPr>
          <w:sz w:val="28"/>
          <w:szCs w:val="28"/>
        </w:rPr>
      </w:pPr>
      <w:r w:rsidRPr="00A36C08">
        <w:rPr>
          <w:sz w:val="28"/>
          <w:szCs w:val="28"/>
        </w:rPr>
        <w:t>изменения параметров формулы расчета акциза на жидкую сталь;</w:t>
      </w:r>
    </w:p>
    <w:p w14:paraId="0F91035B" w14:textId="77777777" w:rsidR="00DC5282" w:rsidRPr="00A36C08" w:rsidRDefault="00DC5282" w:rsidP="00DC5282">
      <w:pPr>
        <w:pStyle w:val="a4"/>
        <w:numPr>
          <w:ilvl w:val="0"/>
          <w:numId w:val="17"/>
        </w:numPr>
        <w:suppressAutoHyphens/>
        <w:spacing w:line="360" w:lineRule="auto"/>
        <w:ind w:left="993"/>
        <w:jc w:val="both"/>
        <w:rPr>
          <w:sz w:val="28"/>
          <w:szCs w:val="28"/>
        </w:rPr>
      </w:pPr>
      <w:r w:rsidRPr="00A36C08">
        <w:rPr>
          <w:sz w:val="28"/>
          <w:szCs w:val="28"/>
        </w:rPr>
        <w:t>расширение периметра применения НДД;</w:t>
      </w:r>
    </w:p>
    <w:p w14:paraId="493A71BB" w14:textId="77777777" w:rsidR="00DC5282" w:rsidRPr="00A36C08" w:rsidRDefault="00DC5282" w:rsidP="00DC5282">
      <w:pPr>
        <w:pStyle w:val="a4"/>
        <w:numPr>
          <w:ilvl w:val="0"/>
          <w:numId w:val="17"/>
        </w:numPr>
        <w:suppressAutoHyphens/>
        <w:spacing w:line="360" w:lineRule="auto"/>
        <w:ind w:left="993"/>
        <w:jc w:val="both"/>
        <w:rPr>
          <w:sz w:val="28"/>
          <w:szCs w:val="28"/>
        </w:rPr>
      </w:pPr>
      <w:r w:rsidRPr="00A36C08">
        <w:rPr>
          <w:sz w:val="28"/>
          <w:szCs w:val="28"/>
        </w:rPr>
        <w:t>и целый ряд других изменений, корректировок и уточнений.</w:t>
      </w:r>
    </w:p>
    <w:p w14:paraId="6229EB33" w14:textId="77777777" w:rsidR="00DC5282" w:rsidRDefault="00DC5282" w:rsidP="00DC5282">
      <w:pPr>
        <w:pStyle w:val="a4"/>
        <w:spacing w:line="360" w:lineRule="auto"/>
        <w:ind w:left="0" w:firstLine="680"/>
        <w:jc w:val="both"/>
        <w:rPr>
          <w:color w:val="000000"/>
          <w:sz w:val="28"/>
          <w:szCs w:val="28"/>
          <w:shd w:val="clear" w:color="auto" w:fill="FFFFFF"/>
        </w:rPr>
      </w:pPr>
      <w:r w:rsidRPr="00A36C08">
        <w:rPr>
          <w:i/>
          <w:iCs/>
          <w:color w:val="000000"/>
          <w:sz w:val="28"/>
          <w:szCs w:val="28"/>
          <w:shd w:val="clear" w:color="auto" w:fill="FFFFFF"/>
        </w:rPr>
        <w:t>Вторая группа</w:t>
      </w:r>
      <w:r>
        <w:rPr>
          <w:color w:val="000000"/>
          <w:sz w:val="28"/>
          <w:szCs w:val="28"/>
          <w:shd w:val="clear" w:color="auto" w:fill="FFFFFF"/>
        </w:rPr>
        <w:t xml:space="preserve"> включает в себя совокупность мер, нацеленных на поддержку определенных сегментов хозяйственной деятельности, повышение инвестиционной активности и в целом носит преимущественно регуляторную направленность. К мероприятиям данной группы можно, в частности отнести, </w:t>
      </w:r>
      <w:r>
        <w:rPr>
          <w:sz w:val="28"/>
          <w:szCs w:val="28"/>
        </w:rPr>
        <w:t xml:space="preserve">введение </w:t>
      </w:r>
      <w:r>
        <w:rPr>
          <w:b/>
          <w:sz w:val="28"/>
          <w:szCs w:val="28"/>
        </w:rPr>
        <w:t>«</w:t>
      </w:r>
      <w:r>
        <w:rPr>
          <w:sz w:val="28"/>
          <w:szCs w:val="28"/>
        </w:rPr>
        <w:t xml:space="preserve">обратного акциза» для производителей синтетического каучука и содержащего этот продукт товаров; предоставление дополнительных налоговых льгот организациям в сфере </w:t>
      </w:r>
      <w:r>
        <w:rPr>
          <w:sz w:val="28"/>
          <w:szCs w:val="28"/>
          <w:lang w:val="en-US"/>
        </w:rPr>
        <w:t>IT</w:t>
      </w:r>
      <w:r>
        <w:rPr>
          <w:sz w:val="28"/>
          <w:szCs w:val="28"/>
        </w:rPr>
        <w:t xml:space="preserve"> технологий, организациям — производителям и потребителям радиотехнической продукции и некоторые другие.</w:t>
      </w:r>
    </w:p>
    <w:p w14:paraId="7D30DC50" w14:textId="77777777" w:rsidR="00DC5282" w:rsidRDefault="00DC5282" w:rsidP="00DC5282">
      <w:pPr>
        <w:pStyle w:val="a4"/>
        <w:spacing w:line="360" w:lineRule="auto"/>
        <w:ind w:left="0" w:firstLine="680"/>
        <w:jc w:val="both"/>
        <w:rPr>
          <w:color w:val="000000"/>
          <w:sz w:val="28"/>
          <w:szCs w:val="28"/>
          <w:shd w:val="clear" w:color="auto" w:fill="FFFFFF"/>
        </w:rPr>
      </w:pPr>
      <w:r w:rsidRPr="005F6FE4">
        <w:rPr>
          <w:i/>
          <w:iCs/>
          <w:color w:val="000000"/>
          <w:sz w:val="28"/>
          <w:szCs w:val="28"/>
          <w:shd w:val="clear" w:color="auto" w:fill="FFFFFF"/>
        </w:rPr>
        <w:t>Третья группа</w:t>
      </w:r>
      <w:r>
        <w:rPr>
          <w:color w:val="000000"/>
          <w:sz w:val="28"/>
          <w:szCs w:val="28"/>
          <w:shd w:val="clear" w:color="auto" w:fill="FFFFFF"/>
        </w:rPr>
        <w:t xml:space="preserve"> налоговых мер носит в целом технический характер и представляет собой корректировку отдельных параметров расчетов налогов на темпы инфляции и иные рыночные показатели. К данной группе относится преимущественно повышение ставок акцизов на целый ряд подакцизных товаров. Мероприятия данной группы в целом носят фискальный характер, но степень их влияния на доходы федерального бюджета существенно менее значительна, чем мероприятий первой группы.</w:t>
      </w:r>
    </w:p>
    <w:p w14:paraId="5680F2A1" w14:textId="77777777" w:rsidR="00DC5282" w:rsidRDefault="00DC5282" w:rsidP="00DC5282">
      <w:pPr>
        <w:spacing w:line="360" w:lineRule="auto"/>
        <w:ind w:firstLine="709"/>
        <w:jc w:val="both"/>
        <w:rPr>
          <w:sz w:val="28"/>
          <w:szCs w:val="28"/>
        </w:rPr>
      </w:pPr>
      <w:r w:rsidRPr="005F6FE4">
        <w:rPr>
          <w:i/>
          <w:iCs/>
          <w:color w:val="000000"/>
          <w:sz w:val="28"/>
          <w:szCs w:val="28"/>
          <w:shd w:val="clear" w:color="auto" w:fill="FFFFFF"/>
        </w:rPr>
        <w:t>Четвертая группа</w:t>
      </w:r>
      <w:r>
        <w:rPr>
          <w:color w:val="000000"/>
          <w:sz w:val="28"/>
          <w:szCs w:val="28"/>
          <w:shd w:val="clear" w:color="auto" w:fill="FFFFFF"/>
        </w:rPr>
        <w:t xml:space="preserve"> мер включает в себя таковые преимущественно административно-организационного плана, нацеленные на повышение качества налогового администрирования, снижение прямых и косвенных издержек налогообложения для бизнеса и населения. </w:t>
      </w:r>
      <w:proofErr w:type="gramStart"/>
      <w:r>
        <w:rPr>
          <w:color w:val="000000"/>
          <w:sz w:val="28"/>
          <w:szCs w:val="28"/>
          <w:shd w:val="clear" w:color="auto" w:fill="FFFFFF"/>
        </w:rPr>
        <w:t xml:space="preserve">К мероприятиям данной группы наряду с собственно организационными можно отнести, в частности, </w:t>
      </w:r>
      <w:r>
        <w:rPr>
          <w:sz w:val="28"/>
          <w:szCs w:val="28"/>
        </w:rPr>
        <w:t>внедрение института единого налогового счета</w:t>
      </w:r>
      <w:r>
        <w:rPr>
          <w:b/>
          <w:sz w:val="28"/>
          <w:szCs w:val="28"/>
        </w:rPr>
        <w:t xml:space="preserve">, </w:t>
      </w:r>
      <w:r>
        <w:rPr>
          <w:sz w:val="28"/>
          <w:szCs w:val="28"/>
        </w:rPr>
        <w:t>предусматривающего консолидацию всех обязанностей налогоплательщика по уплате обязательных платежей в едином сальдо расчетов с бюджетами, мероприятия нового специального налогового режима и некоторые другие.</w:t>
      </w:r>
      <w:proofErr w:type="gramEnd"/>
    </w:p>
    <w:p w14:paraId="2BE8F736" w14:textId="77777777" w:rsidR="00DC5282" w:rsidRDefault="00DC5282" w:rsidP="00DC5282">
      <w:pPr>
        <w:pStyle w:val="a4"/>
        <w:tabs>
          <w:tab w:val="left" w:pos="426"/>
        </w:tabs>
        <w:spacing w:line="360" w:lineRule="auto"/>
        <w:ind w:left="0" w:firstLine="680"/>
        <w:contextualSpacing w:val="0"/>
        <w:jc w:val="both"/>
        <w:rPr>
          <w:bCs/>
          <w:sz w:val="28"/>
          <w:szCs w:val="28"/>
        </w:rPr>
      </w:pPr>
      <w:r>
        <w:rPr>
          <w:sz w:val="28"/>
          <w:szCs w:val="28"/>
        </w:rPr>
        <w:t xml:space="preserve">В </w:t>
      </w:r>
      <w:proofErr w:type="gramStart"/>
      <w:r>
        <w:rPr>
          <w:sz w:val="28"/>
          <w:szCs w:val="28"/>
        </w:rPr>
        <w:t>качестве</w:t>
      </w:r>
      <w:proofErr w:type="gramEnd"/>
      <w:r>
        <w:rPr>
          <w:sz w:val="28"/>
          <w:szCs w:val="28"/>
        </w:rPr>
        <w:t xml:space="preserve"> относительно </w:t>
      </w:r>
      <w:r w:rsidRPr="005F6FE4">
        <w:rPr>
          <w:i/>
          <w:iCs/>
          <w:sz w:val="28"/>
          <w:szCs w:val="28"/>
        </w:rPr>
        <w:t>самостоятельной меры</w:t>
      </w:r>
      <w:r>
        <w:rPr>
          <w:sz w:val="28"/>
          <w:szCs w:val="28"/>
        </w:rPr>
        <w:t>, которую сложно отнести к выделенным группам, следует выделить введение акциза на сахаросодержащие напитки. Данная мера носит в целом фискальный характер, поскольку нацелена на формирование самостоятельного источника финансирования мероприятий в области борьбы с сахарным диабетом. Регуляторная нагрузка данной меры ничтожна. В экономической литературе существует значительное число работ, показывающих практически полное отсутствие воздействия такого акциза на потребление сахаросодержащих напитков. Реализация данной меры, по сути, приведет к некоторому перераспределению налоговых поступлений от производителей этих напитков – рост расходов, связанных с обслуживанием «подакцизного товара» приведет к сокращению их прибыли, а значит и к сокращению поступлений данного налога в региональные бюджеты. А федеральный бюджет получит дополнительные ресурсы для финансирования мероприятий федерального проекта «Борьба с сахарным диабетом» (его потери от налога на прибыль будут незначительны).</w:t>
      </w:r>
    </w:p>
    <w:p w14:paraId="23609B99" w14:textId="77777777" w:rsidR="00DC5282" w:rsidRDefault="00DC5282" w:rsidP="00DC5282">
      <w:pPr>
        <w:tabs>
          <w:tab w:val="left" w:pos="426"/>
        </w:tabs>
        <w:spacing w:line="360" w:lineRule="auto"/>
        <w:ind w:firstLine="425"/>
        <w:jc w:val="both"/>
        <w:rPr>
          <w:bCs/>
          <w:sz w:val="28"/>
          <w:szCs w:val="28"/>
        </w:rPr>
      </w:pPr>
      <w:r>
        <w:rPr>
          <w:sz w:val="28"/>
          <w:szCs w:val="28"/>
        </w:rPr>
        <w:t xml:space="preserve">Необходимо отметить, что большинство мероприятий, отнесенных к первой группе налоговых мероприятий, реально также приведут к перераспределению доходов хозяйствующих субъектов, которое будет иметь своим следствием и перераспределение доходов между федеральным бюджетом и бюджетами субъектов федерации. Увеличение сумм НДПИ с зачислением полностью или частично в доход федерального бюджета призвано </w:t>
      </w:r>
      <w:proofErr w:type="gramStart"/>
      <w:r>
        <w:rPr>
          <w:sz w:val="28"/>
          <w:szCs w:val="28"/>
        </w:rPr>
        <w:t>заменить уплату налога на прибыль</w:t>
      </w:r>
      <w:proofErr w:type="gramEnd"/>
      <w:r>
        <w:rPr>
          <w:sz w:val="28"/>
          <w:szCs w:val="28"/>
        </w:rPr>
        <w:t xml:space="preserve"> (зачастую, сверхприбыль в силу рыночных обстоятельств), в большей части формирующую доходы региональных бюджетов. В этой ситуации из текста Пояснительной </w:t>
      </w:r>
      <w:proofErr w:type="gramStart"/>
      <w:r>
        <w:rPr>
          <w:sz w:val="28"/>
          <w:szCs w:val="28"/>
        </w:rPr>
        <w:t>записки</w:t>
      </w:r>
      <w:proofErr w:type="gramEnd"/>
      <w:r>
        <w:rPr>
          <w:sz w:val="28"/>
          <w:szCs w:val="28"/>
        </w:rPr>
        <w:t xml:space="preserve"> не ясно учтено ли данное обстоятельство при определении межбюджетных трансфертов.</w:t>
      </w:r>
    </w:p>
    <w:p w14:paraId="4C3E1346" w14:textId="4717C86C" w:rsidR="00DC5282" w:rsidRDefault="00DC5282" w:rsidP="00DC5282">
      <w:pPr>
        <w:spacing w:line="360" w:lineRule="auto"/>
        <w:ind w:firstLine="709"/>
        <w:jc w:val="both"/>
        <w:rPr>
          <w:sz w:val="28"/>
          <w:szCs w:val="28"/>
        </w:rPr>
      </w:pPr>
      <w:r>
        <w:rPr>
          <w:sz w:val="28"/>
          <w:szCs w:val="28"/>
        </w:rPr>
        <w:t xml:space="preserve">В качестве относительно самостоятельного фактора, влияющего как на доходы, так и на расходы федерального бюджета можно выделить потенциально формирующееся некоторое перераспределение налоговых доходов между </w:t>
      </w:r>
      <w:proofErr w:type="gramStart"/>
      <w:r>
        <w:rPr>
          <w:sz w:val="28"/>
          <w:szCs w:val="28"/>
        </w:rPr>
        <w:t>федеральным</w:t>
      </w:r>
      <w:proofErr w:type="gramEnd"/>
      <w:r>
        <w:rPr>
          <w:sz w:val="28"/>
          <w:szCs w:val="28"/>
        </w:rPr>
        <w:t xml:space="preserve"> и субфедеральными бюджетами в пользу первого. </w:t>
      </w:r>
      <w:proofErr w:type="gramStart"/>
      <w:r>
        <w:rPr>
          <w:sz w:val="28"/>
          <w:szCs w:val="28"/>
        </w:rPr>
        <w:t>В рамках данного фактора будет работать введенный с июля 2022 г</w:t>
      </w:r>
      <w:r w:rsidR="00C571A0">
        <w:rPr>
          <w:sz w:val="28"/>
          <w:szCs w:val="28"/>
        </w:rPr>
        <w:t>ода</w:t>
      </w:r>
      <w:r>
        <w:rPr>
          <w:sz w:val="28"/>
          <w:szCs w:val="28"/>
        </w:rPr>
        <w:t xml:space="preserve"> </w:t>
      </w:r>
      <w:r>
        <w:rPr>
          <w:spacing w:val="-4"/>
          <w:sz w:val="28"/>
          <w:szCs w:val="28"/>
        </w:rPr>
        <w:t>специальный налоговый режим «Автоматизированная упрощенная система налогообложения» (за счет перераспределения налогоплательщиков из других специальных налоговых режимов, что коснется в первую очередь местных бюджетов).</w:t>
      </w:r>
      <w:proofErr w:type="gramEnd"/>
      <w:r>
        <w:rPr>
          <w:spacing w:val="-4"/>
          <w:sz w:val="28"/>
          <w:szCs w:val="28"/>
        </w:rPr>
        <w:t xml:space="preserve"> Прекращение функционирования КГН с 2023 г</w:t>
      </w:r>
      <w:r w:rsidR="00C571A0">
        <w:rPr>
          <w:spacing w:val="-4"/>
          <w:sz w:val="28"/>
          <w:szCs w:val="28"/>
        </w:rPr>
        <w:t>ода</w:t>
      </w:r>
      <w:r>
        <w:rPr>
          <w:spacing w:val="-4"/>
          <w:sz w:val="28"/>
          <w:szCs w:val="28"/>
        </w:rPr>
        <w:t xml:space="preserve"> и введение </w:t>
      </w:r>
      <w:r>
        <w:rPr>
          <w:sz w:val="28"/>
          <w:szCs w:val="28"/>
        </w:rPr>
        <w:t>специфического порядка зачисления налога на прибыль по завершению расчетов, также, скорее всего, приведет к перераспределению доходов от данного налога в пользу федерального бюджета.</w:t>
      </w:r>
    </w:p>
    <w:p w14:paraId="1C0609E1" w14:textId="2EB5C618" w:rsidR="00DC5282" w:rsidRDefault="00DC5282"/>
    <w:p w14:paraId="4899D877" w14:textId="77777777" w:rsidR="00DC5282" w:rsidRDefault="00DC5282"/>
    <w:p w14:paraId="530CEA77" w14:textId="55373960" w:rsidR="004A457A" w:rsidRPr="0096730A" w:rsidRDefault="004A457A" w:rsidP="0096730A">
      <w:pPr>
        <w:pStyle w:val="a4"/>
        <w:numPr>
          <w:ilvl w:val="0"/>
          <w:numId w:val="19"/>
        </w:numPr>
        <w:spacing w:after="160" w:line="259" w:lineRule="auto"/>
        <w:ind w:left="426"/>
        <w:jc w:val="both"/>
        <w:outlineLvl w:val="0"/>
        <w:rPr>
          <w:b/>
          <w:bCs/>
          <w:sz w:val="28"/>
          <w:szCs w:val="28"/>
        </w:rPr>
      </w:pPr>
      <w:bookmarkStart w:id="5" w:name="_Toc116561834"/>
      <w:r w:rsidRPr="0096730A">
        <w:rPr>
          <w:b/>
          <w:bCs/>
          <w:sz w:val="28"/>
          <w:szCs w:val="28"/>
        </w:rPr>
        <w:t xml:space="preserve">Анализ основных </w:t>
      </w:r>
      <w:r w:rsidR="00243BCF" w:rsidRPr="0096730A">
        <w:rPr>
          <w:b/>
          <w:bCs/>
          <w:sz w:val="28"/>
          <w:szCs w:val="28"/>
        </w:rPr>
        <w:t>положений</w:t>
      </w:r>
      <w:r w:rsidRPr="0096730A">
        <w:rPr>
          <w:b/>
          <w:bCs/>
          <w:sz w:val="28"/>
          <w:szCs w:val="28"/>
        </w:rPr>
        <w:t xml:space="preserve"> расходной части Проекта Федерального бюджета на 2023 г</w:t>
      </w:r>
      <w:r w:rsidR="00113939" w:rsidRPr="0096730A">
        <w:rPr>
          <w:b/>
          <w:bCs/>
          <w:sz w:val="28"/>
          <w:szCs w:val="28"/>
        </w:rPr>
        <w:t>од</w:t>
      </w:r>
      <w:r w:rsidRPr="0096730A">
        <w:rPr>
          <w:b/>
          <w:bCs/>
          <w:sz w:val="28"/>
          <w:szCs w:val="28"/>
        </w:rPr>
        <w:t xml:space="preserve"> и плановый период 2024-2025 г</w:t>
      </w:r>
      <w:r w:rsidR="00113939" w:rsidRPr="0096730A">
        <w:rPr>
          <w:b/>
          <w:bCs/>
          <w:sz w:val="28"/>
          <w:szCs w:val="28"/>
        </w:rPr>
        <w:t>одов</w:t>
      </w:r>
      <w:bookmarkEnd w:id="5"/>
    </w:p>
    <w:p w14:paraId="37D1A768" w14:textId="5784B64F" w:rsidR="004A457A" w:rsidRDefault="004A457A" w:rsidP="004A457A">
      <w:pPr>
        <w:jc w:val="both"/>
        <w:rPr>
          <w:b/>
        </w:rPr>
      </w:pPr>
    </w:p>
    <w:p w14:paraId="1C3FADFA" w14:textId="612E0900" w:rsidR="004A457A" w:rsidRPr="001E614B" w:rsidRDefault="004A457A" w:rsidP="004E568C">
      <w:pPr>
        <w:spacing w:line="360" w:lineRule="auto"/>
        <w:ind w:firstLine="720"/>
        <w:jc w:val="both"/>
        <w:rPr>
          <w:sz w:val="28"/>
          <w:szCs w:val="20"/>
        </w:rPr>
      </w:pPr>
      <w:r w:rsidRPr="001E614B">
        <w:rPr>
          <w:sz w:val="28"/>
          <w:szCs w:val="20"/>
        </w:rPr>
        <w:t>Расходы федерального бюджета в 2023-2025 г</w:t>
      </w:r>
      <w:r w:rsidR="004E568C">
        <w:rPr>
          <w:sz w:val="28"/>
          <w:szCs w:val="20"/>
        </w:rPr>
        <w:t>одах</w:t>
      </w:r>
      <w:r w:rsidRPr="001E614B">
        <w:rPr>
          <w:sz w:val="28"/>
          <w:szCs w:val="20"/>
        </w:rPr>
        <w:t xml:space="preserve"> </w:t>
      </w:r>
      <w:r w:rsidRPr="001E614B">
        <w:rPr>
          <w:sz w:val="28"/>
          <w:szCs w:val="28"/>
        </w:rPr>
        <w:t>по разделам классификации расходов бюджетов</w:t>
      </w:r>
      <w:r w:rsidRPr="001E614B">
        <w:rPr>
          <w:sz w:val="28"/>
          <w:szCs w:val="20"/>
        </w:rPr>
        <w:t xml:space="preserve"> представлены в таблице </w:t>
      </w:r>
      <w:r w:rsidR="00901ACF">
        <w:rPr>
          <w:sz w:val="28"/>
          <w:szCs w:val="20"/>
        </w:rPr>
        <w:t>7</w:t>
      </w:r>
      <w:r w:rsidRPr="001E614B">
        <w:rPr>
          <w:sz w:val="28"/>
          <w:szCs w:val="20"/>
        </w:rPr>
        <w:t>.</w:t>
      </w:r>
    </w:p>
    <w:p w14:paraId="5B822B97" w14:textId="77777777" w:rsidR="00023A6B" w:rsidRDefault="00023A6B" w:rsidP="004A457A">
      <w:pPr>
        <w:contextualSpacing/>
        <w:jc w:val="center"/>
        <w:rPr>
          <w:b/>
        </w:rPr>
      </w:pPr>
    </w:p>
    <w:p w14:paraId="5201FF8D" w14:textId="5D2A727A" w:rsidR="004A457A" w:rsidRDefault="004A457A" w:rsidP="004E568C">
      <w:pPr>
        <w:contextualSpacing/>
        <w:jc w:val="both"/>
        <w:rPr>
          <w:bCs/>
          <w:sz w:val="28"/>
          <w:szCs w:val="28"/>
        </w:rPr>
      </w:pPr>
      <w:r w:rsidRPr="004E568C">
        <w:rPr>
          <w:bCs/>
          <w:sz w:val="28"/>
          <w:szCs w:val="28"/>
        </w:rPr>
        <w:t xml:space="preserve">Таблица </w:t>
      </w:r>
      <w:r w:rsidR="00901ACF">
        <w:rPr>
          <w:bCs/>
          <w:sz w:val="28"/>
          <w:szCs w:val="28"/>
        </w:rPr>
        <w:t>7</w:t>
      </w:r>
      <w:r w:rsidR="004E568C" w:rsidRPr="004E568C">
        <w:rPr>
          <w:bCs/>
          <w:sz w:val="28"/>
          <w:szCs w:val="28"/>
        </w:rPr>
        <w:t xml:space="preserve"> -</w:t>
      </w:r>
      <w:r w:rsidRPr="004E568C">
        <w:rPr>
          <w:bCs/>
          <w:sz w:val="28"/>
          <w:szCs w:val="28"/>
        </w:rPr>
        <w:t xml:space="preserve"> Расходы федерального бюджета в 2023-2025 г</w:t>
      </w:r>
      <w:r w:rsidR="004E568C">
        <w:rPr>
          <w:bCs/>
          <w:sz w:val="28"/>
          <w:szCs w:val="28"/>
        </w:rPr>
        <w:t xml:space="preserve">одах, </w:t>
      </w:r>
      <w:proofErr w:type="gramStart"/>
      <w:r w:rsidR="00E40C69" w:rsidRPr="004E568C">
        <w:rPr>
          <w:bCs/>
          <w:sz w:val="28"/>
          <w:szCs w:val="28"/>
        </w:rPr>
        <w:t>млн</w:t>
      </w:r>
      <w:proofErr w:type="gramEnd"/>
      <w:r w:rsidRPr="004E568C">
        <w:rPr>
          <w:bCs/>
          <w:sz w:val="28"/>
          <w:szCs w:val="28"/>
        </w:rPr>
        <w:t xml:space="preserve"> руб.</w:t>
      </w:r>
    </w:p>
    <w:p w14:paraId="6CE35EE0" w14:textId="77777777" w:rsidR="004E568C" w:rsidRPr="004E568C" w:rsidRDefault="004E568C" w:rsidP="004E568C">
      <w:pPr>
        <w:contextualSpacing/>
        <w:jc w:val="both"/>
        <w:rPr>
          <w:bCs/>
          <w:sz w:val="28"/>
          <w:szCs w:val="28"/>
        </w:rPr>
      </w:pPr>
    </w:p>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847"/>
        <w:gridCol w:w="857"/>
        <w:gridCol w:w="898"/>
        <w:gridCol w:w="706"/>
        <w:gridCol w:w="857"/>
        <w:gridCol w:w="886"/>
        <w:gridCol w:w="681"/>
        <w:gridCol w:w="898"/>
        <w:gridCol w:w="939"/>
        <w:gridCol w:w="905"/>
      </w:tblGrid>
      <w:tr w:rsidR="004A457A" w:rsidRPr="004847AD" w14:paraId="0D2192F3" w14:textId="77777777" w:rsidTr="004E568C">
        <w:trPr>
          <w:trHeight w:val="190"/>
          <w:tblHeader/>
        </w:trPr>
        <w:tc>
          <w:tcPr>
            <w:tcW w:w="658" w:type="pct"/>
            <w:vMerge w:val="restart"/>
            <w:shd w:val="clear" w:color="auto" w:fill="auto"/>
            <w:vAlign w:val="center"/>
          </w:tcPr>
          <w:p w14:paraId="31B592C0" w14:textId="77777777" w:rsidR="004A457A" w:rsidRPr="004847AD" w:rsidRDefault="004A457A">
            <w:pPr>
              <w:jc w:val="center"/>
              <w:rPr>
                <w:b/>
                <w:sz w:val="16"/>
                <w:szCs w:val="18"/>
              </w:rPr>
            </w:pPr>
            <w:r w:rsidRPr="004847AD">
              <w:rPr>
                <w:b/>
                <w:sz w:val="14"/>
                <w:szCs w:val="16"/>
              </w:rPr>
              <w:t>Наименования разделов</w:t>
            </w:r>
          </w:p>
        </w:tc>
        <w:tc>
          <w:tcPr>
            <w:tcW w:w="434" w:type="pct"/>
            <w:vMerge w:val="restart"/>
            <w:shd w:val="clear" w:color="auto" w:fill="auto"/>
            <w:tcMar>
              <w:left w:w="57" w:type="dxa"/>
              <w:right w:w="57" w:type="dxa"/>
            </w:tcMar>
            <w:vAlign w:val="center"/>
          </w:tcPr>
          <w:p w14:paraId="1DCB9104" w14:textId="77777777" w:rsidR="004A457A" w:rsidRPr="004847AD" w:rsidRDefault="004A457A">
            <w:pPr>
              <w:ind w:hanging="55"/>
              <w:jc w:val="center"/>
              <w:rPr>
                <w:b/>
                <w:color w:val="000000"/>
                <w:spacing w:val="-8"/>
                <w:sz w:val="16"/>
                <w:szCs w:val="18"/>
              </w:rPr>
            </w:pPr>
            <w:r w:rsidRPr="004847AD">
              <w:rPr>
                <w:b/>
                <w:spacing w:val="-8"/>
                <w:sz w:val="16"/>
                <w:szCs w:val="18"/>
              </w:rPr>
              <w:t>2022 год</w:t>
            </w:r>
            <w:r w:rsidRPr="004847AD">
              <w:rPr>
                <w:b/>
                <w:spacing w:val="-8"/>
                <w:sz w:val="16"/>
                <w:szCs w:val="18"/>
              </w:rPr>
              <w:br/>
              <w:t>(оценка*)</w:t>
            </w:r>
          </w:p>
        </w:tc>
        <w:tc>
          <w:tcPr>
            <w:tcW w:w="1261" w:type="pct"/>
            <w:gridSpan w:val="3"/>
            <w:shd w:val="clear" w:color="auto" w:fill="auto"/>
            <w:vAlign w:val="center"/>
          </w:tcPr>
          <w:p w14:paraId="258701F3" w14:textId="77777777" w:rsidR="004A457A" w:rsidRPr="004847AD" w:rsidRDefault="004A457A">
            <w:pPr>
              <w:ind w:left="-51" w:hanging="4"/>
              <w:jc w:val="center"/>
              <w:rPr>
                <w:b/>
                <w:color w:val="000000"/>
                <w:sz w:val="16"/>
                <w:szCs w:val="18"/>
              </w:rPr>
            </w:pPr>
            <w:r w:rsidRPr="004847AD">
              <w:rPr>
                <w:b/>
                <w:sz w:val="16"/>
                <w:szCs w:val="18"/>
              </w:rPr>
              <w:t>2023 год</w:t>
            </w:r>
          </w:p>
        </w:tc>
        <w:tc>
          <w:tcPr>
            <w:tcW w:w="1242" w:type="pct"/>
            <w:gridSpan w:val="3"/>
            <w:vAlign w:val="center"/>
          </w:tcPr>
          <w:p w14:paraId="4762834B" w14:textId="77777777" w:rsidR="004A457A" w:rsidRPr="004847AD" w:rsidRDefault="004A457A">
            <w:pPr>
              <w:ind w:hanging="55"/>
              <w:jc w:val="center"/>
              <w:rPr>
                <w:b/>
                <w:color w:val="000000"/>
                <w:sz w:val="16"/>
                <w:szCs w:val="18"/>
              </w:rPr>
            </w:pPr>
            <w:r w:rsidRPr="004847AD">
              <w:rPr>
                <w:b/>
                <w:sz w:val="16"/>
                <w:szCs w:val="18"/>
              </w:rPr>
              <w:t>2024 год</w:t>
            </w:r>
          </w:p>
        </w:tc>
        <w:tc>
          <w:tcPr>
            <w:tcW w:w="1406" w:type="pct"/>
            <w:gridSpan w:val="3"/>
          </w:tcPr>
          <w:p w14:paraId="2953C10B" w14:textId="77777777" w:rsidR="004A457A" w:rsidRPr="004847AD" w:rsidRDefault="004A457A">
            <w:pPr>
              <w:ind w:hanging="55"/>
              <w:jc w:val="center"/>
              <w:rPr>
                <w:b/>
                <w:color w:val="000000"/>
                <w:sz w:val="16"/>
                <w:szCs w:val="18"/>
              </w:rPr>
            </w:pPr>
            <w:r w:rsidRPr="004847AD">
              <w:rPr>
                <w:b/>
                <w:sz w:val="16"/>
                <w:szCs w:val="18"/>
              </w:rPr>
              <w:t>2025 год</w:t>
            </w:r>
          </w:p>
        </w:tc>
      </w:tr>
      <w:tr w:rsidR="004A457A" w:rsidRPr="004847AD" w14:paraId="6E42E27E" w14:textId="77777777" w:rsidTr="004E568C">
        <w:trPr>
          <w:trHeight w:val="190"/>
          <w:tblHeader/>
        </w:trPr>
        <w:tc>
          <w:tcPr>
            <w:tcW w:w="658" w:type="pct"/>
            <w:vMerge/>
            <w:shd w:val="clear" w:color="auto" w:fill="auto"/>
            <w:vAlign w:val="center"/>
          </w:tcPr>
          <w:p w14:paraId="5C0F207C" w14:textId="77777777" w:rsidR="004A457A" w:rsidRPr="004847AD" w:rsidRDefault="004A457A">
            <w:pPr>
              <w:rPr>
                <w:b/>
                <w:sz w:val="18"/>
                <w:szCs w:val="18"/>
              </w:rPr>
            </w:pPr>
          </w:p>
        </w:tc>
        <w:tc>
          <w:tcPr>
            <w:tcW w:w="434" w:type="pct"/>
            <w:vMerge/>
            <w:shd w:val="clear" w:color="auto" w:fill="auto"/>
            <w:vAlign w:val="center"/>
          </w:tcPr>
          <w:p w14:paraId="4B5E1554" w14:textId="77777777" w:rsidR="004A457A" w:rsidRPr="004847AD" w:rsidRDefault="004A457A">
            <w:pPr>
              <w:jc w:val="center"/>
              <w:rPr>
                <w:b/>
                <w:sz w:val="14"/>
                <w:szCs w:val="16"/>
              </w:rPr>
            </w:pPr>
          </w:p>
        </w:tc>
        <w:tc>
          <w:tcPr>
            <w:tcW w:w="439" w:type="pct"/>
            <w:shd w:val="clear" w:color="auto" w:fill="auto"/>
            <w:tcMar>
              <w:left w:w="28" w:type="dxa"/>
              <w:right w:w="28" w:type="dxa"/>
            </w:tcMar>
            <w:vAlign w:val="center"/>
          </w:tcPr>
          <w:p w14:paraId="73652103" w14:textId="77777777" w:rsidR="004A457A" w:rsidRPr="004847AD" w:rsidRDefault="004A457A">
            <w:pPr>
              <w:jc w:val="center"/>
              <w:rPr>
                <w:rFonts w:cs="Arial"/>
                <w:b/>
                <w:color w:val="000000"/>
                <w:spacing w:val="-8"/>
                <w:kern w:val="24"/>
                <w:sz w:val="16"/>
                <w:szCs w:val="18"/>
              </w:rPr>
            </w:pPr>
            <w:r w:rsidRPr="004847AD">
              <w:rPr>
                <w:rFonts w:cs="Arial"/>
                <w:b/>
                <w:color w:val="000000"/>
                <w:spacing w:val="-8"/>
                <w:kern w:val="24"/>
                <w:sz w:val="16"/>
                <w:szCs w:val="18"/>
              </w:rPr>
              <w:t xml:space="preserve">Закон </w:t>
            </w:r>
          </w:p>
          <w:p w14:paraId="09B066B4" w14:textId="77777777" w:rsidR="004A457A" w:rsidRPr="004847AD" w:rsidRDefault="004A457A">
            <w:pPr>
              <w:jc w:val="center"/>
              <w:rPr>
                <w:b/>
                <w:spacing w:val="-8"/>
                <w:sz w:val="14"/>
                <w:szCs w:val="16"/>
              </w:rPr>
            </w:pPr>
            <w:r w:rsidRPr="004847AD">
              <w:rPr>
                <w:rFonts w:cs="Arial"/>
                <w:b/>
                <w:color w:val="000000"/>
                <w:spacing w:val="-8"/>
                <w:kern w:val="24"/>
                <w:sz w:val="16"/>
                <w:szCs w:val="18"/>
              </w:rPr>
              <w:t>№ 390-ФЗ</w:t>
            </w:r>
          </w:p>
        </w:tc>
        <w:tc>
          <w:tcPr>
            <w:tcW w:w="460" w:type="pct"/>
            <w:shd w:val="clear" w:color="auto" w:fill="auto"/>
            <w:tcMar>
              <w:left w:w="28" w:type="dxa"/>
              <w:right w:w="28" w:type="dxa"/>
            </w:tcMar>
            <w:vAlign w:val="center"/>
          </w:tcPr>
          <w:p w14:paraId="4F60CF8C" w14:textId="77777777" w:rsidR="004A457A" w:rsidRPr="004847AD" w:rsidRDefault="004A457A">
            <w:pPr>
              <w:jc w:val="center"/>
              <w:rPr>
                <w:b/>
                <w:spacing w:val="-8"/>
                <w:sz w:val="14"/>
                <w:szCs w:val="16"/>
              </w:rPr>
            </w:pPr>
            <w:proofErr w:type="spellStart"/>
            <w:proofErr w:type="gramStart"/>
            <w:r w:rsidRPr="004847AD">
              <w:rPr>
                <w:rFonts w:cs="Arial"/>
                <w:b/>
                <w:color w:val="000000"/>
                <w:spacing w:val="-8"/>
                <w:kern w:val="24"/>
                <w:sz w:val="16"/>
                <w:szCs w:val="18"/>
              </w:rPr>
              <w:t>Законо</w:t>
            </w:r>
            <w:proofErr w:type="spellEnd"/>
            <w:r w:rsidRPr="004847AD">
              <w:rPr>
                <w:rFonts w:cs="Arial"/>
                <w:b/>
                <w:color w:val="000000"/>
                <w:spacing w:val="-8"/>
                <w:kern w:val="24"/>
                <w:sz w:val="16"/>
                <w:szCs w:val="18"/>
              </w:rPr>
              <w:t>-проект</w:t>
            </w:r>
            <w:proofErr w:type="gramEnd"/>
          </w:p>
        </w:tc>
        <w:tc>
          <w:tcPr>
            <w:tcW w:w="362" w:type="pct"/>
            <w:tcMar>
              <w:left w:w="28" w:type="dxa"/>
              <w:right w:w="28" w:type="dxa"/>
            </w:tcMar>
            <w:vAlign w:val="center"/>
          </w:tcPr>
          <w:p w14:paraId="500704A0" w14:textId="77777777" w:rsidR="004A457A" w:rsidRPr="004847AD" w:rsidRDefault="004A457A">
            <w:pPr>
              <w:jc w:val="center"/>
              <w:rPr>
                <w:b/>
                <w:spacing w:val="-8"/>
                <w:sz w:val="14"/>
                <w:szCs w:val="16"/>
              </w:rPr>
            </w:pPr>
            <w:r w:rsidRPr="004847AD">
              <w:rPr>
                <w:b/>
                <w:spacing w:val="-8"/>
                <w:sz w:val="16"/>
                <w:szCs w:val="18"/>
              </w:rPr>
              <w:t>Δ к закону, %</w:t>
            </w:r>
          </w:p>
        </w:tc>
        <w:tc>
          <w:tcPr>
            <w:tcW w:w="439" w:type="pct"/>
            <w:tcMar>
              <w:left w:w="28" w:type="dxa"/>
              <w:right w:w="28" w:type="dxa"/>
            </w:tcMar>
            <w:vAlign w:val="center"/>
          </w:tcPr>
          <w:p w14:paraId="38495501" w14:textId="77777777" w:rsidR="004A457A" w:rsidRPr="004847AD" w:rsidRDefault="004A457A">
            <w:pPr>
              <w:jc w:val="center"/>
              <w:rPr>
                <w:rFonts w:cs="Arial"/>
                <w:b/>
                <w:color w:val="000000"/>
                <w:spacing w:val="-8"/>
                <w:kern w:val="24"/>
                <w:sz w:val="16"/>
                <w:szCs w:val="18"/>
              </w:rPr>
            </w:pPr>
            <w:r w:rsidRPr="004847AD">
              <w:rPr>
                <w:rFonts w:cs="Arial"/>
                <w:b/>
                <w:color w:val="000000"/>
                <w:spacing w:val="-8"/>
                <w:kern w:val="24"/>
                <w:sz w:val="16"/>
                <w:szCs w:val="18"/>
              </w:rPr>
              <w:t xml:space="preserve">Закон </w:t>
            </w:r>
          </w:p>
          <w:p w14:paraId="704EC9E6" w14:textId="77777777" w:rsidR="004A457A" w:rsidRPr="004847AD" w:rsidRDefault="004A457A">
            <w:pPr>
              <w:jc w:val="center"/>
              <w:rPr>
                <w:b/>
                <w:spacing w:val="-8"/>
                <w:sz w:val="14"/>
                <w:szCs w:val="16"/>
              </w:rPr>
            </w:pPr>
            <w:r w:rsidRPr="004847AD">
              <w:rPr>
                <w:rFonts w:cs="Arial"/>
                <w:b/>
                <w:color w:val="000000"/>
                <w:spacing w:val="-8"/>
                <w:kern w:val="24"/>
                <w:sz w:val="16"/>
                <w:szCs w:val="18"/>
              </w:rPr>
              <w:t>№ 390-ФЗ</w:t>
            </w:r>
          </w:p>
        </w:tc>
        <w:tc>
          <w:tcPr>
            <w:tcW w:w="454" w:type="pct"/>
            <w:shd w:val="clear" w:color="auto" w:fill="auto"/>
            <w:tcMar>
              <w:left w:w="28" w:type="dxa"/>
              <w:right w:w="28" w:type="dxa"/>
            </w:tcMar>
            <w:vAlign w:val="center"/>
          </w:tcPr>
          <w:p w14:paraId="19A461C9" w14:textId="77777777" w:rsidR="004A457A" w:rsidRPr="004847AD" w:rsidRDefault="004A457A">
            <w:pPr>
              <w:jc w:val="center"/>
              <w:rPr>
                <w:b/>
                <w:spacing w:val="-8"/>
                <w:sz w:val="14"/>
                <w:szCs w:val="16"/>
              </w:rPr>
            </w:pPr>
            <w:proofErr w:type="spellStart"/>
            <w:proofErr w:type="gramStart"/>
            <w:r w:rsidRPr="004847AD">
              <w:rPr>
                <w:rFonts w:cs="Arial"/>
                <w:b/>
                <w:color w:val="000000"/>
                <w:spacing w:val="-8"/>
                <w:kern w:val="24"/>
                <w:sz w:val="16"/>
                <w:szCs w:val="18"/>
              </w:rPr>
              <w:t>Законо</w:t>
            </w:r>
            <w:proofErr w:type="spellEnd"/>
            <w:r w:rsidRPr="004847AD">
              <w:rPr>
                <w:rFonts w:cs="Arial"/>
                <w:b/>
                <w:color w:val="000000"/>
                <w:spacing w:val="-8"/>
                <w:kern w:val="24"/>
                <w:sz w:val="16"/>
                <w:szCs w:val="18"/>
              </w:rPr>
              <w:t>-проект</w:t>
            </w:r>
            <w:proofErr w:type="gramEnd"/>
          </w:p>
        </w:tc>
        <w:tc>
          <w:tcPr>
            <w:tcW w:w="349" w:type="pct"/>
            <w:tcMar>
              <w:left w:w="28" w:type="dxa"/>
              <w:right w:w="28" w:type="dxa"/>
            </w:tcMar>
            <w:vAlign w:val="center"/>
          </w:tcPr>
          <w:p w14:paraId="52481EC8" w14:textId="77777777" w:rsidR="004A457A" w:rsidRPr="004847AD" w:rsidRDefault="004A457A">
            <w:pPr>
              <w:jc w:val="center"/>
              <w:rPr>
                <w:b/>
                <w:spacing w:val="-8"/>
                <w:sz w:val="14"/>
                <w:szCs w:val="16"/>
              </w:rPr>
            </w:pPr>
            <w:r w:rsidRPr="004847AD">
              <w:rPr>
                <w:b/>
                <w:spacing w:val="-8"/>
                <w:sz w:val="16"/>
                <w:szCs w:val="18"/>
              </w:rPr>
              <w:t>Δ к закону, %</w:t>
            </w:r>
          </w:p>
        </w:tc>
        <w:tc>
          <w:tcPr>
            <w:tcW w:w="460" w:type="pct"/>
            <w:tcMar>
              <w:left w:w="28" w:type="dxa"/>
              <w:right w:w="28" w:type="dxa"/>
            </w:tcMar>
            <w:vAlign w:val="center"/>
          </w:tcPr>
          <w:p w14:paraId="33D1B26D" w14:textId="77777777" w:rsidR="004A457A" w:rsidRPr="004847AD" w:rsidRDefault="004A457A">
            <w:pPr>
              <w:jc w:val="center"/>
              <w:rPr>
                <w:rFonts w:cs="Arial"/>
                <w:b/>
                <w:color w:val="000000"/>
                <w:spacing w:val="-8"/>
                <w:kern w:val="24"/>
                <w:sz w:val="16"/>
                <w:szCs w:val="18"/>
              </w:rPr>
            </w:pPr>
            <w:r w:rsidRPr="004847AD">
              <w:rPr>
                <w:rFonts w:cs="Arial"/>
                <w:b/>
                <w:color w:val="000000"/>
                <w:spacing w:val="-8"/>
                <w:kern w:val="24"/>
                <w:sz w:val="16"/>
                <w:szCs w:val="18"/>
              </w:rPr>
              <w:t>Бюджетный прогноз**</w:t>
            </w:r>
          </w:p>
        </w:tc>
        <w:tc>
          <w:tcPr>
            <w:tcW w:w="481" w:type="pct"/>
            <w:shd w:val="clear" w:color="auto" w:fill="auto"/>
            <w:tcMar>
              <w:left w:w="28" w:type="dxa"/>
              <w:right w:w="28" w:type="dxa"/>
            </w:tcMar>
            <w:vAlign w:val="center"/>
          </w:tcPr>
          <w:p w14:paraId="0EB6DC4A" w14:textId="77777777" w:rsidR="004A457A" w:rsidRPr="004847AD" w:rsidRDefault="004A457A">
            <w:pPr>
              <w:jc w:val="center"/>
              <w:rPr>
                <w:rFonts w:cs="Arial"/>
                <w:b/>
                <w:color w:val="000000"/>
                <w:spacing w:val="-8"/>
                <w:kern w:val="24"/>
                <w:sz w:val="16"/>
                <w:szCs w:val="18"/>
              </w:rPr>
            </w:pPr>
            <w:proofErr w:type="spellStart"/>
            <w:r w:rsidRPr="004847AD">
              <w:rPr>
                <w:rFonts w:cs="Arial"/>
                <w:b/>
                <w:color w:val="000000"/>
                <w:spacing w:val="-8"/>
                <w:kern w:val="24"/>
                <w:sz w:val="16"/>
                <w:szCs w:val="18"/>
              </w:rPr>
              <w:t>Законо</w:t>
            </w:r>
            <w:proofErr w:type="spellEnd"/>
            <w:r w:rsidRPr="004847AD">
              <w:rPr>
                <w:rFonts w:cs="Arial"/>
                <w:b/>
                <w:color w:val="000000"/>
                <w:spacing w:val="-8"/>
                <w:kern w:val="24"/>
                <w:sz w:val="16"/>
                <w:szCs w:val="18"/>
              </w:rPr>
              <w:t>-</w:t>
            </w:r>
          </w:p>
          <w:p w14:paraId="182DAA73" w14:textId="77777777" w:rsidR="004A457A" w:rsidRPr="004847AD" w:rsidRDefault="004A457A">
            <w:pPr>
              <w:jc w:val="center"/>
              <w:rPr>
                <w:b/>
                <w:spacing w:val="-8"/>
                <w:sz w:val="14"/>
                <w:szCs w:val="16"/>
              </w:rPr>
            </w:pPr>
            <w:r w:rsidRPr="004847AD">
              <w:rPr>
                <w:rFonts w:cs="Arial"/>
                <w:b/>
                <w:color w:val="000000"/>
                <w:spacing w:val="-8"/>
                <w:kern w:val="24"/>
                <w:sz w:val="16"/>
                <w:szCs w:val="18"/>
              </w:rPr>
              <w:t>проект</w:t>
            </w:r>
          </w:p>
        </w:tc>
        <w:tc>
          <w:tcPr>
            <w:tcW w:w="465" w:type="pct"/>
            <w:tcMar>
              <w:left w:w="28" w:type="dxa"/>
              <w:right w:w="28" w:type="dxa"/>
            </w:tcMar>
            <w:vAlign w:val="center"/>
          </w:tcPr>
          <w:p w14:paraId="2AF0ADA8" w14:textId="77777777" w:rsidR="004A457A" w:rsidRPr="004847AD" w:rsidRDefault="004A457A">
            <w:pPr>
              <w:jc w:val="center"/>
              <w:rPr>
                <w:b/>
                <w:spacing w:val="-8"/>
                <w:sz w:val="14"/>
                <w:szCs w:val="16"/>
              </w:rPr>
            </w:pPr>
            <w:r w:rsidRPr="004847AD">
              <w:rPr>
                <w:b/>
                <w:spacing w:val="-8"/>
                <w:sz w:val="16"/>
                <w:szCs w:val="18"/>
              </w:rPr>
              <w:t>Δ к Бюджетному прогнозу, %</w:t>
            </w:r>
          </w:p>
        </w:tc>
      </w:tr>
      <w:tr w:rsidR="004A457A" w:rsidRPr="001E614B" w14:paraId="4D36E487" w14:textId="77777777" w:rsidTr="004E568C">
        <w:trPr>
          <w:trHeight w:val="190"/>
          <w:tblHeader/>
        </w:trPr>
        <w:tc>
          <w:tcPr>
            <w:tcW w:w="658" w:type="pct"/>
            <w:shd w:val="clear" w:color="auto" w:fill="auto"/>
            <w:tcMar>
              <w:left w:w="28" w:type="dxa"/>
              <w:right w:w="28" w:type="dxa"/>
            </w:tcMar>
            <w:vAlign w:val="center"/>
          </w:tcPr>
          <w:p w14:paraId="16F7DB29" w14:textId="77777777" w:rsidR="004A457A" w:rsidRPr="001E614B" w:rsidRDefault="004A457A">
            <w:pPr>
              <w:jc w:val="center"/>
              <w:rPr>
                <w:sz w:val="14"/>
                <w:szCs w:val="14"/>
              </w:rPr>
            </w:pPr>
            <w:r w:rsidRPr="001E614B">
              <w:rPr>
                <w:sz w:val="14"/>
                <w:szCs w:val="14"/>
              </w:rPr>
              <w:t>1</w:t>
            </w:r>
          </w:p>
        </w:tc>
        <w:tc>
          <w:tcPr>
            <w:tcW w:w="434" w:type="pct"/>
            <w:shd w:val="clear" w:color="auto" w:fill="auto"/>
            <w:tcMar>
              <w:left w:w="28" w:type="dxa"/>
              <w:right w:w="28" w:type="dxa"/>
            </w:tcMar>
            <w:vAlign w:val="center"/>
          </w:tcPr>
          <w:p w14:paraId="3D9F7036" w14:textId="77777777" w:rsidR="004A457A" w:rsidRPr="001E614B" w:rsidRDefault="004A457A">
            <w:pPr>
              <w:ind w:hanging="55"/>
              <w:jc w:val="center"/>
              <w:rPr>
                <w:color w:val="000000"/>
                <w:sz w:val="14"/>
                <w:szCs w:val="14"/>
              </w:rPr>
            </w:pPr>
            <w:r w:rsidRPr="001E614B">
              <w:rPr>
                <w:sz w:val="14"/>
                <w:szCs w:val="14"/>
              </w:rPr>
              <w:t>2</w:t>
            </w:r>
          </w:p>
        </w:tc>
        <w:tc>
          <w:tcPr>
            <w:tcW w:w="439" w:type="pct"/>
            <w:shd w:val="clear" w:color="auto" w:fill="auto"/>
            <w:tcMar>
              <w:left w:w="28" w:type="dxa"/>
              <w:right w:w="28" w:type="dxa"/>
            </w:tcMar>
            <w:vAlign w:val="center"/>
          </w:tcPr>
          <w:p w14:paraId="28A0A9ED" w14:textId="77777777" w:rsidR="004A457A" w:rsidRPr="001E614B" w:rsidRDefault="004A457A">
            <w:pPr>
              <w:jc w:val="center"/>
              <w:rPr>
                <w:sz w:val="14"/>
                <w:szCs w:val="14"/>
              </w:rPr>
            </w:pPr>
            <w:r w:rsidRPr="001E614B">
              <w:rPr>
                <w:sz w:val="14"/>
                <w:szCs w:val="14"/>
              </w:rPr>
              <w:t>3</w:t>
            </w:r>
          </w:p>
        </w:tc>
        <w:tc>
          <w:tcPr>
            <w:tcW w:w="460" w:type="pct"/>
            <w:shd w:val="clear" w:color="auto" w:fill="auto"/>
            <w:tcMar>
              <w:left w:w="28" w:type="dxa"/>
              <w:right w:w="28" w:type="dxa"/>
            </w:tcMar>
            <w:vAlign w:val="center"/>
          </w:tcPr>
          <w:p w14:paraId="36A3A890" w14:textId="77777777" w:rsidR="004A457A" w:rsidRPr="001E614B" w:rsidRDefault="004A457A">
            <w:pPr>
              <w:jc w:val="center"/>
              <w:rPr>
                <w:sz w:val="14"/>
                <w:szCs w:val="14"/>
              </w:rPr>
            </w:pPr>
            <w:r w:rsidRPr="001E614B">
              <w:rPr>
                <w:sz w:val="14"/>
                <w:szCs w:val="14"/>
              </w:rPr>
              <w:t>4</w:t>
            </w:r>
          </w:p>
        </w:tc>
        <w:tc>
          <w:tcPr>
            <w:tcW w:w="362" w:type="pct"/>
            <w:tcMar>
              <w:left w:w="28" w:type="dxa"/>
              <w:right w:w="28" w:type="dxa"/>
            </w:tcMar>
            <w:vAlign w:val="center"/>
          </w:tcPr>
          <w:p w14:paraId="3F867062" w14:textId="77777777" w:rsidR="004A457A" w:rsidRPr="001E614B" w:rsidRDefault="004A457A">
            <w:pPr>
              <w:jc w:val="center"/>
              <w:rPr>
                <w:sz w:val="14"/>
                <w:szCs w:val="14"/>
              </w:rPr>
            </w:pPr>
            <w:r w:rsidRPr="001E614B">
              <w:rPr>
                <w:sz w:val="14"/>
                <w:szCs w:val="14"/>
              </w:rPr>
              <w:t>5=4/3*100</w:t>
            </w:r>
          </w:p>
        </w:tc>
        <w:tc>
          <w:tcPr>
            <w:tcW w:w="439" w:type="pct"/>
            <w:tcMar>
              <w:left w:w="28" w:type="dxa"/>
              <w:right w:w="28" w:type="dxa"/>
            </w:tcMar>
            <w:vAlign w:val="center"/>
          </w:tcPr>
          <w:p w14:paraId="239231CD" w14:textId="77777777" w:rsidR="004A457A" w:rsidRPr="001E614B" w:rsidRDefault="004A457A">
            <w:pPr>
              <w:ind w:hanging="55"/>
              <w:jc w:val="center"/>
              <w:rPr>
                <w:color w:val="000000"/>
                <w:sz w:val="14"/>
                <w:szCs w:val="14"/>
              </w:rPr>
            </w:pPr>
            <w:r w:rsidRPr="001E614B">
              <w:rPr>
                <w:color w:val="000000"/>
                <w:sz w:val="14"/>
                <w:szCs w:val="14"/>
              </w:rPr>
              <w:t>6</w:t>
            </w:r>
          </w:p>
        </w:tc>
        <w:tc>
          <w:tcPr>
            <w:tcW w:w="454" w:type="pct"/>
            <w:shd w:val="clear" w:color="auto" w:fill="auto"/>
            <w:tcMar>
              <w:left w:w="28" w:type="dxa"/>
              <w:right w:w="28" w:type="dxa"/>
            </w:tcMar>
            <w:vAlign w:val="center"/>
          </w:tcPr>
          <w:p w14:paraId="3A8D42EA" w14:textId="77777777" w:rsidR="004A457A" w:rsidRPr="001E614B" w:rsidRDefault="004A457A">
            <w:pPr>
              <w:ind w:hanging="55"/>
              <w:jc w:val="center"/>
              <w:rPr>
                <w:color w:val="000000"/>
                <w:sz w:val="14"/>
                <w:szCs w:val="14"/>
              </w:rPr>
            </w:pPr>
            <w:r w:rsidRPr="001E614B">
              <w:rPr>
                <w:color w:val="000000"/>
                <w:sz w:val="14"/>
                <w:szCs w:val="14"/>
              </w:rPr>
              <w:t>7</w:t>
            </w:r>
          </w:p>
        </w:tc>
        <w:tc>
          <w:tcPr>
            <w:tcW w:w="349" w:type="pct"/>
            <w:tcMar>
              <w:left w:w="28" w:type="dxa"/>
              <w:right w:w="28" w:type="dxa"/>
            </w:tcMar>
            <w:vAlign w:val="center"/>
          </w:tcPr>
          <w:p w14:paraId="584CE2BF" w14:textId="77777777" w:rsidR="004A457A" w:rsidRPr="001E614B" w:rsidRDefault="004A457A">
            <w:pPr>
              <w:ind w:hanging="55"/>
              <w:jc w:val="center"/>
              <w:rPr>
                <w:color w:val="000000"/>
                <w:sz w:val="14"/>
                <w:szCs w:val="14"/>
              </w:rPr>
            </w:pPr>
            <w:r w:rsidRPr="001E614B">
              <w:rPr>
                <w:color w:val="000000"/>
                <w:sz w:val="14"/>
                <w:szCs w:val="14"/>
              </w:rPr>
              <w:t>8=7/6*100</w:t>
            </w:r>
          </w:p>
        </w:tc>
        <w:tc>
          <w:tcPr>
            <w:tcW w:w="460" w:type="pct"/>
            <w:tcMar>
              <w:left w:w="28" w:type="dxa"/>
              <w:right w:w="28" w:type="dxa"/>
            </w:tcMar>
            <w:vAlign w:val="center"/>
          </w:tcPr>
          <w:p w14:paraId="18A3AE21" w14:textId="77777777" w:rsidR="004A457A" w:rsidRPr="001E614B" w:rsidRDefault="004A457A">
            <w:pPr>
              <w:ind w:hanging="55"/>
              <w:jc w:val="center"/>
              <w:rPr>
                <w:color w:val="000000"/>
                <w:sz w:val="14"/>
                <w:szCs w:val="14"/>
              </w:rPr>
            </w:pPr>
            <w:r w:rsidRPr="001E614B">
              <w:rPr>
                <w:color w:val="000000"/>
                <w:sz w:val="14"/>
                <w:szCs w:val="14"/>
              </w:rPr>
              <w:t>9</w:t>
            </w:r>
          </w:p>
        </w:tc>
        <w:tc>
          <w:tcPr>
            <w:tcW w:w="481" w:type="pct"/>
            <w:shd w:val="clear" w:color="auto" w:fill="auto"/>
            <w:tcMar>
              <w:left w:w="28" w:type="dxa"/>
              <w:right w:w="28" w:type="dxa"/>
            </w:tcMar>
            <w:vAlign w:val="center"/>
          </w:tcPr>
          <w:p w14:paraId="5A5BDB50" w14:textId="77777777" w:rsidR="004A457A" w:rsidRPr="001E614B" w:rsidRDefault="004A457A">
            <w:pPr>
              <w:ind w:hanging="55"/>
              <w:jc w:val="center"/>
              <w:rPr>
                <w:color w:val="000000"/>
                <w:sz w:val="14"/>
                <w:szCs w:val="14"/>
              </w:rPr>
            </w:pPr>
            <w:r w:rsidRPr="001E614B">
              <w:rPr>
                <w:color w:val="000000"/>
                <w:sz w:val="14"/>
                <w:szCs w:val="14"/>
              </w:rPr>
              <w:t>10</w:t>
            </w:r>
          </w:p>
        </w:tc>
        <w:tc>
          <w:tcPr>
            <w:tcW w:w="465" w:type="pct"/>
            <w:tcMar>
              <w:left w:w="28" w:type="dxa"/>
              <w:right w:w="28" w:type="dxa"/>
            </w:tcMar>
            <w:vAlign w:val="center"/>
          </w:tcPr>
          <w:p w14:paraId="10F9762A" w14:textId="77777777" w:rsidR="004A457A" w:rsidRPr="001E614B" w:rsidRDefault="004A457A">
            <w:pPr>
              <w:ind w:hanging="55"/>
              <w:jc w:val="center"/>
              <w:rPr>
                <w:color w:val="000000"/>
                <w:sz w:val="14"/>
                <w:szCs w:val="14"/>
              </w:rPr>
            </w:pPr>
            <w:r w:rsidRPr="001E614B">
              <w:rPr>
                <w:color w:val="000000"/>
                <w:sz w:val="14"/>
                <w:szCs w:val="14"/>
              </w:rPr>
              <w:t>11=10/9*100</w:t>
            </w:r>
          </w:p>
        </w:tc>
      </w:tr>
      <w:tr w:rsidR="004A457A" w:rsidRPr="001E614B" w14:paraId="1E5C589D" w14:textId="77777777" w:rsidTr="004E568C">
        <w:trPr>
          <w:trHeight w:val="190"/>
        </w:trPr>
        <w:tc>
          <w:tcPr>
            <w:tcW w:w="658" w:type="pct"/>
            <w:shd w:val="clear" w:color="auto" w:fill="auto"/>
            <w:vAlign w:val="center"/>
          </w:tcPr>
          <w:p w14:paraId="4DE9DC85" w14:textId="77777777" w:rsidR="004A457A" w:rsidRPr="001E614B" w:rsidRDefault="004A457A">
            <w:pPr>
              <w:rPr>
                <w:sz w:val="16"/>
                <w:szCs w:val="18"/>
              </w:rPr>
            </w:pPr>
            <w:r w:rsidRPr="001E614B">
              <w:rPr>
                <w:sz w:val="16"/>
                <w:szCs w:val="18"/>
              </w:rPr>
              <w:t>ВСЕГО</w:t>
            </w:r>
          </w:p>
        </w:tc>
        <w:tc>
          <w:tcPr>
            <w:tcW w:w="434" w:type="pct"/>
            <w:shd w:val="clear" w:color="auto" w:fill="auto"/>
            <w:tcMar>
              <w:left w:w="57" w:type="dxa"/>
              <w:right w:w="57" w:type="dxa"/>
            </w:tcMar>
            <w:vAlign w:val="center"/>
          </w:tcPr>
          <w:p w14:paraId="1FBDAD1D" w14:textId="77777777" w:rsidR="004A457A" w:rsidRPr="001E614B" w:rsidRDefault="004A457A">
            <w:pPr>
              <w:jc w:val="center"/>
              <w:rPr>
                <w:sz w:val="14"/>
                <w:szCs w:val="16"/>
              </w:rPr>
            </w:pPr>
            <w:r w:rsidRPr="001E614B">
              <w:rPr>
                <w:b/>
                <w:bCs/>
                <w:color w:val="000000"/>
                <w:sz w:val="14"/>
                <w:szCs w:val="14"/>
              </w:rPr>
              <w:t>27 614 091,0</w:t>
            </w:r>
          </w:p>
        </w:tc>
        <w:tc>
          <w:tcPr>
            <w:tcW w:w="439" w:type="pct"/>
            <w:shd w:val="clear" w:color="auto" w:fill="auto"/>
            <w:tcMar>
              <w:left w:w="57" w:type="dxa"/>
              <w:right w:w="57" w:type="dxa"/>
            </w:tcMar>
            <w:vAlign w:val="center"/>
          </w:tcPr>
          <w:p w14:paraId="4AA7005C" w14:textId="77777777" w:rsidR="004A457A" w:rsidRPr="001E614B" w:rsidRDefault="004A457A">
            <w:pPr>
              <w:jc w:val="center"/>
              <w:rPr>
                <w:sz w:val="14"/>
                <w:szCs w:val="16"/>
              </w:rPr>
            </w:pPr>
            <w:r w:rsidRPr="001E614B">
              <w:rPr>
                <w:b/>
                <w:bCs/>
                <w:color w:val="000000"/>
                <w:sz w:val="14"/>
                <w:szCs w:val="14"/>
              </w:rPr>
              <w:t>25 241 076,0</w:t>
            </w:r>
          </w:p>
        </w:tc>
        <w:tc>
          <w:tcPr>
            <w:tcW w:w="460" w:type="pct"/>
            <w:shd w:val="clear" w:color="auto" w:fill="auto"/>
            <w:tcMar>
              <w:left w:w="57" w:type="dxa"/>
              <w:right w:w="57" w:type="dxa"/>
            </w:tcMar>
            <w:vAlign w:val="center"/>
          </w:tcPr>
          <w:p w14:paraId="03C5A690" w14:textId="77777777" w:rsidR="004A457A" w:rsidRPr="001E614B" w:rsidRDefault="004A457A">
            <w:pPr>
              <w:jc w:val="center"/>
              <w:rPr>
                <w:sz w:val="14"/>
                <w:szCs w:val="16"/>
              </w:rPr>
            </w:pPr>
            <w:r w:rsidRPr="001E614B">
              <w:rPr>
                <w:b/>
                <w:bCs/>
                <w:color w:val="000000"/>
                <w:sz w:val="14"/>
                <w:szCs w:val="14"/>
              </w:rPr>
              <w:t>29 055 564,3</w:t>
            </w:r>
          </w:p>
        </w:tc>
        <w:tc>
          <w:tcPr>
            <w:tcW w:w="362" w:type="pct"/>
            <w:tcMar>
              <w:left w:w="57" w:type="dxa"/>
              <w:right w:w="57" w:type="dxa"/>
            </w:tcMar>
            <w:vAlign w:val="center"/>
          </w:tcPr>
          <w:p w14:paraId="50938D52" w14:textId="77777777" w:rsidR="004A457A" w:rsidRPr="001E614B" w:rsidRDefault="004A457A">
            <w:pPr>
              <w:jc w:val="center"/>
              <w:rPr>
                <w:sz w:val="14"/>
                <w:szCs w:val="16"/>
              </w:rPr>
            </w:pPr>
            <w:r w:rsidRPr="001E614B">
              <w:rPr>
                <w:b/>
                <w:bCs/>
                <w:i/>
                <w:iCs/>
                <w:color w:val="000000"/>
                <w:sz w:val="14"/>
                <w:szCs w:val="14"/>
              </w:rPr>
              <w:t>115,1</w:t>
            </w:r>
          </w:p>
        </w:tc>
        <w:tc>
          <w:tcPr>
            <w:tcW w:w="439" w:type="pct"/>
            <w:tcMar>
              <w:left w:w="57" w:type="dxa"/>
              <w:right w:w="57" w:type="dxa"/>
            </w:tcMar>
            <w:vAlign w:val="center"/>
          </w:tcPr>
          <w:p w14:paraId="47A166AB" w14:textId="77777777" w:rsidR="004A457A" w:rsidRPr="001E614B" w:rsidRDefault="004A457A">
            <w:pPr>
              <w:jc w:val="center"/>
              <w:rPr>
                <w:sz w:val="14"/>
                <w:szCs w:val="16"/>
              </w:rPr>
            </w:pPr>
            <w:r w:rsidRPr="001E614B">
              <w:rPr>
                <w:b/>
                <w:bCs/>
                <w:color w:val="000000"/>
                <w:sz w:val="14"/>
                <w:szCs w:val="14"/>
              </w:rPr>
              <w:t>26 354 401,3</w:t>
            </w:r>
          </w:p>
        </w:tc>
        <w:tc>
          <w:tcPr>
            <w:tcW w:w="454" w:type="pct"/>
            <w:shd w:val="clear" w:color="auto" w:fill="auto"/>
            <w:tcMar>
              <w:left w:w="57" w:type="dxa"/>
              <w:right w:w="57" w:type="dxa"/>
            </w:tcMar>
            <w:vAlign w:val="center"/>
          </w:tcPr>
          <w:p w14:paraId="15EC8CD5" w14:textId="77777777" w:rsidR="004A457A" w:rsidRPr="001E614B" w:rsidRDefault="004A457A">
            <w:pPr>
              <w:jc w:val="center"/>
              <w:rPr>
                <w:sz w:val="14"/>
                <w:szCs w:val="16"/>
              </w:rPr>
            </w:pPr>
            <w:r w:rsidRPr="001E614B">
              <w:rPr>
                <w:b/>
                <w:bCs/>
                <w:color w:val="000000"/>
                <w:sz w:val="14"/>
                <w:szCs w:val="14"/>
              </w:rPr>
              <w:t>29 432 476,4</w:t>
            </w:r>
          </w:p>
        </w:tc>
        <w:tc>
          <w:tcPr>
            <w:tcW w:w="349" w:type="pct"/>
            <w:tcMar>
              <w:left w:w="57" w:type="dxa"/>
              <w:right w:w="57" w:type="dxa"/>
            </w:tcMar>
            <w:vAlign w:val="center"/>
          </w:tcPr>
          <w:p w14:paraId="2EE391A2" w14:textId="77777777" w:rsidR="004A457A" w:rsidRPr="001E614B" w:rsidRDefault="004A457A">
            <w:pPr>
              <w:jc w:val="center"/>
              <w:rPr>
                <w:sz w:val="14"/>
                <w:szCs w:val="16"/>
              </w:rPr>
            </w:pPr>
            <w:r w:rsidRPr="001E614B">
              <w:rPr>
                <w:b/>
                <w:bCs/>
                <w:i/>
                <w:iCs/>
                <w:color w:val="000000"/>
                <w:sz w:val="14"/>
                <w:szCs w:val="14"/>
              </w:rPr>
              <w:t>111,7</w:t>
            </w:r>
          </w:p>
        </w:tc>
        <w:tc>
          <w:tcPr>
            <w:tcW w:w="460" w:type="pct"/>
            <w:tcMar>
              <w:left w:w="57" w:type="dxa"/>
              <w:right w:w="57" w:type="dxa"/>
            </w:tcMar>
            <w:vAlign w:val="center"/>
          </w:tcPr>
          <w:p w14:paraId="6B56CDEA" w14:textId="77777777" w:rsidR="004A457A" w:rsidRPr="001E614B" w:rsidRDefault="004A457A">
            <w:pPr>
              <w:jc w:val="center"/>
              <w:rPr>
                <w:color w:val="000000"/>
                <w:sz w:val="14"/>
                <w:szCs w:val="14"/>
              </w:rPr>
            </w:pPr>
            <w:r w:rsidRPr="001E614B">
              <w:rPr>
                <w:b/>
                <w:bCs/>
                <w:color w:val="000000"/>
                <w:sz w:val="14"/>
                <w:szCs w:val="14"/>
              </w:rPr>
              <w:t>26 040 016,2</w:t>
            </w:r>
          </w:p>
        </w:tc>
        <w:tc>
          <w:tcPr>
            <w:tcW w:w="481" w:type="pct"/>
            <w:shd w:val="clear" w:color="auto" w:fill="auto"/>
            <w:tcMar>
              <w:left w:w="57" w:type="dxa"/>
              <w:right w:w="57" w:type="dxa"/>
            </w:tcMar>
            <w:vAlign w:val="center"/>
          </w:tcPr>
          <w:p w14:paraId="7C267095" w14:textId="77777777" w:rsidR="004A457A" w:rsidRPr="001E614B" w:rsidRDefault="004A457A">
            <w:pPr>
              <w:jc w:val="center"/>
              <w:rPr>
                <w:sz w:val="14"/>
                <w:szCs w:val="16"/>
              </w:rPr>
            </w:pPr>
            <w:r w:rsidRPr="001E614B">
              <w:rPr>
                <w:b/>
                <w:bCs/>
                <w:color w:val="000000"/>
                <w:sz w:val="14"/>
                <w:szCs w:val="14"/>
              </w:rPr>
              <w:t>29 243 748,6</w:t>
            </w:r>
          </w:p>
        </w:tc>
        <w:tc>
          <w:tcPr>
            <w:tcW w:w="465" w:type="pct"/>
            <w:tcMar>
              <w:left w:w="57" w:type="dxa"/>
              <w:right w:w="57" w:type="dxa"/>
            </w:tcMar>
            <w:vAlign w:val="center"/>
          </w:tcPr>
          <w:p w14:paraId="69B9F797" w14:textId="77777777" w:rsidR="004A457A" w:rsidRPr="001E614B" w:rsidRDefault="004A457A">
            <w:pPr>
              <w:jc w:val="center"/>
              <w:rPr>
                <w:sz w:val="14"/>
                <w:szCs w:val="16"/>
              </w:rPr>
            </w:pPr>
            <w:r w:rsidRPr="001E614B">
              <w:rPr>
                <w:b/>
                <w:bCs/>
                <w:i/>
                <w:iCs/>
                <w:color w:val="000000"/>
                <w:sz w:val="14"/>
                <w:szCs w:val="14"/>
              </w:rPr>
              <w:t>112,3</w:t>
            </w:r>
          </w:p>
        </w:tc>
      </w:tr>
      <w:tr w:rsidR="004A457A" w:rsidRPr="001E614B" w14:paraId="6B361C66" w14:textId="77777777" w:rsidTr="004E568C">
        <w:trPr>
          <w:trHeight w:val="190"/>
        </w:trPr>
        <w:tc>
          <w:tcPr>
            <w:tcW w:w="658" w:type="pct"/>
            <w:shd w:val="clear" w:color="auto" w:fill="auto"/>
            <w:vAlign w:val="center"/>
          </w:tcPr>
          <w:p w14:paraId="57C04312" w14:textId="77777777" w:rsidR="004A457A" w:rsidRPr="001E614B" w:rsidRDefault="004A457A">
            <w:pPr>
              <w:rPr>
                <w:b/>
                <w:i/>
                <w:sz w:val="16"/>
                <w:szCs w:val="18"/>
              </w:rPr>
            </w:pPr>
            <w:r w:rsidRPr="001E614B">
              <w:rPr>
                <w:b/>
                <w:i/>
                <w:sz w:val="16"/>
                <w:szCs w:val="18"/>
              </w:rPr>
              <w:t>Условно утвержден.</w:t>
            </w:r>
          </w:p>
        </w:tc>
        <w:tc>
          <w:tcPr>
            <w:tcW w:w="434" w:type="pct"/>
            <w:shd w:val="clear" w:color="auto" w:fill="auto"/>
            <w:tcMar>
              <w:left w:w="57" w:type="dxa"/>
              <w:right w:w="57" w:type="dxa"/>
            </w:tcMar>
            <w:vAlign w:val="center"/>
          </w:tcPr>
          <w:p w14:paraId="05D9E0AF" w14:textId="77777777" w:rsidR="004A457A" w:rsidRPr="001E614B" w:rsidRDefault="004A457A">
            <w:pPr>
              <w:jc w:val="center"/>
              <w:rPr>
                <w:sz w:val="14"/>
                <w:szCs w:val="16"/>
              </w:rPr>
            </w:pPr>
            <w:r w:rsidRPr="001E614B">
              <w:rPr>
                <w:b/>
                <w:bCs/>
                <w:i/>
                <w:iCs/>
                <w:color w:val="000000"/>
                <w:sz w:val="14"/>
                <w:szCs w:val="14"/>
              </w:rPr>
              <w:t> </w:t>
            </w:r>
          </w:p>
        </w:tc>
        <w:tc>
          <w:tcPr>
            <w:tcW w:w="439" w:type="pct"/>
            <w:shd w:val="clear" w:color="auto" w:fill="auto"/>
            <w:tcMar>
              <w:left w:w="57" w:type="dxa"/>
              <w:right w:w="57" w:type="dxa"/>
            </w:tcMar>
            <w:vAlign w:val="center"/>
          </w:tcPr>
          <w:p w14:paraId="128D5692" w14:textId="77777777" w:rsidR="004A457A" w:rsidRPr="001E614B" w:rsidRDefault="004A457A">
            <w:pPr>
              <w:jc w:val="center"/>
              <w:rPr>
                <w:sz w:val="14"/>
                <w:szCs w:val="16"/>
              </w:rPr>
            </w:pPr>
            <w:r w:rsidRPr="001E614B">
              <w:rPr>
                <w:b/>
                <w:bCs/>
                <w:i/>
                <w:iCs/>
                <w:color w:val="000000"/>
                <w:sz w:val="14"/>
                <w:szCs w:val="14"/>
              </w:rPr>
              <w:t>631 026,9</w:t>
            </w:r>
          </w:p>
        </w:tc>
        <w:tc>
          <w:tcPr>
            <w:tcW w:w="460" w:type="pct"/>
            <w:shd w:val="clear" w:color="auto" w:fill="auto"/>
            <w:tcMar>
              <w:left w:w="57" w:type="dxa"/>
              <w:right w:w="57" w:type="dxa"/>
            </w:tcMar>
            <w:vAlign w:val="center"/>
          </w:tcPr>
          <w:p w14:paraId="533ECCF8" w14:textId="77777777" w:rsidR="004A457A" w:rsidRPr="001E614B" w:rsidRDefault="004A457A">
            <w:pPr>
              <w:jc w:val="center"/>
              <w:rPr>
                <w:sz w:val="14"/>
                <w:szCs w:val="16"/>
              </w:rPr>
            </w:pPr>
            <w:r w:rsidRPr="001E614B">
              <w:rPr>
                <w:b/>
                <w:bCs/>
                <w:i/>
                <w:iCs/>
                <w:color w:val="000000"/>
                <w:sz w:val="14"/>
                <w:szCs w:val="14"/>
              </w:rPr>
              <w:t> </w:t>
            </w:r>
          </w:p>
        </w:tc>
        <w:tc>
          <w:tcPr>
            <w:tcW w:w="362" w:type="pct"/>
            <w:tcMar>
              <w:left w:w="57" w:type="dxa"/>
              <w:right w:w="57" w:type="dxa"/>
            </w:tcMar>
            <w:vAlign w:val="center"/>
          </w:tcPr>
          <w:p w14:paraId="2B4A2D32" w14:textId="77777777" w:rsidR="004A457A" w:rsidRPr="001E614B" w:rsidRDefault="004A457A">
            <w:pPr>
              <w:jc w:val="center"/>
              <w:rPr>
                <w:sz w:val="14"/>
                <w:szCs w:val="16"/>
              </w:rPr>
            </w:pPr>
            <w:r w:rsidRPr="001E614B">
              <w:rPr>
                <w:b/>
                <w:bCs/>
                <w:i/>
                <w:iCs/>
                <w:color w:val="000000"/>
                <w:sz w:val="14"/>
                <w:szCs w:val="14"/>
              </w:rPr>
              <w:t> </w:t>
            </w:r>
          </w:p>
        </w:tc>
        <w:tc>
          <w:tcPr>
            <w:tcW w:w="439" w:type="pct"/>
            <w:tcMar>
              <w:left w:w="57" w:type="dxa"/>
              <w:right w:w="57" w:type="dxa"/>
            </w:tcMar>
            <w:vAlign w:val="center"/>
          </w:tcPr>
          <w:p w14:paraId="57B4AE9B" w14:textId="77777777" w:rsidR="004A457A" w:rsidRPr="001E614B" w:rsidRDefault="004A457A">
            <w:pPr>
              <w:jc w:val="center"/>
              <w:rPr>
                <w:sz w:val="14"/>
                <w:szCs w:val="16"/>
              </w:rPr>
            </w:pPr>
            <w:r w:rsidRPr="001E614B">
              <w:rPr>
                <w:b/>
                <w:bCs/>
                <w:i/>
                <w:iCs/>
                <w:color w:val="000000"/>
                <w:sz w:val="14"/>
                <w:szCs w:val="14"/>
              </w:rPr>
              <w:t>1 317 720,1</w:t>
            </w:r>
          </w:p>
        </w:tc>
        <w:tc>
          <w:tcPr>
            <w:tcW w:w="454" w:type="pct"/>
            <w:shd w:val="clear" w:color="auto" w:fill="auto"/>
            <w:tcMar>
              <w:left w:w="57" w:type="dxa"/>
              <w:right w:w="57" w:type="dxa"/>
            </w:tcMar>
            <w:vAlign w:val="center"/>
          </w:tcPr>
          <w:p w14:paraId="499B492C" w14:textId="77777777" w:rsidR="004A457A" w:rsidRPr="001E614B" w:rsidRDefault="004A457A">
            <w:pPr>
              <w:jc w:val="center"/>
              <w:rPr>
                <w:sz w:val="14"/>
                <w:szCs w:val="16"/>
              </w:rPr>
            </w:pPr>
            <w:r w:rsidRPr="001E614B">
              <w:rPr>
                <w:b/>
                <w:bCs/>
                <w:i/>
                <w:iCs/>
                <w:color w:val="000000"/>
                <w:sz w:val="14"/>
                <w:szCs w:val="14"/>
              </w:rPr>
              <w:t>735 811,9</w:t>
            </w:r>
          </w:p>
        </w:tc>
        <w:tc>
          <w:tcPr>
            <w:tcW w:w="349" w:type="pct"/>
            <w:tcMar>
              <w:left w:w="57" w:type="dxa"/>
              <w:right w:w="57" w:type="dxa"/>
            </w:tcMar>
            <w:vAlign w:val="center"/>
          </w:tcPr>
          <w:p w14:paraId="65530728" w14:textId="77777777" w:rsidR="004A457A" w:rsidRPr="001E614B" w:rsidRDefault="004A457A">
            <w:pPr>
              <w:jc w:val="center"/>
              <w:rPr>
                <w:sz w:val="14"/>
                <w:szCs w:val="16"/>
              </w:rPr>
            </w:pPr>
            <w:r w:rsidRPr="001E614B">
              <w:rPr>
                <w:b/>
                <w:bCs/>
                <w:i/>
                <w:iCs/>
                <w:color w:val="000000"/>
                <w:sz w:val="14"/>
                <w:szCs w:val="14"/>
              </w:rPr>
              <w:t> </w:t>
            </w:r>
          </w:p>
        </w:tc>
        <w:tc>
          <w:tcPr>
            <w:tcW w:w="460" w:type="pct"/>
            <w:tcMar>
              <w:left w:w="57" w:type="dxa"/>
              <w:right w:w="57" w:type="dxa"/>
            </w:tcMar>
            <w:vAlign w:val="center"/>
          </w:tcPr>
          <w:p w14:paraId="3D467222" w14:textId="77777777" w:rsidR="004A457A" w:rsidRPr="001E614B" w:rsidRDefault="004A457A">
            <w:pPr>
              <w:jc w:val="center"/>
              <w:rPr>
                <w:color w:val="000000"/>
                <w:sz w:val="14"/>
                <w:szCs w:val="14"/>
              </w:rPr>
            </w:pPr>
            <w:r w:rsidRPr="001E614B">
              <w:rPr>
                <w:b/>
                <w:bCs/>
                <w:i/>
                <w:iCs/>
                <w:color w:val="000000"/>
                <w:sz w:val="14"/>
                <w:szCs w:val="14"/>
              </w:rPr>
              <w:t> </w:t>
            </w:r>
          </w:p>
        </w:tc>
        <w:tc>
          <w:tcPr>
            <w:tcW w:w="481" w:type="pct"/>
            <w:shd w:val="clear" w:color="auto" w:fill="auto"/>
            <w:tcMar>
              <w:left w:w="57" w:type="dxa"/>
              <w:right w:w="57" w:type="dxa"/>
            </w:tcMar>
            <w:vAlign w:val="center"/>
          </w:tcPr>
          <w:p w14:paraId="52954BB5" w14:textId="77777777" w:rsidR="004A457A" w:rsidRPr="001E614B" w:rsidRDefault="004A457A">
            <w:pPr>
              <w:jc w:val="center"/>
              <w:rPr>
                <w:sz w:val="14"/>
                <w:szCs w:val="16"/>
              </w:rPr>
            </w:pPr>
            <w:r w:rsidRPr="001E614B">
              <w:rPr>
                <w:b/>
                <w:bCs/>
                <w:i/>
                <w:iCs/>
                <w:color w:val="000000"/>
                <w:sz w:val="14"/>
                <w:szCs w:val="14"/>
              </w:rPr>
              <w:t>1 462 187,4</w:t>
            </w:r>
          </w:p>
        </w:tc>
        <w:tc>
          <w:tcPr>
            <w:tcW w:w="465" w:type="pct"/>
            <w:tcMar>
              <w:left w:w="57" w:type="dxa"/>
              <w:right w:w="57" w:type="dxa"/>
            </w:tcMar>
            <w:vAlign w:val="center"/>
          </w:tcPr>
          <w:p w14:paraId="448631ED" w14:textId="77777777" w:rsidR="004A457A" w:rsidRPr="001E614B" w:rsidRDefault="004A457A">
            <w:pPr>
              <w:jc w:val="center"/>
              <w:rPr>
                <w:sz w:val="14"/>
                <w:szCs w:val="16"/>
              </w:rPr>
            </w:pPr>
            <w:r w:rsidRPr="001E614B">
              <w:rPr>
                <w:b/>
                <w:bCs/>
                <w:i/>
                <w:iCs/>
                <w:color w:val="000000"/>
                <w:sz w:val="14"/>
                <w:szCs w:val="14"/>
              </w:rPr>
              <w:t> </w:t>
            </w:r>
          </w:p>
        </w:tc>
      </w:tr>
      <w:tr w:rsidR="004A457A" w:rsidRPr="001E614B" w14:paraId="053F25E2" w14:textId="77777777" w:rsidTr="004E568C">
        <w:trPr>
          <w:trHeight w:val="190"/>
        </w:trPr>
        <w:tc>
          <w:tcPr>
            <w:tcW w:w="658" w:type="pct"/>
            <w:shd w:val="clear" w:color="auto" w:fill="auto"/>
            <w:vAlign w:val="center"/>
          </w:tcPr>
          <w:p w14:paraId="15EC63F4" w14:textId="77777777" w:rsidR="004A457A" w:rsidRPr="001E614B" w:rsidRDefault="004A457A">
            <w:pPr>
              <w:kinsoku w:val="0"/>
              <w:overflowPunct w:val="0"/>
              <w:textAlignment w:val="baseline"/>
              <w:rPr>
                <w:i/>
                <w:sz w:val="16"/>
                <w:szCs w:val="18"/>
              </w:rPr>
            </w:pPr>
            <w:r w:rsidRPr="001E614B">
              <w:rPr>
                <w:i/>
                <w:color w:val="000000"/>
                <w:kern w:val="24"/>
                <w:sz w:val="16"/>
                <w:szCs w:val="18"/>
              </w:rPr>
              <w:t>%% к общему объему расходов</w:t>
            </w:r>
          </w:p>
        </w:tc>
        <w:tc>
          <w:tcPr>
            <w:tcW w:w="434" w:type="pct"/>
            <w:shd w:val="clear" w:color="auto" w:fill="auto"/>
            <w:tcMar>
              <w:left w:w="57" w:type="dxa"/>
              <w:right w:w="57" w:type="dxa"/>
            </w:tcMar>
            <w:vAlign w:val="center"/>
          </w:tcPr>
          <w:p w14:paraId="28C33486" w14:textId="77777777" w:rsidR="004A457A" w:rsidRPr="001E614B" w:rsidRDefault="004A457A">
            <w:pPr>
              <w:jc w:val="center"/>
              <w:rPr>
                <w:sz w:val="14"/>
                <w:szCs w:val="16"/>
              </w:rPr>
            </w:pPr>
            <w:r w:rsidRPr="001E614B">
              <w:rPr>
                <w:b/>
                <w:bCs/>
                <w:i/>
                <w:iCs/>
                <w:color w:val="000000"/>
                <w:sz w:val="14"/>
                <w:szCs w:val="14"/>
              </w:rPr>
              <w:t> </w:t>
            </w:r>
          </w:p>
        </w:tc>
        <w:tc>
          <w:tcPr>
            <w:tcW w:w="439" w:type="pct"/>
            <w:shd w:val="clear" w:color="auto" w:fill="auto"/>
            <w:tcMar>
              <w:left w:w="57" w:type="dxa"/>
              <w:right w:w="57" w:type="dxa"/>
            </w:tcMar>
            <w:vAlign w:val="center"/>
          </w:tcPr>
          <w:p w14:paraId="63C2CAF3" w14:textId="77777777" w:rsidR="004A457A" w:rsidRPr="001E614B" w:rsidRDefault="004A457A">
            <w:pPr>
              <w:jc w:val="center"/>
              <w:rPr>
                <w:sz w:val="14"/>
                <w:szCs w:val="16"/>
              </w:rPr>
            </w:pPr>
            <w:r w:rsidRPr="001E614B">
              <w:rPr>
                <w:b/>
                <w:bCs/>
                <w:i/>
                <w:iCs/>
                <w:color w:val="000000"/>
                <w:sz w:val="14"/>
                <w:szCs w:val="14"/>
              </w:rPr>
              <w:t>2,5</w:t>
            </w:r>
          </w:p>
        </w:tc>
        <w:tc>
          <w:tcPr>
            <w:tcW w:w="460" w:type="pct"/>
            <w:shd w:val="clear" w:color="auto" w:fill="auto"/>
            <w:tcMar>
              <w:left w:w="57" w:type="dxa"/>
              <w:right w:w="57" w:type="dxa"/>
            </w:tcMar>
            <w:vAlign w:val="center"/>
          </w:tcPr>
          <w:p w14:paraId="42F0B70D" w14:textId="77777777" w:rsidR="004A457A" w:rsidRPr="001E614B" w:rsidRDefault="004A457A">
            <w:pPr>
              <w:jc w:val="center"/>
              <w:rPr>
                <w:sz w:val="14"/>
                <w:szCs w:val="16"/>
              </w:rPr>
            </w:pPr>
            <w:r w:rsidRPr="001E614B">
              <w:rPr>
                <w:b/>
                <w:bCs/>
                <w:i/>
                <w:iCs/>
                <w:color w:val="000000"/>
                <w:sz w:val="14"/>
                <w:szCs w:val="14"/>
              </w:rPr>
              <w:t> </w:t>
            </w:r>
          </w:p>
        </w:tc>
        <w:tc>
          <w:tcPr>
            <w:tcW w:w="362" w:type="pct"/>
            <w:tcMar>
              <w:left w:w="57" w:type="dxa"/>
              <w:right w:w="57" w:type="dxa"/>
            </w:tcMar>
            <w:vAlign w:val="center"/>
          </w:tcPr>
          <w:p w14:paraId="27AB4158" w14:textId="77777777" w:rsidR="004A457A" w:rsidRPr="001E614B" w:rsidRDefault="004A457A">
            <w:pPr>
              <w:jc w:val="center"/>
              <w:rPr>
                <w:sz w:val="14"/>
                <w:szCs w:val="16"/>
              </w:rPr>
            </w:pPr>
            <w:r w:rsidRPr="001E614B">
              <w:rPr>
                <w:b/>
                <w:bCs/>
                <w:i/>
                <w:iCs/>
                <w:color w:val="000000"/>
                <w:sz w:val="14"/>
                <w:szCs w:val="14"/>
              </w:rPr>
              <w:t> </w:t>
            </w:r>
          </w:p>
        </w:tc>
        <w:tc>
          <w:tcPr>
            <w:tcW w:w="439" w:type="pct"/>
            <w:tcMar>
              <w:left w:w="57" w:type="dxa"/>
              <w:right w:w="57" w:type="dxa"/>
            </w:tcMar>
            <w:vAlign w:val="center"/>
          </w:tcPr>
          <w:p w14:paraId="6FF69BB7" w14:textId="77777777" w:rsidR="004A457A" w:rsidRPr="001E614B" w:rsidRDefault="004A457A">
            <w:pPr>
              <w:jc w:val="center"/>
              <w:rPr>
                <w:sz w:val="14"/>
                <w:szCs w:val="16"/>
              </w:rPr>
            </w:pPr>
            <w:r w:rsidRPr="001E614B">
              <w:rPr>
                <w:b/>
                <w:bCs/>
                <w:i/>
                <w:iCs/>
                <w:color w:val="000000"/>
                <w:sz w:val="14"/>
                <w:szCs w:val="14"/>
              </w:rPr>
              <w:t>5,0</w:t>
            </w:r>
          </w:p>
        </w:tc>
        <w:tc>
          <w:tcPr>
            <w:tcW w:w="454" w:type="pct"/>
            <w:shd w:val="clear" w:color="auto" w:fill="auto"/>
            <w:tcMar>
              <w:left w:w="57" w:type="dxa"/>
              <w:right w:w="57" w:type="dxa"/>
            </w:tcMar>
            <w:vAlign w:val="center"/>
          </w:tcPr>
          <w:p w14:paraId="62C0B802" w14:textId="77777777" w:rsidR="004A457A" w:rsidRPr="001E614B" w:rsidRDefault="004A457A">
            <w:pPr>
              <w:jc w:val="center"/>
              <w:rPr>
                <w:sz w:val="14"/>
                <w:szCs w:val="16"/>
              </w:rPr>
            </w:pPr>
            <w:r w:rsidRPr="001E614B">
              <w:rPr>
                <w:b/>
                <w:bCs/>
                <w:i/>
                <w:iCs/>
                <w:color w:val="000000"/>
                <w:sz w:val="14"/>
                <w:szCs w:val="14"/>
              </w:rPr>
              <w:t>2,5</w:t>
            </w:r>
          </w:p>
        </w:tc>
        <w:tc>
          <w:tcPr>
            <w:tcW w:w="349" w:type="pct"/>
            <w:tcMar>
              <w:left w:w="57" w:type="dxa"/>
              <w:right w:w="57" w:type="dxa"/>
            </w:tcMar>
            <w:vAlign w:val="center"/>
          </w:tcPr>
          <w:p w14:paraId="166020BC" w14:textId="77777777" w:rsidR="004A457A" w:rsidRPr="001E614B" w:rsidRDefault="004A457A">
            <w:pPr>
              <w:jc w:val="center"/>
              <w:rPr>
                <w:sz w:val="14"/>
                <w:szCs w:val="16"/>
              </w:rPr>
            </w:pPr>
            <w:r w:rsidRPr="001E614B">
              <w:rPr>
                <w:b/>
                <w:bCs/>
                <w:i/>
                <w:iCs/>
                <w:color w:val="000000"/>
                <w:sz w:val="14"/>
                <w:szCs w:val="14"/>
              </w:rPr>
              <w:t> </w:t>
            </w:r>
          </w:p>
        </w:tc>
        <w:tc>
          <w:tcPr>
            <w:tcW w:w="460" w:type="pct"/>
            <w:tcMar>
              <w:left w:w="57" w:type="dxa"/>
              <w:right w:w="57" w:type="dxa"/>
            </w:tcMar>
            <w:vAlign w:val="center"/>
          </w:tcPr>
          <w:p w14:paraId="00D49761" w14:textId="77777777" w:rsidR="004A457A" w:rsidRPr="001E614B" w:rsidRDefault="004A457A">
            <w:pPr>
              <w:jc w:val="center"/>
              <w:rPr>
                <w:color w:val="000000"/>
                <w:sz w:val="14"/>
                <w:szCs w:val="14"/>
              </w:rPr>
            </w:pPr>
            <w:r w:rsidRPr="001E614B">
              <w:rPr>
                <w:b/>
                <w:bCs/>
                <w:i/>
                <w:iCs/>
                <w:color w:val="000000"/>
                <w:sz w:val="14"/>
                <w:szCs w:val="14"/>
              </w:rPr>
              <w:t> </w:t>
            </w:r>
          </w:p>
        </w:tc>
        <w:tc>
          <w:tcPr>
            <w:tcW w:w="481" w:type="pct"/>
            <w:shd w:val="clear" w:color="auto" w:fill="auto"/>
            <w:tcMar>
              <w:left w:w="57" w:type="dxa"/>
              <w:right w:w="57" w:type="dxa"/>
            </w:tcMar>
            <w:vAlign w:val="center"/>
          </w:tcPr>
          <w:p w14:paraId="76C017DC" w14:textId="77777777" w:rsidR="004A457A" w:rsidRPr="001E614B" w:rsidRDefault="004A457A">
            <w:pPr>
              <w:jc w:val="center"/>
              <w:rPr>
                <w:sz w:val="14"/>
                <w:szCs w:val="16"/>
              </w:rPr>
            </w:pPr>
            <w:r w:rsidRPr="001E614B">
              <w:rPr>
                <w:b/>
                <w:bCs/>
                <w:i/>
                <w:iCs/>
                <w:color w:val="000000"/>
                <w:sz w:val="14"/>
                <w:szCs w:val="14"/>
              </w:rPr>
              <w:t>5,0</w:t>
            </w:r>
          </w:p>
        </w:tc>
        <w:tc>
          <w:tcPr>
            <w:tcW w:w="465" w:type="pct"/>
            <w:tcMar>
              <w:left w:w="57" w:type="dxa"/>
              <w:right w:w="57" w:type="dxa"/>
            </w:tcMar>
            <w:vAlign w:val="center"/>
          </w:tcPr>
          <w:p w14:paraId="426058E5" w14:textId="77777777" w:rsidR="004A457A" w:rsidRPr="001E614B" w:rsidRDefault="004A457A">
            <w:pPr>
              <w:jc w:val="center"/>
              <w:rPr>
                <w:sz w:val="14"/>
                <w:szCs w:val="16"/>
              </w:rPr>
            </w:pPr>
            <w:r w:rsidRPr="001E614B">
              <w:rPr>
                <w:b/>
                <w:bCs/>
                <w:i/>
                <w:iCs/>
                <w:color w:val="000000"/>
                <w:sz w:val="14"/>
                <w:szCs w:val="14"/>
              </w:rPr>
              <w:t> </w:t>
            </w:r>
          </w:p>
        </w:tc>
      </w:tr>
      <w:tr w:rsidR="004A457A" w:rsidRPr="001E614B" w14:paraId="36FA4515" w14:textId="77777777" w:rsidTr="004E568C">
        <w:trPr>
          <w:trHeight w:val="190"/>
        </w:trPr>
        <w:tc>
          <w:tcPr>
            <w:tcW w:w="658" w:type="pct"/>
            <w:shd w:val="clear" w:color="auto" w:fill="auto"/>
            <w:vAlign w:val="center"/>
          </w:tcPr>
          <w:p w14:paraId="629CF6A9" w14:textId="77777777" w:rsidR="004A457A" w:rsidRPr="001E614B" w:rsidRDefault="004A457A">
            <w:pPr>
              <w:rPr>
                <w:sz w:val="16"/>
                <w:szCs w:val="18"/>
              </w:rPr>
            </w:pPr>
            <w:r w:rsidRPr="001E614B">
              <w:rPr>
                <w:sz w:val="16"/>
                <w:szCs w:val="18"/>
              </w:rPr>
              <w:t>ВСЕГО</w:t>
            </w:r>
            <w:r w:rsidRPr="001E614B">
              <w:rPr>
                <w:sz w:val="16"/>
                <w:szCs w:val="18"/>
                <w:vertAlign w:val="superscript"/>
              </w:rPr>
              <w:t>***</w:t>
            </w:r>
            <w:r w:rsidRPr="001E614B">
              <w:rPr>
                <w:sz w:val="16"/>
                <w:szCs w:val="18"/>
              </w:rPr>
              <w:t xml:space="preserve"> </w:t>
            </w:r>
          </w:p>
        </w:tc>
        <w:tc>
          <w:tcPr>
            <w:tcW w:w="434" w:type="pct"/>
            <w:shd w:val="clear" w:color="auto" w:fill="auto"/>
            <w:tcMar>
              <w:left w:w="57" w:type="dxa"/>
              <w:right w:w="57" w:type="dxa"/>
            </w:tcMar>
            <w:vAlign w:val="center"/>
          </w:tcPr>
          <w:p w14:paraId="3AAFAE00" w14:textId="77777777" w:rsidR="004A457A" w:rsidRPr="001E614B" w:rsidRDefault="004A457A">
            <w:pPr>
              <w:jc w:val="center"/>
              <w:rPr>
                <w:sz w:val="14"/>
                <w:szCs w:val="16"/>
              </w:rPr>
            </w:pPr>
            <w:r w:rsidRPr="001E614B">
              <w:rPr>
                <w:color w:val="000000"/>
                <w:sz w:val="14"/>
                <w:szCs w:val="14"/>
              </w:rPr>
              <w:t>27 614 091,0</w:t>
            </w:r>
          </w:p>
        </w:tc>
        <w:tc>
          <w:tcPr>
            <w:tcW w:w="439" w:type="pct"/>
            <w:shd w:val="clear" w:color="auto" w:fill="auto"/>
            <w:tcMar>
              <w:left w:w="57" w:type="dxa"/>
              <w:right w:w="57" w:type="dxa"/>
            </w:tcMar>
            <w:vAlign w:val="center"/>
          </w:tcPr>
          <w:p w14:paraId="00B31277" w14:textId="77777777" w:rsidR="004A457A" w:rsidRPr="001E614B" w:rsidRDefault="004A457A">
            <w:pPr>
              <w:jc w:val="center"/>
              <w:rPr>
                <w:sz w:val="14"/>
                <w:szCs w:val="16"/>
              </w:rPr>
            </w:pPr>
            <w:r w:rsidRPr="001E614B">
              <w:rPr>
                <w:color w:val="000000"/>
                <w:sz w:val="14"/>
                <w:szCs w:val="14"/>
              </w:rPr>
              <w:t>24 610 049,1</w:t>
            </w:r>
          </w:p>
        </w:tc>
        <w:tc>
          <w:tcPr>
            <w:tcW w:w="460" w:type="pct"/>
            <w:shd w:val="clear" w:color="auto" w:fill="auto"/>
            <w:tcMar>
              <w:left w:w="57" w:type="dxa"/>
              <w:right w:w="57" w:type="dxa"/>
            </w:tcMar>
            <w:vAlign w:val="center"/>
          </w:tcPr>
          <w:p w14:paraId="70D81840" w14:textId="77777777" w:rsidR="004A457A" w:rsidRPr="001E614B" w:rsidRDefault="004A457A">
            <w:pPr>
              <w:jc w:val="center"/>
              <w:rPr>
                <w:sz w:val="14"/>
                <w:szCs w:val="16"/>
              </w:rPr>
            </w:pPr>
            <w:r w:rsidRPr="001E614B">
              <w:rPr>
                <w:color w:val="000000"/>
                <w:sz w:val="14"/>
                <w:szCs w:val="14"/>
              </w:rPr>
              <w:t>29 055 564,3</w:t>
            </w:r>
          </w:p>
        </w:tc>
        <w:tc>
          <w:tcPr>
            <w:tcW w:w="362" w:type="pct"/>
            <w:tcMar>
              <w:left w:w="57" w:type="dxa"/>
              <w:right w:w="57" w:type="dxa"/>
            </w:tcMar>
            <w:vAlign w:val="center"/>
          </w:tcPr>
          <w:p w14:paraId="2D2731DC" w14:textId="77777777" w:rsidR="004A457A" w:rsidRPr="001E614B" w:rsidRDefault="004A457A">
            <w:pPr>
              <w:jc w:val="center"/>
              <w:rPr>
                <w:sz w:val="14"/>
                <w:szCs w:val="16"/>
              </w:rPr>
            </w:pPr>
            <w:r w:rsidRPr="001E614B">
              <w:rPr>
                <w:i/>
                <w:iCs/>
                <w:color w:val="000000"/>
                <w:sz w:val="14"/>
                <w:szCs w:val="14"/>
              </w:rPr>
              <w:t>118,1</w:t>
            </w:r>
          </w:p>
        </w:tc>
        <w:tc>
          <w:tcPr>
            <w:tcW w:w="439" w:type="pct"/>
            <w:tcMar>
              <w:left w:w="57" w:type="dxa"/>
              <w:right w:w="57" w:type="dxa"/>
            </w:tcMar>
            <w:vAlign w:val="center"/>
          </w:tcPr>
          <w:p w14:paraId="53B0856F" w14:textId="77777777" w:rsidR="004A457A" w:rsidRPr="001E614B" w:rsidRDefault="004A457A">
            <w:pPr>
              <w:jc w:val="center"/>
              <w:rPr>
                <w:sz w:val="14"/>
                <w:szCs w:val="16"/>
              </w:rPr>
            </w:pPr>
            <w:r w:rsidRPr="001E614B">
              <w:rPr>
                <w:color w:val="000000"/>
                <w:sz w:val="14"/>
                <w:szCs w:val="14"/>
              </w:rPr>
              <w:t>25 036 681,3</w:t>
            </w:r>
          </w:p>
        </w:tc>
        <w:tc>
          <w:tcPr>
            <w:tcW w:w="454" w:type="pct"/>
            <w:shd w:val="clear" w:color="auto" w:fill="auto"/>
            <w:tcMar>
              <w:left w:w="57" w:type="dxa"/>
              <w:right w:w="57" w:type="dxa"/>
            </w:tcMar>
            <w:vAlign w:val="center"/>
          </w:tcPr>
          <w:p w14:paraId="35FBDC3A" w14:textId="77777777" w:rsidR="004A457A" w:rsidRPr="001E614B" w:rsidRDefault="004A457A">
            <w:pPr>
              <w:jc w:val="center"/>
              <w:rPr>
                <w:sz w:val="14"/>
                <w:szCs w:val="16"/>
              </w:rPr>
            </w:pPr>
            <w:r w:rsidRPr="001E614B">
              <w:rPr>
                <w:color w:val="000000"/>
                <w:sz w:val="14"/>
                <w:szCs w:val="14"/>
              </w:rPr>
              <w:t>28 696 664,5</w:t>
            </w:r>
          </w:p>
        </w:tc>
        <w:tc>
          <w:tcPr>
            <w:tcW w:w="349" w:type="pct"/>
            <w:tcMar>
              <w:left w:w="57" w:type="dxa"/>
              <w:right w:w="57" w:type="dxa"/>
            </w:tcMar>
            <w:vAlign w:val="center"/>
          </w:tcPr>
          <w:p w14:paraId="1A3C5BF0" w14:textId="77777777" w:rsidR="004A457A" w:rsidRPr="001E614B" w:rsidRDefault="004A457A">
            <w:pPr>
              <w:jc w:val="center"/>
              <w:rPr>
                <w:sz w:val="14"/>
                <w:szCs w:val="16"/>
              </w:rPr>
            </w:pPr>
            <w:r w:rsidRPr="001E614B">
              <w:rPr>
                <w:i/>
                <w:iCs/>
                <w:color w:val="000000"/>
                <w:sz w:val="14"/>
                <w:szCs w:val="14"/>
              </w:rPr>
              <w:t>114,6</w:t>
            </w:r>
          </w:p>
        </w:tc>
        <w:tc>
          <w:tcPr>
            <w:tcW w:w="460" w:type="pct"/>
            <w:tcMar>
              <w:left w:w="57" w:type="dxa"/>
              <w:right w:w="57" w:type="dxa"/>
            </w:tcMar>
            <w:vAlign w:val="center"/>
          </w:tcPr>
          <w:p w14:paraId="189FC8E0" w14:textId="77777777" w:rsidR="004A457A" w:rsidRPr="001E614B" w:rsidRDefault="004A457A">
            <w:pPr>
              <w:jc w:val="center"/>
              <w:rPr>
                <w:color w:val="000000"/>
                <w:sz w:val="14"/>
                <w:szCs w:val="14"/>
              </w:rPr>
            </w:pPr>
            <w:r w:rsidRPr="001E614B">
              <w:rPr>
                <w:color w:val="000000"/>
                <w:sz w:val="14"/>
                <w:szCs w:val="14"/>
              </w:rPr>
              <w:t>26 040 016,2</w:t>
            </w:r>
          </w:p>
        </w:tc>
        <w:tc>
          <w:tcPr>
            <w:tcW w:w="481" w:type="pct"/>
            <w:shd w:val="clear" w:color="auto" w:fill="auto"/>
            <w:tcMar>
              <w:left w:w="57" w:type="dxa"/>
              <w:right w:w="57" w:type="dxa"/>
            </w:tcMar>
            <w:vAlign w:val="center"/>
          </w:tcPr>
          <w:p w14:paraId="44EA062D" w14:textId="77777777" w:rsidR="004A457A" w:rsidRPr="001E614B" w:rsidRDefault="004A457A">
            <w:pPr>
              <w:jc w:val="center"/>
              <w:rPr>
                <w:sz w:val="14"/>
                <w:szCs w:val="16"/>
              </w:rPr>
            </w:pPr>
            <w:r w:rsidRPr="001E614B">
              <w:rPr>
                <w:color w:val="000000"/>
                <w:sz w:val="14"/>
                <w:szCs w:val="14"/>
              </w:rPr>
              <w:t>27 781 561,1</w:t>
            </w:r>
          </w:p>
        </w:tc>
        <w:tc>
          <w:tcPr>
            <w:tcW w:w="465" w:type="pct"/>
            <w:tcMar>
              <w:left w:w="57" w:type="dxa"/>
              <w:right w:w="57" w:type="dxa"/>
            </w:tcMar>
            <w:vAlign w:val="center"/>
          </w:tcPr>
          <w:p w14:paraId="60FBCD27" w14:textId="77777777" w:rsidR="004A457A" w:rsidRPr="001E614B" w:rsidRDefault="004A457A">
            <w:pPr>
              <w:jc w:val="center"/>
              <w:rPr>
                <w:sz w:val="14"/>
                <w:szCs w:val="16"/>
              </w:rPr>
            </w:pPr>
            <w:r w:rsidRPr="001E614B">
              <w:rPr>
                <w:i/>
                <w:iCs/>
                <w:color w:val="000000"/>
                <w:sz w:val="14"/>
                <w:szCs w:val="14"/>
              </w:rPr>
              <w:t>106,7</w:t>
            </w:r>
          </w:p>
        </w:tc>
      </w:tr>
      <w:tr w:rsidR="004A457A" w:rsidRPr="001E614B" w14:paraId="7ECA5B94" w14:textId="77777777" w:rsidTr="004E568C">
        <w:trPr>
          <w:trHeight w:val="190"/>
        </w:trPr>
        <w:tc>
          <w:tcPr>
            <w:tcW w:w="658" w:type="pct"/>
            <w:shd w:val="clear" w:color="auto" w:fill="auto"/>
            <w:vAlign w:val="center"/>
          </w:tcPr>
          <w:p w14:paraId="3A391065" w14:textId="77777777" w:rsidR="004A457A" w:rsidRPr="001E614B" w:rsidRDefault="004A457A">
            <w:pPr>
              <w:kinsoku w:val="0"/>
              <w:overflowPunct w:val="0"/>
              <w:textAlignment w:val="baseline"/>
              <w:rPr>
                <w:i/>
                <w:color w:val="000000"/>
                <w:kern w:val="24"/>
                <w:sz w:val="16"/>
                <w:szCs w:val="18"/>
              </w:rPr>
            </w:pPr>
            <w:r w:rsidRPr="001E614B">
              <w:rPr>
                <w:i/>
                <w:color w:val="000000"/>
                <w:kern w:val="24"/>
                <w:sz w:val="16"/>
                <w:szCs w:val="18"/>
              </w:rPr>
              <w:t>в том числе:</w:t>
            </w:r>
          </w:p>
        </w:tc>
        <w:tc>
          <w:tcPr>
            <w:tcW w:w="434" w:type="pct"/>
            <w:shd w:val="clear" w:color="auto" w:fill="auto"/>
            <w:tcMar>
              <w:left w:w="57" w:type="dxa"/>
              <w:right w:w="57" w:type="dxa"/>
            </w:tcMar>
            <w:vAlign w:val="center"/>
          </w:tcPr>
          <w:p w14:paraId="3A36BD65" w14:textId="77777777" w:rsidR="004A457A" w:rsidRPr="001E614B" w:rsidRDefault="004A457A">
            <w:pPr>
              <w:jc w:val="center"/>
              <w:rPr>
                <w:sz w:val="14"/>
                <w:szCs w:val="16"/>
              </w:rPr>
            </w:pPr>
            <w:r w:rsidRPr="001E614B">
              <w:rPr>
                <w:color w:val="000000"/>
                <w:sz w:val="14"/>
                <w:szCs w:val="14"/>
              </w:rPr>
              <w:t> </w:t>
            </w:r>
          </w:p>
        </w:tc>
        <w:tc>
          <w:tcPr>
            <w:tcW w:w="439" w:type="pct"/>
            <w:shd w:val="clear" w:color="auto" w:fill="auto"/>
            <w:tcMar>
              <w:left w:w="57" w:type="dxa"/>
              <w:right w:w="57" w:type="dxa"/>
            </w:tcMar>
            <w:vAlign w:val="center"/>
          </w:tcPr>
          <w:p w14:paraId="610CA933" w14:textId="77777777" w:rsidR="004A457A" w:rsidRPr="001E614B" w:rsidRDefault="004A457A">
            <w:pPr>
              <w:jc w:val="center"/>
              <w:rPr>
                <w:sz w:val="14"/>
                <w:szCs w:val="16"/>
              </w:rPr>
            </w:pPr>
            <w:r w:rsidRPr="001E614B">
              <w:rPr>
                <w:color w:val="000000"/>
                <w:sz w:val="14"/>
                <w:szCs w:val="14"/>
              </w:rPr>
              <w:t> </w:t>
            </w:r>
          </w:p>
        </w:tc>
        <w:tc>
          <w:tcPr>
            <w:tcW w:w="460" w:type="pct"/>
            <w:shd w:val="clear" w:color="auto" w:fill="auto"/>
            <w:tcMar>
              <w:left w:w="57" w:type="dxa"/>
              <w:right w:w="57" w:type="dxa"/>
            </w:tcMar>
            <w:vAlign w:val="center"/>
          </w:tcPr>
          <w:p w14:paraId="3DC3FDBE" w14:textId="77777777" w:rsidR="004A457A" w:rsidRPr="001E614B" w:rsidRDefault="004A457A">
            <w:pPr>
              <w:jc w:val="center"/>
              <w:rPr>
                <w:sz w:val="14"/>
                <w:szCs w:val="16"/>
              </w:rPr>
            </w:pPr>
            <w:r w:rsidRPr="001E614B">
              <w:rPr>
                <w:color w:val="000000"/>
                <w:sz w:val="14"/>
                <w:szCs w:val="14"/>
              </w:rPr>
              <w:t> </w:t>
            </w:r>
          </w:p>
        </w:tc>
        <w:tc>
          <w:tcPr>
            <w:tcW w:w="362" w:type="pct"/>
            <w:tcMar>
              <w:left w:w="57" w:type="dxa"/>
              <w:right w:w="57" w:type="dxa"/>
            </w:tcMar>
            <w:vAlign w:val="center"/>
          </w:tcPr>
          <w:p w14:paraId="22EA314D"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0D721132" w14:textId="77777777" w:rsidR="004A457A" w:rsidRPr="001E614B" w:rsidRDefault="004A457A">
            <w:pPr>
              <w:jc w:val="center"/>
              <w:rPr>
                <w:sz w:val="14"/>
                <w:szCs w:val="16"/>
              </w:rPr>
            </w:pPr>
            <w:r w:rsidRPr="001E614B">
              <w:rPr>
                <w:color w:val="000000"/>
                <w:sz w:val="14"/>
                <w:szCs w:val="14"/>
              </w:rPr>
              <w:t> </w:t>
            </w:r>
          </w:p>
        </w:tc>
        <w:tc>
          <w:tcPr>
            <w:tcW w:w="454" w:type="pct"/>
            <w:shd w:val="clear" w:color="auto" w:fill="auto"/>
            <w:tcMar>
              <w:left w:w="57" w:type="dxa"/>
              <w:right w:w="57" w:type="dxa"/>
            </w:tcMar>
            <w:vAlign w:val="center"/>
          </w:tcPr>
          <w:p w14:paraId="6C0A63CF" w14:textId="77777777" w:rsidR="004A457A" w:rsidRPr="001E614B" w:rsidRDefault="004A457A">
            <w:pPr>
              <w:jc w:val="center"/>
              <w:rPr>
                <w:sz w:val="14"/>
                <w:szCs w:val="16"/>
              </w:rPr>
            </w:pPr>
            <w:r w:rsidRPr="001E614B">
              <w:rPr>
                <w:color w:val="000000"/>
                <w:sz w:val="14"/>
                <w:szCs w:val="14"/>
              </w:rPr>
              <w:t> </w:t>
            </w:r>
          </w:p>
        </w:tc>
        <w:tc>
          <w:tcPr>
            <w:tcW w:w="349" w:type="pct"/>
            <w:tcMar>
              <w:left w:w="57" w:type="dxa"/>
              <w:right w:w="57" w:type="dxa"/>
            </w:tcMar>
            <w:vAlign w:val="center"/>
          </w:tcPr>
          <w:p w14:paraId="65A3E253"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5B2E7A2B" w14:textId="77777777" w:rsidR="004A457A" w:rsidRPr="001E614B" w:rsidRDefault="004A457A">
            <w:pPr>
              <w:jc w:val="center"/>
              <w:rPr>
                <w:color w:val="000000"/>
                <w:sz w:val="14"/>
                <w:szCs w:val="14"/>
              </w:rPr>
            </w:pPr>
            <w:r w:rsidRPr="001E614B">
              <w:rPr>
                <w:color w:val="000000"/>
                <w:sz w:val="14"/>
                <w:szCs w:val="14"/>
              </w:rPr>
              <w:t> </w:t>
            </w:r>
          </w:p>
        </w:tc>
        <w:tc>
          <w:tcPr>
            <w:tcW w:w="481" w:type="pct"/>
            <w:shd w:val="clear" w:color="auto" w:fill="auto"/>
            <w:tcMar>
              <w:left w:w="57" w:type="dxa"/>
              <w:right w:w="57" w:type="dxa"/>
            </w:tcMar>
            <w:vAlign w:val="center"/>
          </w:tcPr>
          <w:p w14:paraId="2111B2AB" w14:textId="77777777" w:rsidR="004A457A" w:rsidRPr="001E614B" w:rsidRDefault="004A457A">
            <w:pPr>
              <w:jc w:val="center"/>
              <w:rPr>
                <w:sz w:val="14"/>
                <w:szCs w:val="16"/>
              </w:rPr>
            </w:pPr>
            <w:r w:rsidRPr="001E614B">
              <w:rPr>
                <w:i/>
                <w:iCs/>
                <w:color w:val="000000"/>
                <w:sz w:val="14"/>
                <w:szCs w:val="14"/>
              </w:rPr>
              <w:t> </w:t>
            </w:r>
          </w:p>
        </w:tc>
        <w:tc>
          <w:tcPr>
            <w:tcW w:w="465" w:type="pct"/>
            <w:tcMar>
              <w:left w:w="57" w:type="dxa"/>
              <w:right w:w="57" w:type="dxa"/>
            </w:tcMar>
            <w:vAlign w:val="center"/>
          </w:tcPr>
          <w:p w14:paraId="3F0004F1" w14:textId="77777777" w:rsidR="004A457A" w:rsidRPr="001E614B" w:rsidRDefault="004A457A">
            <w:pPr>
              <w:jc w:val="center"/>
              <w:rPr>
                <w:sz w:val="14"/>
                <w:szCs w:val="16"/>
              </w:rPr>
            </w:pPr>
            <w:r w:rsidRPr="001E614B">
              <w:rPr>
                <w:i/>
                <w:iCs/>
                <w:color w:val="000000"/>
                <w:sz w:val="14"/>
                <w:szCs w:val="14"/>
              </w:rPr>
              <w:t> </w:t>
            </w:r>
          </w:p>
        </w:tc>
      </w:tr>
      <w:tr w:rsidR="004A457A" w:rsidRPr="001E614B" w14:paraId="09D4E590" w14:textId="77777777" w:rsidTr="004E568C">
        <w:trPr>
          <w:trHeight w:val="190"/>
        </w:trPr>
        <w:tc>
          <w:tcPr>
            <w:tcW w:w="658" w:type="pct"/>
            <w:shd w:val="clear" w:color="auto" w:fill="auto"/>
            <w:vAlign w:val="center"/>
          </w:tcPr>
          <w:p w14:paraId="3428284A" w14:textId="77777777" w:rsidR="004A457A" w:rsidRPr="001E614B" w:rsidRDefault="004A457A">
            <w:pPr>
              <w:kinsoku w:val="0"/>
              <w:overflowPunct w:val="0"/>
              <w:textAlignment w:val="baseline"/>
              <w:rPr>
                <w:color w:val="000000"/>
                <w:kern w:val="24"/>
                <w:sz w:val="16"/>
                <w:szCs w:val="18"/>
              </w:rPr>
            </w:pPr>
            <w:r w:rsidRPr="001E614B">
              <w:rPr>
                <w:color w:val="000000"/>
                <w:kern w:val="24"/>
                <w:sz w:val="16"/>
                <w:szCs w:val="18"/>
              </w:rPr>
              <w:t>Национальная оборона</w:t>
            </w:r>
          </w:p>
        </w:tc>
        <w:tc>
          <w:tcPr>
            <w:tcW w:w="434" w:type="pct"/>
            <w:shd w:val="clear" w:color="auto" w:fill="auto"/>
            <w:tcMar>
              <w:left w:w="57" w:type="dxa"/>
              <w:right w:w="57" w:type="dxa"/>
            </w:tcMar>
            <w:vAlign w:val="center"/>
          </w:tcPr>
          <w:p w14:paraId="039E6B8A" w14:textId="77777777" w:rsidR="004A457A" w:rsidRPr="001E614B" w:rsidRDefault="004A457A">
            <w:pPr>
              <w:jc w:val="center"/>
              <w:rPr>
                <w:sz w:val="14"/>
                <w:szCs w:val="16"/>
              </w:rPr>
            </w:pPr>
            <w:r w:rsidRPr="001E614B">
              <w:rPr>
                <w:b/>
                <w:bCs/>
                <w:color w:val="000000"/>
                <w:sz w:val="14"/>
                <w:szCs w:val="14"/>
              </w:rPr>
              <w:t>4 678 654,8</w:t>
            </w:r>
          </w:p>
        </w:tc>
        <w:tc>
          <w:tcPr>
            <w:tcW w:w="439" w:type="pct"/>
            <w:shd w:val="clear" w:color="auto" w:fill="auto"/>
            <w:tcMar>
              <w:left w:w="57" w:type="dxa"/>
              <w:right w:w="57" w:type="dxa"/>
            </w:tcMar>
            <w:vAlign w:val="center"/>
          </w:tcPr>
          <w:p w14:paraId="6F9039A3" w14:textId="77777777" w:rsidR="004A457A" w:rsidRPr="001E614B" w:rsidRDefault="004A457A">
            <w:pPr>
              <w:jc w:val="center"/>
              <w:rPr>
                <w:sz w:val="14"/>
                <w:szCs w:val="16"/>
              </w:rPr>
            </w:pPr>
            <w:r w:rsidRPr="001E614B">
              <w:rPr>
                <w:b/>
                <w:bCs/>
                <w:color w:val="000000"/>
                <w:sz w:val="14"/>
                <w:szCs w:val="14"/>
              </w:rPr>
              <w:t>3 472 764,9</w:t>
            </w:r>
          </w:p>
        </w:tc>
        <w:tc>
          <w:tcPr>
            <w:tcW w:w="460" w:type="pct"/>
            <w:shd w:val="clear" w:color="auto" w:fill="auto"/>
            <w:tcMar>
              <w:left w:w="57" w:type="dxa"/>
              <w:right w:w="57" w:type="dxa"/>
            </w:tcMar>
            <w:vAlign w:val="center"/>
          </w:tcPr>
          <w:p w14:paraId="0B001E60" w14:textId="77777777" w:rsidR="004A457A" w:rsidRPr="001E614B" w:rsidRDefault="004A457A">
            <w:pPr>
              <w:jc w:val="center"/>
              <w:rPr>
                <w:sz w:val="14"/>
                <w:szCs w:val="16"/>
              </w:rPr>
            </w:pPr>
            <w:r w:rsidRPr="001E614B">
              <w:rPr>
                <w:b/>
                <w:bCs/>
                <w:color w:val="000000"/>
                <w:sz w:val="14"/>
                <w:szCs w:val="14"/>
              </w:rPr>
              <w:t>4 981 606,2</w:t>
            </w:r>
          </w:p>
        </w:tc>
        <w:tc>
          <w:tcPr>
            <w:tcW w:w="362" w:type="pct"/>
            <w:tcMar>
              <w:left w:w="57" w:type="dxa"/>
              <w:right w:w="57" w:type="dxa"/>
            </w:tcMar>
            <w:vAlign w:val="center"/>
          </w:tcPr>
          <w:p w14:paraId="1E99FB9B" w14:textId="77777777" w:rsidR="004A457A" w:rsidRPr="001E614B" w:rsidRDefault="004A457A">
            <w:pPr>
              <w:jc w:val="center"/>
              <w:rPr>
                <w:sz w:val="14"/>
                <w:szCs w:val="16"/>
              </w:rPr>
            </w:pPr>
            <w:r w:rsidRPr="001E614B">
              <w:rPr>
                <w:b/>
                <w:bCs/>
                <w:i/>
                <w:iCs/>
                <w:color w:val="000000"/>
                <w:sz w:val="14"/>
                <w:szCs w:val="14"/>
              </w:rPr>
              <w:t>143,4</w:t>
            </w:r>
          </w:p>
        </w:tc>
        <w:tc>
          <w:tcPr>
            <w:tcW w:w="439" w:type="pct"/>
            <w:tcMar>
              <w:left w:w="57" w:type="dxa"/>
              <w:right w:w="57" w:type="dxa"/>
            </w:tcMar>
            <w:vAlign w:val="center"/>
          </w:tcPr>
          <w:p w14:paraId="14561BAA" w14:textId="77777777" w:rsidR="004A457A" w:rsidRPr="001E614B" w:rsidRDefault="004A457A">
            <w:pPr>
              <w:jc w:val="center"/>
              <w:rPr>
                <w:sz w:val="14"/>
                <w:szCs w:val="16"/>
              </w:rPr>
            </w:pPr>
            <w:r w:rsidRPr="001E614B">
              <w:rPr>
                <w:b/>
                <w:bCs/>
                <w:color w:val="000000"/>
                <w:sz w:val="14"/>
                <w:szCs w:val="14"/>
              </w:rPr>
              <w:t>3 611 085,9</w:t>
            </w:r>
          </w:p>
        </w:tc>
        <w:tc>
          <w:tcPr>
            <w:tcW w:w="454" w:type="pct"/>
            <w:shd w:val="clear" w:color="auto" w:fill="auto"/>
            <w:tcMar>
              <w:left w:w="57" w:type="dxa"/>
              <w:right w:w="57" w:type="dxa"/>
            </w:tcMar>
            <w:vAlign w:val="center"/>
          </w:tcPr>
          <w:p w14:paraId="466FFEA2" w14:textId="77777777" w:rsidR="004A457A" w:rsidRPr="001E614B" w:rsidRDefault="004A457A">
            <w:pPr>
              <w:jc w:val="center"/>
              <w:rPr>
                <w:sz w:val="14"/>
                <w:szCs w:val="16"/>
              </w:rPr>
            </w:pPr>
            <w:r w:rsidRPr="001E614B">
              <w:rPr>
                <w:b/>
                <w:bCs/>
                <w:color w:val="000000"/>
                <w:sz w:val="14"/>
                <w:szCs w:val="14"/>
              </w:rPr>
              <w:t>4 648 845,0</w:t>
            </w:r>
          </w:p>
        </w:tc>
        <w:tc>
          <w:tcPr>
            <w:tcW w:w="349" w:type="pct"/>
            <w:tcMar>
              <w:left w:w="57" w:type="dxa"/>
              <w:right w:w="57" w:type="dxa"/>
            </w:tcMar>
            <w:vAlign w:val="center"/>
          </w:tcPr>
          <w:p w14:paraId="51885754" w14:textId="77777777" w:rsidR="004A457A" w:rsidRPr="001E614B" w:rsidRDefault="004A457A">
            <w:pPr>
              <w:jc w:val="center"/>
              <w:rPr>
                <w:sz w:val="14"/>
                <w:szCs w:val="16"/>
              </w:rPr>
            </w:pPr>
            <w:r w:rsidRPr="001E614B">
              <w:rPr>
                <w:b/>
                <w:bCs/>
                <w:i/>
                <w:iCs/>
                <w:color w:val="000000"/>
                <w:sz w:val="14"/>
                <w:szCs w:val="14"/>
              </w:rPr>
              <w:t>128,7</w:t>
            </w:r>
          </w:p>
        </w:tc>
        <w:tc>
          <w:tcPr>
            <w:tcW w:w="460" w:type="pct"/>
            <w:tcMar>
              <w:left w:w="57" w:type="dxa"/>
              <w:right w:w="57" w:type="dxa"/>
            </w:tcMar>
            <w:vAlign w:val="center"/>
          </w:tcPr>
          <w:p w14:paraId="768B207B" w14:textId="77777777" w:rsidR="004A457A" w:rsidRPr="001E614B" w:rsidRDefault="004A457A">
            <w:pPr>
              <w:jc w:val="center"/>
              <w:rPr>
                <w:color w:val="000000"/>
                <w:sz w:val="14"/>
                <w:szCs w:val="14"/>
              </w:rPr>
            </w:pPr>
            <w:r w:rsidRPr="001E614B">
              <w:rPr>
                <w:b/>
                <w:bCs/>
                <w:color w:val="000000"/>
                <w:sz w:val="14"/>
                <w:szCs w:val="14"/>
              </w:rPr>
              <w:t>4 197 360,0</w:t>
            </w:r>
          </w:p>
        </w:tc>
        <w:tc>
          <w:tcPr>
            <w:tcW w:w="481" w:type="pct"/>
            <w:shd w:val="clear" w:color="auto" w:fill="auto"/>
            <w:tcMar>
              <w:left w:w="57" w:type="dxa"/>
              <w:right w:w="57" w:type="dxa"/>
            </w:tcMar>
            <w:vAlign w:val="center"/>
          </w:tcPr>
          <w:p w14:paraId="526A0F42" w14:textId="77777777" w:rsidR="004A457A" w:rsidRPr="001E614B" w:rsidRDefault="004A457A">
            <w:pPr>
              <w:jc w:val="center"/>
              <w:rPr>
                <w:sz w:val="14"/>
                <w:szCs w:val="16"/>
              </w:rPr>
            </w:pPr>
            <w:r w:rsidRPr="001E614B">
              <w:rPr>
                <w:b/>
                <w:bCs/>
                <w:color w:val="000000"/>
                <w:sz w:val="14"/>
                <w:szCs w:val="14"/>
              </w:rPr>
              <w:t>4 208 364,9</w:t>
            </w:r>
          </w:p>
        </w:tc>
        <w:tc>
          <w:tcPr>
            <w:tcW w:w="465" w:type="pct"/>
            <w:tcMar>
              <w:left w:w="57" w:type="dxa"/>
              <w:right w:w="57" w:type="dxa"/>
            </w:tcMar>
            <w:vAlign w:val="center"/>
          </w:tcPr>
          <w:p w14:paraId="49D84B7D" w14:textId="77777777" w:rsidR="004A457A" w:rsidRPr="001E614B" w:rsidRDefault="004A457A">
            <w:pPr>
              <w:jc w:val="center"/>
              <w:rPr>
                <w:sz w:val="14"/>
                <w:szCs w:val="16"/>
              </w:rPr>
            </w:pPr>
            <w:r w:rsidRPr="001E614B">
              <w:rPr>
                <w:b/>
                <w:bCs/>
                <w:i/>
                <w:iCs/>
                <w:color w:val="000000"/>
                <w:sz w:val="14"/>
                <w:szCs w:val="14"/>
              </w:rPr>
              <w:t>100,3</w:t>
            </w:r>
          </w:p>
        </w:tc>
      </w:tr>
      <w:tr w:rsidR="004A457A" w:rsidRPr="001E614B" w14:paraId="087AEBA9" w14:textId="77777777" w:rsidTr="004E568C">
        <w:trPr>
          <w:trHeight w:val="190"/>
        </w:trPr>
        <w:tc>
          <w:tcPr>
            <w:tcW w:w="658" w:type="pct"/>
            <w:shd w:val="clear" w:color="auto" w:fill="auto"/>
            <w:vAlign w:val="center"/>
          </w:tcPr>
          <w:p w14:paraId="47776F0C" w14:textId="77777777" w:rsidR="004A457A" w:rsidRPr="001E614B" w:rsidRDefault="004A457A">
            <w:pPr>
              <w:kinsoku w:val="0"/>
              <w:overflowPunct w:val="0"/>
              <w:textAlignment w:val="baseline"/>
              <w:rPr>
                <w:i/>
                <w:color w:val="000000"/>
                <w:kern w:val="24"/>
                <w:sz w:val="16"/>
                <w:szCs w:val="18"/>
              </w:rPr>
            </w:pPr>
            <w:r w:rsidRPr="001E614B">
              <w:rPr>
                <w:i/>
                <w:color w:val="000000"/>
                <w:kern w:val="24"/>
                <w:sz w:val="16"/>
                <w:szCs w:val="18"/>
              </w:rPr>
              <w:t>%% к ВВП</w:t>
            </w:r>
          </w:p>
        </w:tc>
        <w:tc>
          <w:tcPr>
            <w:tcW w:w="434" w:type="pct"/>
            <w:shd w:val="clear" w:color="auto" w:fill="auto"/>
            <w:tcMar>
              <w:left w:w="57" w:type="dxa"/>
              <w:right w:w="57" w:type="dxa"/>
            </w:tcMar>
            <w:vAlign w:val="center"/>
          </w:tcPr>
          <w:p w14:paraId="4BEBFFDE" w14:textId="77777777" w:rsidR="004A457A" w:rsidRPr="001E614B" w:rsidRDefault="004A457A">
            <w:pPr>
              <w:jc w:val="center"/>
              <w:rPr>
                <w:sz w:val="14"/>
                <w:szCs w:val="16"/>
              </w:rPr>
            </w:pPr>
            <w:r w:rsidRPr="001E614B">
              <w:rPr>
                <w:i/>
                <w:iCs/>
                <w:color w:val="000000"/>
                <w:sz w:val="14"/>
                <w:szCs w:val="14"/>
              </w:rPr>
              <w:t>3,2</w:t>
            </w:r>
          </w:p>
        </w:tc>
        <w:tc>
          <w:tcPr>
            <w:tcW w:w="439" w:type="pct"/>
            <w:shd w:val="clear" w:color="auto" w:fill="auto"/>
            <w:tcMar>
              <w:left w:w="57" w:type="dxa"/>
              <w:right w:w="57" w:type="dxa"/>
            </w:tcMar>
            <w:vAlign w:val="center"/>
          </w:tcPr>
          <w:p w14:paraId="37C3BFB1" w14:textId="77777777" w:rsidR="004A457A" w:rsidRPr="001E614B" w:rsidRDefault="004A457A">
            <w:pPr>
              <w:jc w:val="center"/>
              <w:rPr>
                <w:sz w:val="14"/>
                <w:szCs w:val="16"/>
              </w:rPr>
            </w:pPr>
            <w:r w:rsidRPr="001E614B">
              <w:rPr>
                <w:i/>
                <w:iCs/>
                <w:color w:val="000000"/>
                <w:sz w:val="14"/>
                <w:szCs w:val="14"/>
              </w:rPr>
              <w:t>2,4</w:t>
            </w:r>
          </w:p>
        </w:tc>
        <w:tc>
          <w:tcPr>
            <w:tcW w:w="460" w:type="pct"/>
            <w:shd w:val="clear" w:color="auto" w:fill="auto"/>
            <w:tcMar>
              <w:left w:w="57" w:type="dxa"/>
              <w:right w:w="57" w:type="dxa"/>
            </w:tcMar>
            <w:vAlign w:val="center"/>
          </w:tcPr>
          <w:p w14:paraId="6B9DAD2F" w14:textId="77777777" w:rsidR="004A457A" w:rsidRPr="001E614B" w:rsidRDefault="004A457A">
            <w:pPr>
              <w:jc w:val="center"/>
              <w:rPr>
                <w:sz w:val="14"/>
                <w:szCs w:val="16"/>
              </w:rPr>
            </w:pPr>
            <w:r w:rsidRPr="001E614B">
              <w:rPr>
                <w:i/>
                <w:iCs/>
                <w:color w:val="000000"/>
                <w:sz w:val="14"/>
                <w:szCs w:val="14"/>
              </w:rPr>
              <w:t>3,3</w:t>
            </w:r>
          </w:p>
        </w:tc>
        <w:tc>
          <w:tcPr>
            <w:tcW w:w="362" w:type="pct"/>
            <w:tcMar>
              <w:left w:w="57" w:type="dxa"/>
              <w:right w:w="57" w:type="dxa"/>
            </w:tcMar>
            <w:vAlign w:val="center"/>
          </w:tcPr>
          <w:p w14:paraId="1B09D3A5"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63092640" w14:textId="77777777" w:rsidR="004A457A" w:rsidRPr="001E614B" w:rsidRDefault="004A457A">
            <w:pPr>
              <w:jc w:val="center"/>
              <w:rPr>
                <w:sz w:val="14"/>
                <w:szCs w:val="16"/>
              </w:rPr>
            </w:pPr>
            <w:r w:rsidRPr="001E614B">
              <w:rPr>
                <w:i/>
                <w:iCs/>
                <w:color w:val="000000"/>
                <w:sz w:val="14"/>
                <w:szCs w:val="14"/>
              </w:rPr>
              <w:t>2,4</w:t>
            </w:r>
          </w:p>
        </w:tc>
        <w:tc>
          <w:tcPr>
            <w:tcW w:w="454" w:type="pct"/>
            <w:shd w:val="clear" w:color="auto" w:fill="auto"/>
            <w:tcMar>
              <w:left w:w="57" w:type="dxa"/>
              <w:right w:w="57" w:type="dxa"/>
            </w:tcMar>
            <w:vAlign w:val="center"/>
          </w:tcPr>
          <w:p w14:paraId="710D3FC3" w14:textId="77777777" w:rsidR="004A457A" w:rsidRPr="001E614B" w:rsidRDefault="004A457A">
            <w:pPr>
              <w:jc w:val="center"/>
              <w:rPr>
                <w:sz w:val="14"/>
                <w:szCs w:val="16"/>
              </w:rPr>
            </w:pPr>
            <w:r w:rsidRPr="001E614B">
              <w:rPr>
                <w:i/>
                <w:iCs/>
                <w:color w:val="000000"/>
                <w:sz w:val="14"/>
                <w:szCs w:val="14"/>
              </w:rPr>
              <w:t>2,9</w:t>
            </w:r>
          </w:p>
        </w:tc>
        <w:tc>
          <w:tcPr>
            <w:tcW w:w="349" w:type="pct"/>
            <w:tcMar>
              <w:left w:w="57" w:type="dxa"/>
              <w:right w:w="57" w:type="dxa"/>
            </w:tcMar>
            <w:vAlign w:val="center"/>
          </w:tcPr>
          <w:p w14:paraId="245405DE"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4671CA06" w14:textId="77777777" w:rsidR="004A457A" w:rsidRPr="001E614B" w:rsidRDefault="004A457A">
            <w:pPr>
              <w:jc w:val="center"/>
              <w:rPr>
                <w:color w:val="000000"/>
                <w:sz w:val="14"/>
                <w:szCs w:val="14"/>
              </w:rPr>
            </w:pPr>
            <w:r w:rsidRPr="001E614B">
              <w:rPr>
                <w:i/>
                <w:iCs/>
                <w:color w:val="000000"/>
                <w:sz w:val="14"/>
                <w:szCs w:val="14"/>
              </w:rPr>
              <w:t>2,6</w:t>
            </w:r>
          </w:p>
        </w:tc>
        <w:tc>
          <w:tcPr>
            <w:tcW w:w="481" w:type="pct"/>
            <w:shd w:val="clear" w:color="auto" w:fill="auto"/>
            <w:tcMar>
              <w:left w:w="57" w:type="dxa"/>
              <w:right w:w="57" w:type="dxa"/>
            </w:tcMar>
            <w:vAlign w:val="center"/>
          </w:tcPr>
          <w:p w14:paraId="166020BF" w14:textId="77777777" w:rsidR="004A457A" w:rsidRPr="001E614B" w:rsidRDefault="004A457A">
            <w:pPr>
              <w:jc w:val="center"/>
              <w:rPr>
                <w:sz w:val="14"/>
                <w:szCs w:val="16"/>
              </w:rPr>
            </w:pPr>
            <w:r w:rsidRPr="001E614B">
              <w:rPr>
                <w:i/>
                <w:iCs/>
                <w:color w:val="000000"/>
                <w:sz w:val="14"/>
                <w:szCs w:val="14"/>
              </w:rPr>
              <w:t>2,5</w:t>
            </w:r>
          </w:p>
        </w:tc>
        <w:tc>
          <w:tcPr>
            <w:tcW w:w="465" w:type="pct"/>
            <w:tcMar>
              <w:left w:w="57" w:type="dxa"/>
              <w:right w:w="57" w:type="dxa"/>
            </w:tcMar>
            <w:vAlign w:val="center"/>
          </w:tcPr>
          <w:p w14:paraId="00D50DB1" w14:textId="77777777" w:rsidR="004A457A" w:rsidRPr="001E614B" w:rsidRDefault="004A457A">
            <w:pPr>
              <w:jc w:val="center"/>
              <w:rPr>
                <w:sz w:val="14"/>
                <w:szCs w:val="16"/>
              </w:rPr>
            </w:pPr>
            <w:r w:rsidRPr="001E614B">
              <w:rPr>
                <w:i/>
                <w:iCs/>
                <w:color w:val="000000"/>
                <w:sz w:val="14"/>
                <w:szCs w:val="14"/>
              </w:rPr>
              <w:t> </w:t>
            </w:r>
          </w:p>
        </w:tc>
      </w:tr>
      <w:tr w:rsidR="004A457A" w:rsidRPr="001E614B" w14:paraId="3AB6548F" w14:textId="77777777" w:rsidTr="004E568C">
        <w:trPr>
          <w:trHeight w:val="190"/>
        </w:trPr>
        <w:tc>
          <w:tcPr>
            <w:tcW w:w="658" w:type="pct"/>
            <w:shd w:val="clear" w:color="auto" w:fill="auto"/>
            <w:vAlign w:val="center"/>
          </w:tcPr>
          <w:p w14:paraId="6EAF7A40" w14:textId="77777777" w:rsidR="004A457A" w:rsidRPr="001E614B" w:rsidRDefault="004A457A">
            <w:pPr>
              <w:kinsoku w:val="0"/>
              <w:overflowPunct w:val="0"/>
              <w:textAlignment w:val="baseline"/>
              <w:rPr>
                <w:i/>
                <w:color w:val="000000"/>
                <w:kern w:val="24"/>
                <w:sz w:val="16"/>
                <w:szCs w:val="18"/>
              </w:rPr>
            </w:pPr>
            <w:r w:rsidRPr="001E614B">
              <w:rPr>
                <w:i/>
                <w:sz w:val="16"/>
                <w:szCs w:val="18"/>
              </w:rPr>
              <w:t xml:space="preserve">доля в общем объеме расходов, % </w:t>
            </w:r>
            <w:r w:rsidRPr="001E614B">
              <w:rPr>
                <w:i/>
                <w:sz w:val="16"/>
                <w:szCs w:val="18"/>
                <w:vertAlign w:val="superscript"/>
              </w:rPr>
              <w:t>***</w:t>
            </w:r>
          </w:p>
        </w:tc>
        <w:tc>
          <w:tcPr>
            <w:tcW w:w="434" w:type="pct"/>
            <w:shd w:val="clear" w:color="auto" w:fill="auto"/>
            <w:tcMar>
              <w:left w:w="57" w:type="dxa"/>
              <w:right w:w="57" w:type="dxa"/>
            </w:tcMar>
            <w:vAlign w:val="center"/>
          </w:tcPr>
          <w:p w14:paraId="5CF1D602" w14:textId="77777777" w:rsidR="004A457A" w:rsidRPr="001E614B" w:rsidRDefault="004A457A">
            <w:pPr>
              <w:jc w:val="center"/>
              <w:rPr>
                <w:sz w:val="14"/>
                <w:szCs w:val="16"/>
              </w:rPr>
            </w:pPr>
            <w:r w:rsidRPr="001E614B">
              <w:rPr>
                <w:i/>
                <w:iCs/>
                <w:color w:val="000000"/>
                <w:sz w:val="14"/>
                <w:szCs w:val="14"/>
              </w:rPr>
              <w:t>16,9</w:t>
            </w:r>
          </w:p>
        </w:tc>
        <w:tc>
          <w:tcPr>
            <w:tcW w:w="439" w:type="pct"/>
            <w:shd w:val="clear" w:color="auto" w:fill="auto"/>
            <w:tcMar>
              <w:left w:w="57" w:type="dxa"/>
              <w:right w:w="57" w:type="dxa"/>
            </w:tcMar>
            <w:vAlign w:val="center"/>
          </w:tcPr>
          <w:p w14:paraId="44ABEA69" w14:textId="77777777" w:rsidR="004A457A" w:rsidRPr="001E614B" w:rsidRDefault="004A457A">
            <w:pPr>
              <w:jc w:val="center"/>
              <w:rPr>
                <w:sz w:val="14"/>
                <w:szCs w:val="16"/>
              </w:rPr>
            </w:pPr>
            <w:r w:rsidRPr="001E614B">
              <w:rPr>
                <w:i/>
                <w:iCs/>
                <w:color w:val="000000"/>
                <w:sz w:val="14"/>
                <w:szCs w:val="14"/>
              </w:rPr>
              <w:t>14,1</w:t>
            </w:r>
          </w:p>
        </w:tc>
        <w:tc>
          <w:tcPr>
            <w:tcW w:w="460" w:type="pct"/>
            <w:shd w:val="clear" w:color="auto" w:fill="auto"/>
            <w:tcMar>
              <w:left w:w="57" w:type="dxa"/>
              <w:right w:w="57" w:type="dxa"/>
            </w:tcMar>
            <w:vAlign w:val="center"/>
          </w:tcPr>
          <w:p w14:paraId="124C9643" w14:textId="77777777" w:rsidR="004A457A" w:rsidRPr="001E614B" w:rsidRDefault="004A457A">
            <w:pPr>
              <w:jc w:val="center"/>
              <w:rPr>
                <w:sz w:val="14"/>
                <w:szCs w:val="16"/>
              </w:rPr>
            </w:pPr>
            <w:r w:rsidRPr="001E614B">
              <w:rPr>
                <w:i/>
                <w:iCs/>
                <w:color w:val="000000"/>
                <w:sz w:val="14"/>
                <w:szCs w:val="14"/>
              </w:rPr>
              <w:t>17,1</w:t>
            </w:r>
          </w:p>
        </w:tc>
        <w:tc>
          <w:tcPr>
            <w:tcW w:w="362" w:type="pct"/>
            <w:tcMar>
              <w:left w:w="57" w:type="dxa"/>
              <w:right w:w="57" w:type="dxa"/>
            </w:tcMar>
            <w:vAlign w:val="center"/>
          </w:tcPr>
          <w:p w14:paraId="1F2D5332"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28DD6A40" w14:textId="77777777" w:rsidR="004A457A" w:rsidRPr="001E614B" w:rsidRDefault="004A457A">
            <w:pPr>
              <w:jc w:val="center"/>
              <w:rPr>
                <w:sz w:val="14"/>
                <w:szCs w:val="16"/>
              </w:rPr>
            </w:pPr>
            <w:r w:rsidRPr="001E614B">
              <w:rPr>
                <w:i/>
                <w:iCs/>
                <w:color w:val="000000"/>
                <w:sz w:val="14"/>
                <w:szCs w:val="14"/>
              </w:rPr>
              <w:t>14,4</w:t>
            </w:r>
          </w:p>
        </w:tc>
        <w:tc>
          <w:tcPr>
            <w:tcW w:w="454" w:type="pct"/>
            <w:shd w:val="clear" w:color="auto" w:fill="auto"/>
            <w:tcMar>
              <w:left w:w="57" w:type="dxa"/>
              <w:right w:w="57" w:type="dxa"/>
            </w:tcMar>
            <w:vAlign w:val="center"/>
          </w:tcPr>
          <w:p w14:paraId="5141DEDC" w14:textId="77777777" w:rsidR="004A457A" w:rsidRPr="001E614B" w:rsidRDefault="004A457A">
            <w:pPr>
              <w:jc w:val="center"/>
              <w:rPr>
                <w:sz w:val="14"/>
                <w:szCs w:val="16"/>
              </w:rPr>
            </w:pPr>
            <w:r w:rsidRPr="001E614B">
              <w:rPr>
                <w:i/>
                <w:iCs/>
                <w:color w:val="000000"/>
                <w:sz w:val="14"/>
                <w:szCs w:val="14"/>
              </w:rPr>
              <w:t>16,2</w:t>
            </w:r>
          </w:p>
        </w:tc>
        <w:tc>
          <w:tcPr>
            <w:tcW w:w="349" w:type="pct"/>
            <w:tcMar>
              <w:left w:w="57" w:type="dxa"/>
              <w:right w:w="57" w:type="dxa"/>
            </w:tcMar>
            <w:vAlign w:val="center"/>
          </w:tcPr>
          <w:p w14:paraId="670F6DF1"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55F9B674" w14:textId="77777777" w:rsidR="004A457A" w:rsidRPr="001E614B" w:rsidRDefault="004A457A">
            <w:pPr>
              <w:jc w:val="center"/>
              <w:rPr>
                <w:color w:val="000000"/>
                <w:sz w:val="14"/>
                <w:szCs w:val="14"/>
              </w:rPr>
            </w:pPr>
            <w:r w:rsidRPr="001E614B">
              <w:rPr>
                <w:i/>
                <w:iCs/>
                <w:color w:val="000000"/>
                <w:sz w:val="14"/>
                <w:szCs w:val="14"/>
              </w:rPr>
              <w:t>16,1</w:t>
            </w:r>
          </w:p>
        </w:tc>
        <w:tc>
          <w:tcPr>
            <w:tcW w:w="481" w:type="pct"/>
            <w:shd w:val="clear" w:color="auto" w:fill="auto"/>
            <w:tcMar>
              <w:left w:w="57" w:type="dxa"/>
              <w:right w:w="57" w:type="dxa"/>
            </w:tcMar>
            <w:vAlign w:val="center"/>
          </w:tcPr>
          <w:p w14:paraId="67D95C4D" w14:textId="77777777" w:rsidR="004A457A" w:rsidRPr="001E614B" w:rsidRDefault="004A457A">
            <w:pPr>
              <w:jc w:val="center"/>
              <w:rPr>
                <w:sz w:val="14"/>
                <w:szCs w:val="16"/>
              </w:rPr>
            </w:pPr>
            <w:r w:rsidRPr="001E614B">
              <w:rPr>
                <w:i/>
                <w:iCs/>
                <w:color w:val="000000"/>
                <w:sz w:val="14"/>
                <w:szCs w:val="14"/>
              </w:rPr>
              <w:t>15,1</w:t>
            </w:r>
          </w:p>
        </w:tc>
        <w:tc>
          <w:tcPr>
            <w:tcW w:w="465" w:type="pct"/>
            <w:tcMar>
              <w:left w:w="57" w:type="dxa"/>
              <w:right w:w="57" w:type="dxa"/>
            </w:tcMar>
            <w:vAlign w:val="center"/>
          </w:tcPr>
          <w:p w14:paraId="18B6DFD9" w14:textId="77777777" w:rsidR="004A457A" w:rsidRPr="001E614B" w:rsidRDefault="004A457A">
            <w:pPr>
              <w:jc w:val="center"/>
              <w:rPr>
                <w:sz w:val="14"/>
                <w:szCs w:val="16"/>
              </w:rPr>
            </w:pPr>
            <w:r w:rsidRPr="001E614B">
              <w:rPr>
                <w:i/>
                <w:iCs/>
                <w:color w:val="000000"/>
                <w:sz w:val="14"/>
                <w:szCs w:val="14"/>
              </w:rPr>
              <w:t> </w:t>
            </w:r>
          </w:p>
        </w:tc>
      </w:tr>
      <w:tr w:rsidR="004A457A" w:rsidRPr="001E614B" w14:paraId="68FEF813" w14:textId="77777777" w:rsidTr="004E568C">
        <w:trPr>
          <w:trHeight w:val="190"/>
        </w:trPr>
        <w:tc>
          <w:tcPr>
            <w:tcW w:w="658" w:type="pct"/>
            <w:shd w:val="clear" w:color="auto" w:fill="auto"/>
            <w:vAlign w:val="center"/>
          </w:tcPr>
          <w:p w14:paraId="7FD6CBC9" w14:textId="77777777" w:rsidR="004A457A" w:rsidRPr="001E614B" w:rsidRDefault="004A457A">
            <w:pPr>
              <w:kinsoku w:val="0"/>
              <w:overflowPunct w:val="0"/>
              <w:textAlignment w:val="baseline"/>
              <w:rPr>
                <w:color w:val="000000"/>
                <w:kern w:val="24"/>
                <w:sz w:val="16"/>
                <w:szCs w:val="18"/>
              </w:rPr>
            </w:pPr>
            <w:proofErr w:type="spellStart"/>
            <w:r w:rsidRPr="001E614B">
              <w:rPr>
                <w:color w:val="000000"/>
                <w:kern w:val="24"/>
                <w:sz w:val="16"/>
                <w:szCs w:val="18"/>
              </w:rPr>
              <w:t>Нацбезоп</w:t>
            </w:r>
            <w:proofErr w:type="spellEnd"/>
            <w:r w:rsidRPr="001E614B">
              <w:rPr>
                <w:color w:val="000000"/>
                <w:kern w:val="24"/>
                <w:sz w:val="16"/>
                <w:szCs w:val="18"/>
              </w:rPr>
              <w:t xml:space="preserve">. и </w:t>
            </w:r>
            <w:proofErr w:type="spellStart"/>
            <w:r w:rsidRPr="001E614B">
              <w:rPr>
                <w:color w:val="000000"/>
                <w:kern w:val="24"/>
                <w:sz w:val="16"/>
                <w:szCs w:val="18"/>
              </w:rPr>
              <w:t>правоохранит</w:t>
            </w:r>
            <w:proofErr w:type="spellEnd"/>
            <w:r w:rsidRPr="001E614B">
              <w:rPr>
                <w:color w:val="000000"/>
                <w:kern w:val="24"/>
                <w:sz w:val="16"/>
                <w:szCs w:val="18"/>
              </w:rPr>
              <w:t xml:space="preserve">. деятельность </w:t>
            </w:r>
          </w:p>
        </w:tc>
        <w:tc>
          <w:tcPr>
            <w:tcW w:w="434" w:type="pct"/>
            <w:shd w:val="clear" w:color="auto" w:fill="auto"/>
            <w:tcMar>
              <w:left w:w="57" w:type="dxa"/>
              <w:right w:w="57" w:type="dxa"/>
            </w:tcMar>
            <w:vAlign w:val="center"/>
          </w:tcPr>
          <w:p w14:paraId="6E54D60D" w14:textId="77777777" w:rsidR="004A457A" w:rsidRPr="001E614B" w:rsidRDefault="004A457A">
            <w:pPr>
              <w:jc w:val="center"/>
              <w:rPr>
                <w:sz w:val="14"/>
                <w:szCs w:val="16"/>
              </w:rPr>
            </w:pPr>
            <w:r w:rsidRPr="001E614B">
              <w:rPr>
                <w:b/>
                <w:bCs/>
                <w:color w:val="000000"/>
                <w:sz w:val="14"/>
                <w:szCs w:val="14"/>
              </w:rPr>
              <w:t>2 788 431,9</w:t>
            </w:r>
          </w:p>
        </w:tc>
        <w:tc>
          <w:tcPr>
            <w:tcW w:w="439" w:type="pct"/>
            <w:shd w:val="clear" w:color="auto" w:fill="auto"/>
            <w:tcMar>
              <w:left w:w="57" w:type="dxa"/>
              <w:right w:w="57" w:type="dxa"/>
            </w:tcMar>
            <w:vAlign w:val="center"/>
          </w:tcPr>
          <w:p w14:paraId="47A4B0A0" w14:textId="77777777" w:rsidR="004A457A" w:rsidRPr="001E614B" w:rsidRDefault="004A457A">
            <w:pPr>
              <w:jc w:val="center"/>
              <w:rPr>
                <w:sz w:val="14"/>
                <w:szCs w:val="16"/>
              </w:rPr>
            </w:pPr>
            <w:r w:rsidRPr="001E614B">
              <w:rPr>
                <w:b/>
                <w:bCs/>
                <w:color w:val="000000"/>
                <w:sz w:val="14"/>
                <w:szCs w:val="14"/>
              </w:rPr>
              <w:t>2 967 296,5</w:t>
            </w:r>
          </w:p>
        </w:tc>
        <w:tc>
          <w:tcPr>
            <w:tcW w:w="460" w:type="pct"/>
            <w:shd w:val="clear" w:color="auto" w:fill="auto"/>
            <w:tcMar>
              <w:left w:w="57" w:type="dxa"/>
              <w:right w:w="57" w:type="dxa"/>
            </w:tcMar>
            <w:vAlign w:val="center"/>
          </w:tcPr>
          <w:p w14:paraId="1418C65D" w14:textId="77777777" w:rsidR="004A457A" w:rsidRPr="001E614B" w:rsidRDefault="004A457A">
            <w:pPr>
              <w:jc w:val="center"/>
              <w:rPr>
                <w:sz w:val="14"/>
                <w:szCs w:val="16"/>
              </w:rPr>
            </w:pPr>
            <w:r w:rsidRPr="001E614B">
              <w:rPr>
                <w:b/>
                <w:bCs/>
                <w:color w:val="000000"/>
                <w:sz w:val="14"/>
                <w:szCs w:val="14"/>
              </w:rPr>
              <w:t>4 417 080,2</w:t>
            </w:r>
          </w:p>
        </w:tc>
        <w:tc>
          <w:tcPr>
            <w:tcW w:w="362" w:type="pct"/>
            <w:tcMar>
              <w:left w:w="57" w:type="dxa"/>
              <w:right w:w="57" w:type="dxa"/>
            </w:tcMar>
            <w:vAlign w:val="center"/>
          </w:tcPr>
          <w:p w14:paraId="157EA844" w14:textId="77777777" w:rsidR="004A457A" w:rsidRPr="001E614B" w:rsidRDefault="004A457A">
            <w:pPr>
              <w:jc w:val="center"/>
              <w:rPr>
                <w:sz w:val="14"/>
                <w:szCs w:val="16"/>
              </w:rPr>
            </w:pPr>
            <w:r w:rsidRPr="001E614B">
              <w:rPr>
                <w:b/>
                <w:bCs/>
                <w:i/>
                <w:iCs/>
                <w:color w:val="000000"/>
                <w:sz w:val="14"/>
                <w:szCs w:val="14"/>
              </w:rPr>
              <w:t>148,9</w:t>
            </w:r>
          </w:p>
        </w:tc>
        <w:tc>
          <w:tcPr>
            <w:tcW w:w="439" w:type="pct"/>
            <w:tcMar>
              <w:left w:w="57" w:type="dxa"/>
              <w:right w:w="57" w:type="dxa"/>
            </w:tcMar>
            <w:vAlign w:val="center"/>
          </w:tcPr>
          <w:p w14:paraId="370A014F" w14:textId="77777777" w:rsidR="004A457A" w:rsidRPr="001E614B" w:rsidRDefault="004A457A">
            <w:pPr>
              <w:jc w:val="center"/>
              <w:rPr>
                <w:sz w:val="14"/>
                <w:szCs w:val="16"/>
              </w:rPr>
            </w:pPr>
            <w:r w:rsidRPr="001E614B">
              <w:rPr>
                <w:b/>
                <w:bCs/>
                <w:color w:val="000000"/>
                <w:sz w:val="14"/>
                <w:szCs w:val="14"/>
              </w:rPr>
              <w:t>3 192 125,3</w:t>
            </w:r>
          </w:p>
        </w:tc>
        <w:tc>
          <w:tcPr>
            <w:tcW w:w="454" w:type="pct"/>
            <w:shd w:val="clear" w:color="auto" w:fill="auto"/>
            <w:tcMar>
              <w:left w:w="57" w:type="dxa"/>
              <w:right w:w="57" w:type="dxa"/>
            </w:tcMar>
            <w:vAlign w:val="center"/>
          </w:tcPr>
          <w:p w14:paraId="15E10DEA" w14:textId="77777777" w:rsidR="004A457A" w:rsidRPr="001E614B" w:rsidRDefault="004A457A">
            <w:pPr>
              <w:jc w:val="center"/>
              <w:rPr>
                <w:sz w:val="14"/>
                <w:szCs w:val="16"/>
              </w:rPr>
            </w:pPr>
            <w:r w:rsidRPr="001E614B">
              <w:rPr>
                <w:b/>
                <w:bCs/>
                <w:color w:val="000000"/>
                <w:sz w:val="14"/>
                <w:szCs w:val="14"/>
              </w:rPr>
              <w:t>4 332 065,8</w:t>
            </w:r>
          </w:p>
        </w:tc>
        <w:tc>
          <w:tcPr>
            <w:tcW w:w="349" w:type="pct"/>
            <w:tcMar>
              <w:left w:w="57" w:type="dxa"/>
              <w:right w:w="57" w:type="dxa"/>
            </w:tcMar>
            <w:vAlign w:val="center"/>
          </w:tcPr>
          <w:p w14:paraId="75DF9828" w14:textId="77777777" w:rsidR="004A457A" w:rsidRPr="001E614B" w:rsidRDefault="004A457A">
            <w:pPr>
              <w:jc w:val="center"/>
              <w:rPr>
                <w:sz w:val="14"/>
                <w:szCs w:val="16"/>
              </w:rPr>
            </w:pPr>
            <w:r w:rsidRPr="001E614B">
              <w:rPr>
                <w:b/>
                <w:bCs/>
                <w:i/>
                <w:iCs/>
                <w:color w:val="000000"/>
                <w:sz w:val="14"/>
                <w:szCs w:val="14"/>
              </w:rPr>
              <w:t>135,7</w:t>
            </w:r>
          </w:p>
        </w:tc>
        <w:tc>
          <w:tcPr>
            <w:tcW w:w="460" w:type="pct"/>
            <w:tcMar>
              <w:left w:w="57" w:type="dxa"/>
              <w:right w:w="57" w:type="dxa"/>
            </w:tcMar>
            <w:vAlign w:val="center"/>
          </w:tcPr>
          <w:p w14:paraId="1DDD21AE" w14:textId="77777777" w:rsidR="004A457A" w:rsidRPr="001E614B" w:rsidRDefault="004A457A">
            <w:pPr>
              <w:jc w:val="center"/>
              <w:rPr>
                <w:color w:val="000000"/>
                <w:sz w:val="14"/>
                <w:szCs w:val="14"/>
              </w:rPr>
            </w:pPr>
            <w:r w:rsidRPr="001E614B">
              <w:rPr>
                <w:b/>
                <w:bCs/>
                <w:color w:val="000000"/>
                <w:sz w:val="14"/>
                <w:szCs w:val="14"/>
              </w:rPr>
              <w:t>3 241 804,7</w:t>
            </w:r>
          </w:p>
        </w:tc>
        <w:tc>
          <w:tcPr>
            <w:tcW w:w="481" w:type="pct"/>
            <w:shd w:val="clear" w:color="auto" w:fill="auto"/>
            <w:tcMar>
              <w:left w:w="57" w:type="dxa"/>
              <w:right w:w="57" w:type="dxa"/>
            </w:tcMar>
            <w:vAlign w:val="center"/>
          </w:tcPr>
          <w:p w14:paraId="4761E076" w14:textId="77777777" w:rsidR="004A457A" w:rsidRPr="001E614B" w:rsidRDefault="004A457A">
            <w:pPr>
              <w:jc w:val="center"/>
              <w:rPr>
                <w:sz w:val="14"/>
                <w:szCs w:val="16"/>
              </w:rPr>
            </w:pPr>
            <w:r w:rsidRPr="001E614B">
              <w:rPr>
                <w:b/>
                <w:bCs/>
                <w:color w:val="000000"/>
                <w:sz w:val="14"/>
                <w:szCs w:val="14"/>
              </w:rPr>
              <w:t>4 344 238,8</w:t>
            </w:r>
          </w:p>
        </w:tc>
        <w:tc>
          <w:tcPr>
            <w:tcW w:w="465" w:type="pct"/>
            <w:tcMar>
              <w:left w:w="57" w:type="dxa"/>
              <w:right w:w="57" w:type="dxa"/>
            </w:tcMar>
            <w:vAlign w:val="center"/>
          </w:tcPr>
          <w:p w14:paraId="10ECD6F4" w14:textId="77777777" w:rsidR="004A457A" w:rsidRPr="001E614B" w:rsidRDefault="004A457A">
            <w:pPr>
              <w:jc w:val="center"/>
              <w:rPr>
                <w:sz w:val="14"/>
                <w:szCs w:val="16"/>
              </w:rPr>
            </w:pPr>
            <w:r w:rsidRPr="001E614B">
              <w:rPr>
                <w:b/>
                <w:bCs/>
                <w:i/>
                <w:iCs/>
                <w:color w:val="000000"/>
                <w:sz w:val="14"/>
                <w:szCs w:val="14"/>
              </w:rPr>
              <w:t>134,0</w:t>
            </w:r>
          </w:p>
        </w:tc>
      </w:tr>
      <w:tr w:rsidR="004A457A" w:rsidRPr="001E614B" w14:paraId="40C826B6" w14:textId="77777777" w:rsidTr="004E568C">
        <w:trPr>
          <w:trHeight w:val="190"/>
        </w:trPr>
        <w:tc>
          <w:tcPr>
            <w:tcW w:w="658" w:type="pct"/>
            <w:shd w:val="clear" w:color="auto" w:fill="auto"/>
            <w:vAlign w:val="center"/>
          </w:tcPr>
          <w:p w14:paraId="187FDBE7" w14:textId="77777777" w:rsidR="004A457A" w:rsidRPr="001E614B" w:rsidRDefault="004A457A">
            <w:pPr>
              <w:kinsoku w:val="0"/>
              <w:overflowPunct w:val="0"/>
              <w:textAlignment w:val="baseline"/>
              <w:rPr>
                <w:i/>
                <w:color w:val="000000"/>
                <w:kern w:val="24"/>
                <w:sz w:val="16"/>
                <w:szCs w:val="18"/>
              </w:rPr>
            </w:pPr>
            <w:r w:rsidRPr="001E614B">
              <w:rPr>
                <w:i/>
                <w:color w:val="000000"/>
                <w:kern w:val="24"/>
                <w:sz w:val="16"/>
                <w:szCs w:val="18"/>
              </w:rPr>
              <w:t>%% к ВВП</w:t>
            </w:r>
          </w:p>
        </w:tc>
        <w:tc>
          <w:tcPr>
            <w:tcW w:w="434" w:type="pct"/>
            <w:shd w:val="clear" w:color="auto" w:fill="auto"/>
            <w:tcMar>
              <w:left w:w="57" w:type="dxa"/>
              <w:right w:w="57" w:type="dxa"/>
            </w:tcMar>
            <w:vAlign w:val="center"/>
          </w:tcPr>
          <w:p w14:paraId="7C23EF14" w14:textId="77777777" w:rsidR="004A457A" w:rsidRPr="001E614B" w:rsidRDefault="004A457A">
            <w:pPr>
              <w:jc w:val="center"/>
              <w:rPr>
                <w:sz w:val="14"/>
                <w:szCs w:val="16"/>
              </w:rPr>
            </w:pPr>
            <w:r w:rsidRPr="001E614B">
              <w:rPr>
                <w:i/>
                <w:iCs/>
                <w:color w:val="000000"/>
                <w:sz w:val="14"/>
                <w:szCs w:val="14"/>
              </w:rPr>
              <w:t>1,9</w:t>
            </w:r>
          </w:p>
        </w:tc>
        <w:tc>
          <w:tcPr>
            <w:tcW w:w="439" w:type="pct"/>
            <w:shd w:val="clear" w:color="auto" w:fill="auto"/>
            <w:tcMar>
              <w:left w:w="57" w:type="dxa"/>
              <w:right w:w="57" w:type="dxa"/>
            </w:tcMar>
            <w:vAlign w:val="center"/>
          </w:tcPr>
          <w:p w14:paraId="0997BB05" w14:textId="77777777" w:rsidR="004A457A" w:rsidRPr="001E614B" w:rsidRDefault="004A457A">
            <w:pPr>
              <w:jc w:val="center"/>
              <w:rPr>
                <w:sz w:val="14"/>
                <w:szCs w:val="16"/>
              </w:rPr>
            </w:pPr>
            <w:r w:rsidRPr="001E614B">
              <w:rPr>
                <w:i/>
                <w:iCs/>
                <w:color w:val="000000"/>
                <w:sz w:val="14"/>
                <w:szCs w:val="14"/>
              </w:rPr>
              <w:t>2,1</w:t>
            </w:r>
          </w:p>
        </w:tc>
        <w:tc>
          <w:tcPr>
            <w:tcW w:w="460" w:type="pct"/>
            <w:shd w:val="clear" w:color="auto" w:fill="auto"/>
            <w:tcMar>
              <w:left w:w="57" w:type="dxa"/>
              <w:right w:w="57" w:type="dxa"/>
            </w:tcMar>
            <w:vAlign w:val="center"/>
          </w:tcPr>
          <w:p w14:paraId="1CEE5FE6" w14:textId="77777777" w:rsidR="004A457A" w:rsidRPr="001E614B" w:rsidRDefault="004A457A">
            <w:pPr>
              <w:jc w:val="center"/>
              <w:rPr>
                <w:sz w:val="14"/>
                <w:szCs w:val="16"/>
              </w:rPr>
            </w:pPr>
            <w:r w:rsidRPr="001E614B">
              <w:rPr>
                <w:i/>
                <w:iCs/>
                <w:color w:val="000000"/>
                <w:sz w:val="14"/>
                <w:szCs w:val="14"/>
              </w:rPr>
              <w:t>2,9</w:t>
            </w:r>
          </w:p>
        </w:tc>
        <w:tc>
          <w:tcPr>
            <w:tcW w:w="362" w:type="pct"/>
            <w:tcMar>
              <w:left w:w="57" w:type="dxa"/>
              <w:right w:w="57" w:type="dxa"/>
            </w:tcMar>
            <w:vAlign w:val="center"/>
          </w:tcPr>
          <w:p w14:paraId="7FE1AD0E"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0FB8DC43" w14:textId="77777777" w:rsidR="004A457A" w:rsidRPr="001E614B" w:rsidRDefault="004A457A">
            <w:pPr>
              <w:jc w:val="center"/>
              <w:rPr>
                <w:sz w:val="14"/>
                <w:szCs w:val="16"/>
              </w:rPr>
            </w:pPr>
            <w:r w:rsidRPr="001E614B">
              <w:rPr>
                <w:i/>
                <w:iCs/>
                <w:color w:val="000000"/>
                <w:sz w:val="14"/>
                <w:szCs w:val="14"/>
              </w:rPr>
              <w:t>2,1</w:t>
            </w:r>
          </w:p>
        </w:tc>
        <w:tc>
          <w:tcPr>
            <w:tcW w:w="454" w:type="pct"/>
            <w:shd w:val="clear" w:color="auto" w:fill="auto"/>
            <w:tcMar>
              <w:left w:w="57" w:type="dxa"/>
              <w:right w:w="57" w:type="dxa"/>
            </w:tcMar>
            <w:vAlign w:val="center"/>
          </w:tcPr>
          <w:p w14:paraId="41E6B8A7" w14:textId="77777777" w:rsidR="004A457A" w:rsidRPr="001E614B" w:rsidRDefault="004A457A">
            <w:pPr>
              <w:jc w:val="center"/>
              <w:rPr>
                <w:sz w:val="14"/>
                <w:szCs w:val="16"/>
              </w:rPr>
            </w:pPr>
            <w:r w:rsidRPr="001E614B">
              <w:rPr>
                <w:i/>
                <w:iCs/>
                <w:color w:val="000000"/>
                <w:sz w:val="14"/>
                <w:szCs w:val="14"/>
              </w:rPr>
              <w:t>2,7</w:t>
            </w:r>
          </w:p>
        </w:tc>
        <w:tc>
          <w:tcPr>
            <w:tcW w:w="349" w:type="pct"/>
            <w:tcMar>
              <w:left w:w="57" w:type="dxa"/>
              <w:right w:w="57" w:type="dxa"/>
            </w:tcMar>
            <w:vAlign w:val="center"/>
          </w:tcPr>
          <w:p w14:paraId="4B46AEFE"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71B41552" w14:textId="77777777" w:rsidR="004A457A" w:rsidRPr="001E614B" w:rsidRDefault="004A457A">
            <w:pPr>
              <w:jc w:val="center"/>
              <w:rPr>
                <w:color w:val="000000"/>
                <w:sz w:val="14"/>
                <w:szCs w:val="14"/>
              </w:rPr>
            </w:pPr>
            <w:r w:rsidRPr="001E614B">
              <w:rPr>
                <w:i/>
                <w:iCs/>
                <w:color w:val="000000"/>
                <w:sz w:val="14"/>
                <w:szCs w:val="14"/>
              </w:rPr>
              <w:t>2,0</w:t>
            </w:r>
          </w:p>
        </w:tc>
        <w:tc>
          <w:tcPr>
            <w:tcW w:w="481" w:type="pct"/>
            <w:shd w:val="clear" w:color="auto" w:fill="auto"/>
            <w:tcMar>
              <w:left w:w="57" w:type="dxa"/>
              <w:right w:w="57" w:type="dxa"/>
            </w:tcMar>
            <w:vAlign w:val="center"/>
          </w:tcPr>
          <w:p w14:paraId="24A2DCD5" w14:textId="77777777" w:rsidR="004A457A" w:rsidRPr="001E614B" w:rsidRDefault="004A457A">
            <w:pPr>
              <w:jc w:val="center"/>
              <w:rPr>
                <w:sz w:val="14"/>
                <w:szCs w:val="16"/>
              </w:rPr>
            </w:pPr>
            <w:r w:rsidRPr="001E614B">
              <w:rPr>
                <w:i/>
                <w:iCs/>
                <w:color w:val="000000"/>
                <w:sz w:val="14"/>
                <w:szCs w:val="14"/>
              </w:rPr>
              <w:t>2,5</w:t>
            </w:r>
          </w:p>
        </w:tc>
        <w:tc>
          <w:tcPr>
            <w:tcW w:w="465" w:type="pct"/>
            <w:tcMar>
              <w:left w:w="57" w:type="dxa"/>
              <w:right w:w="57" w:type="dxa"/>
            </w:tcMar>
            <w:vAlign w:val="center"/>
          </w:tcPr>
          <w:p w14:paraId="16FE9C8A" w14:textId="77777777" w:rsidR="004A457A" w:rsidRPr="001E614B" w:rsidRDefault="004A457A">
            <w:pPr>
              <w:jc w:val="center"/>
              <w:rPr>
                <w:sz w:val="14"/>
                <w:szCs w:val="16"/>
              </w:rPr>
            </w:pPr>
            <w:r w:rsidRPr="001E614B">
              <w:rPr>
                <w:i/>
                <w:iCs/>
                <w:color w:val="000000"/>
                <w:sz w:val="14"/>
                <w:szCs w:val="14"/>
              </w:rPr>
              <w:t> </w:t>
            </w:r>
          </w:p>
        </w:tc>
      </w:tr>
      <w:tr w:rsidR="004A457A" w:rsidRPr="001E614B" w14:paraId="71982CE6" w14:textId="77777777" w:rsidTr="004E568C">
        <w:trPr>
          <w:trHeight w:val="190"/>
        </w:trPr>
        <w:tc>
          <w:tcPr>
            <w:tcW w:w="658" w:type="pct"/>
            <w:shd w:val="clear" w:color="auto" w:fill="auto"/>
            <w:vAlign w:val="center"/>
          </w:tcPr>
          <w:p w14:paraId="5981E005" w14:textId="77777777" w:rsidR="004A457A" w:rsidRPr="001E614B" w:rsidRDefault="004A457A">
            <w:pPr>
              <w:kinsoku w:val="0"/>
              <w:overflowPunct w:val="0"/>
              <w:textAlignment w:val="baseline"/>
              <w:rPr>
                <w:i/>
                <w:color w:val="000000"/>
                <w:kern w:val="24"/>
                <w:sz w:val="16"/>
                <w:szCs w:val="18"/>
              </w:rPr>
            </w:pPr>
            <w:r w:rsidRPr="001E614B">
              <w:rPr>
                <w:i/>
                <w:sz w:val="16"/>
                <w:szCs w:val="18"/>
              </w:rPr>
              <w:t>доля в общем объеме расходов, %</w:t>
            </w:r>
            <w:r w:rsidRPr="001E614B">
              <w:rPr>
                <w:i/>
                <w:sz w:val="16"/>
                <w:szCs w:val="18"/>
                <w:vertAlign w:val="superscript"/>
              </w:rPr>
              <w:t>***</w:t>
            </w:r>
            <w:r w:rsidRPr="001E614B">
              <w:rPr>
                <w:i/>
                <w:sz w:val="16"/>
                <w:szCs w:val="18"/>
              </w:rPr>
              <w:t xml:space="preserve"> </w:t>
            </w:r>
          </w:p>
        </w:tc>
        <w:tc>
          <w:tcPr>
            <w:tcW w:w="434" w:type="pct"/>
            <w:shd w:val="clear" w:color="auto" w:fill="auto"/>
            <w:tcMar>
              <w:left w:w="57" w:type="dxa"/>
              <w:right w:w="57" w:type="dxa"/>
            </w:tcMar>
            <w:vAlign w:val="center"/>
          </w:tcPr>
          <w:p w14:paraId="667BF9BA" w14:textId="77777777" w:rsidR="004A457A" w:rsidRPr="001E614B" w:rsidRDefault="004A457A">
            <w:pPr>
              <w:jc w:val="center"/>
              <w:rPr>
                <w:sz w:val="14"/>
                <w:szCs w:val="16"/>
              </w:rPr>
            </w:pPr>
            <w:r w:rsidRPr="001E614B">
              <w:rPr>
                <w:i/>
                <w:iCs/>
                <w:color w:val="000000"/>
                <w:sz w:val="14"/>
                <w:szCs w:val="14"/>
              </w:rPr>
              <w:t>10,1</w:t>
            </w:r>
          </w:p>
        </w:tc>
        <w:tc>
          <w:tcPr>
            <w:tcW w:w="439" w:type="pct"/>
            <w:shd w:val="clear" w:color="auto" w:fill="auto"/>
            <w:tcMar>
              <w:left w:w="57" w:type="dxa"/>
              <w:right w:w="57" w:type="dxa"/>
            </w:tcMar>
            <w:vAlign w:val="center"/>
          </w:tcPr>
          <w:p w14:paraId="3D285393" w14:textId="77777777" w:rsidR="004A457A" w:rsidRPr="001E614B" w:rsidRDefault="004A457A">
            <w:pPr>
              <w:jc w:val="center"/>
              <w:rPr>
                <w:sz w:val="14"/>
                <w:szCs w:val="16"/>
              </w:rPr>
            </w:pPr>
            <w:r w:rsidRPr="001E614B">
              <w:rPr>
                <w:i/>
                <w:iCs/>
                <w:color w:val="000000"/>
                <w:sz w:val="14"/>
                <w:szCs w:val="14"/>
              </w:rPr>
              <w:t>12,1</w:t>
            </w:r>
          </w:p>
        </w:tc>
        <w:tc>
          <w:tcPr>
            <w:tcW w:w="460" w:type="pct"/>
            <w:shd w:val="clear" w:color="auto" w:fill="auto"/>
            <w:tcMar>
              <w:left w:w="57" w:type="dxa"/>
              <w:right w:w="57" w:type="dxa"/>
            </w:tcMar>
            <w:vAlign w:val="center"/>
          </w:tcPr>
          <w:p w14:paraId="4F1B03AC" w14:textId="77777777" w:rsidR="004A457A" w:rsidRPr="001E614B" w:rsidRDefault="004A457A">
            <w:pPr>
              <w:jc w:val="center"/>
              <w:rPr>
                <w:sz w:val="14"/>
                <w:szCs w:val="16"/>
              </w:rPr>
            </w:pPr>
            <w:r w:rsidRPr="001E614B">
              <w:rPr>
                <w:i/>
                <w:iCs/>
                <w:color w:val="000000"/>
                <w:sz w:val="14"/>
                <w:szCs w:val="14"/>
              </w:rPr>
              <w:t>15,2</w:t>
            </w:r>
          </w:p>
        </w:tc>
        <w:tc>
          <w:tcPr>
            <w:tcW w:w="362" w:type="pct"/>
            <w:tcMar>
              <w:left w:w="57" w:type="dxa"/>
              <w:right w:w="57" w:type="dxa"/>
            </w:tcMar>
            <w:vAlign w:val="center"/>
          </w:tcPr>
          <w:p w14:paraId="5A68AC15"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7C9E9038" w14:textId="77777777" w:rsidR="004A457A" w:rsidRPr="001E614B" w:rsidRDefault="004A457A">
            <w:pPr>
              <w:jc w:val="center"/>
              <w:rPr>
                <w:sz w:val="14"/>
                <w:szCs w:val="16"/>
              </w:rPr>
            </w:pPr>
            <w:r w:rsidRPr="001E614B">
              <w:rPr>
                <w:i/>
                <w:iCs/>
                <w:color w:val="000000"/>
                <w:sz w:val="14"/>
                <w:szCs w:val="14"/>
              </w:rPr>
              <w:t>12,7</w:t>
            </w:r>
          </w:p>
        </w:tc>
        <w:tc>
          <w:tcPr>
            <w:tcW w:w="454" w:type="pct"/>
            <w:shd w:val="clear" w:color="auto" w:fill="auto"/>
            <w:tcMar>
              <w:left w:w="57" w:type="dxa"/>
              <w:right w:w="57" w:type="dxa"/>
            </w:tcMar>
            <w:vAlign w:val="center"/>
          </w:tcPr>
          <w:p w14:paraId="6A0FB871" w14:textId="77777777" w:rsidR="004A457A" w:rsidRPr="001E614B" w:rsidRDefault="004A457A">
            <w:pPr>
              <w:jc w:val="center"/>
              <w:rPr>
                <w:sz w:val="14"/>
                <w:szCs w:val="16"/>
              </w:rPr>
            </w:pPr>
            <w:r w:rsidRPr="001E614B">
              <w:rPr>
                <w:i/>
                <w:iCs/>
                <w:color w:val="000000"/>
                <w:sz w:val="14"/>
                <w:szCs w:val="14"/>
              </w:rPr>
              <w:t>15,1</w:t>
            </w:r>
          </w:p>
        </w:tc>
        <w:tc>
          <w:tcPr>
            <w:tcW w:w="349" w:type="pct"/>
            <w:tcMar>
              <w:left w:w="57" w:type="dxa"/>
              <w:right w:w="57" w:type="dxa"/>
            </w:tcMar>
            <w:vAlign w:val="center"/>
          </w:tcPr>
          <w:p w14:paraId="7823A9E1"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0B390CFC" w14:textId="77777777" w:rsidR="004A457A" w:rsidRPr="001E614B" w:rsidRDefault="004A457A">
            <w:pPr>
              <w:jc w:val="center"/>
              <w:rPr>
                <w:color w:val="000000"/>
                <w:sz w:val="14"/>
                <w:szCs w:val="14"/>
              </w:rPr>
            </w:pPr>
            <w:r w:rsidRPr="001E614B">
              <w:rPr>
                <w:i/>
                <w:iCs/>
                <w:color w:val="000000"/>
                <w:sz w:val="14"/>
                <w:szCs w:val="14"/>
              </w:rPr>
              <w:t>12,4</w:t>
            </w:r>
          </w:p>
        </w:tc>
        <w:tc>
          <w:tcPr>
            <w:tcW w:w="481" w:type="pct"/>
            <w:shd w:val="clear" w:color="auto" w:fill="auto"/>
            <w:tcMar>
              <w:left w:w="57" w:type="dxa"/>
              <w:right w:w="57" w:type="dxa"/>
            </w:tcMar>
            <w:vAlign w:val="center"/>
          </w:tcPr>
          <w:p w14:paraId="26B3D6EC" w14:textId="77777777" w:rsidR="004A457A" w:rsidRPr="001E614B" w:rsidRDefault="004A457A">
            <w:pPr>
              <w:jc w:val="center"/>
              <w:rPr>
                <w:sz w:val="14"/>
                <w:szCs w:val="16"/>
              </w:rPr>
            </w:pPr>
            <w:r w:rsidRPr="001E614B">
              <w:rPr>
                <w:i/>
                <w:iCs/>
                <w:color w:val="000000"/>
                <w:sz w:val="14"/>
                <w:szCs w:val="14"/>
              </w:rPr>
              <w:t>15,6</w:t>
            </w:r>
          </w:p>
        </w:tc>
        <w:tc>
          <w:tcPr>
            <w:tcW w:w="465" w:type="pct"/>
            <w:tcMar>
              <w:left w:w="57" w:type="dxa"/>
              <w:right w:w="57" w:type="dxa"/>
            </w:tcMar>
            <w:vAlign w:val="center"/>
          </w:tcPr>
          <w:p w14:paraId="5C48D820" w14:textId="77777777" w:rsidR="004A457A" w:rsidRPr="001E614B" w:rsidRDefault="004A457A">
            <w:pPr>
              <w:jc w:val="center"/>
              <w:rPr>
                <w:sz w:val="14"/>
                <w:szCs w:val="16"/>
              </w:rPr>
            </w:pPr>
            <w:r w:rsidRPr="001E614B">
              <w:rPr>
                <w:i/>
                <w:iCs/>
                <w:color w:val="000000"/>
                <w:sz w:val="14"/>
                <w:szCs w:val="14"/>
              </w:rPr>
              <w:t> </w:t>
            </w:r>
          </w:p>
        </w:tc>
      </w:tr>
      <w:tr w:rsidR="004A457A" w:rsidRPr="001E614B" w14:paraId="4F5458E4" w14:textId="77777777" w:rsidTr="004E568C">
        <w:trPr>
          <w:trHeight w:val="190"/>
        </w:trPr>
        <w:tc>
          <w:tcPr>
            <w:tcW w:w="658" w:type="pct"/>
            <w:shd w:val="clear" w:color="auto" w:fill="auto"/>
            <w:vAlign w:val="center"/>
          </w:tcPr>
          <w:p w14:paraId="75FF5542" w14:textId="77777777" w:rsidR="004A457A" w:rsidRPr="001E614B" w:rsidRDefault="004A457A">
            <w:pPr>
              <w:kinsoku w:val="0"/>
              <w:overflowPunct w:val="0"/>
              <w:textAlignment w:val="baseline"/>
              <w:rPr>
                <w:color w:val="000000"/>
                <w:kern w:val="24"/>
                <w:sz w:val="16"/>
                <w:szCs w:val="18"/>
              </w:rPr>
            </w:pPr>
            <w:r w:rsidRPr="001E614B">
              <w:rPr>
                <w:color w:val="000000"/>
                <w:kern w:val="24"/>
                <w:sz w:val="16"/>
                <w:szCs w:val="18"/>
              </w:rPr>
              <w:t xml:space="preserve">Национальная экономика </w:t>
            </w:r>
          </w:p>
        </w:tc>
        <w:tc>
          <w:tcPr>
            <w:tcW w:w="434" w:type="pct"/>
            <w:shd w:val="clear" w:color="auto" w:fill="auto"/>
            <w:tcMar>
              <w:left w:w="57" w:type="dxa"/>
              <w:right w:w="57" w:type="dxa"/>
            </w:tcMar>
            <w:vAlign w:val="center"/>
          </w:tcPr>
          <w:p w14:paraId="5F76BFC8" w14:textId="77777777" w:rsidR="004A457A" w:rsidRPr="001E614B" w:rsidRDefault="004A457A">
            <w:pPr>
              <w:jc w:val="center"/>
              <w:rPr>
                <w:sz w:val="14"/>
                <w:szCs w:val="16"/>
              </w:rPr>
            </w:pPr>
            <w:r w:rsidRPr="001E614B">
              <w:rPr>
                <w:b/>
                <w:bCs/>
                <w:color w:val="000000"/>
                <w:sz w:val="14"/>
                <w:szCs w:val="14"/>
              </w:rPr>
              <w:t>4 317 528,5</w:t>
            </w:r>
          </w:p>
        </w:tc>
        <w:tc>
          <w:tcPr>
            <w:tcW w:w="439" w:type="pct"/>
            <w:shd w:val="clear" w:color="auto" w:fill="auto"/>
            <w:tcMar>
              <w:left w:w="57" w:type="dxa"/>
              <w:right w:w="57" w:type="dxa"/>
            </w:tcMar>
            <w:vAlign w:val="center"/>
          </w:tcPr>
          <w:p w14:paraId="69A850C4" w14:textId="77777777" w:rsidR="004A457A" w:rsidRPr="001E614B" w:rsidRDefault="004A457A">
            <w:pPr>
              <w:jc w:val="center"/>
              <w:rPr>
                <w:sz w:val="14"/>
                <w:szCs w:val="16"/>
              </w:rPr>
            </w:pPr>
            <w:r w:rsidRPr="001E614B">
              <w:rPr>
                <w:b/>
                <w:bCs/>
                <w:color w:val="000000"/>
                <w:sz w:val="14"/>
                <w:szCs w:val="14"/>
              </w:rPr>
              <w:t>3 491 822,0</w:t>
            </w:r>
          </w:p>
        </w:tc>
        <w:tc>
          <w:tcPr>
            <w:tcW w:w="460" w:type="pct"/>
            <w:shd w:val="clear" w:color="auto" w:fill="auto"/>
            <w:tcMar>
              <w:left w:w="57" w:type="dxa"/>
              <w:right w:w="57" w:type="dxa"/>
            </w:tcMar>
            <w:vAlign w:val="center"/>
          </w:tcPr>
          <w:p w14:paraId="792F6BBB" w14:textId="77777777" w:rsidR="004A457A" w:rsidRPr="001E614B" w:rsidRDefault="004A457A">
            <w:pPr>
              <w:jc w:val="center"/>
              <w:rPr>
                <w:sz w:val="14"/>
                <w:szCs w:val="16"/>
              </w:rPr>
            </w:pPr>
            <w:r w:rsidRPr="001E614B">
              <w:rPr>
                <w:b/>
                <w:bCs/>
                <w:color w:val="000000"/>
                <w:sz w:val="14"/>
                <w:szCs w:val="14"/>
              </w:rPr>
              <w:t>3 514 114,6</w:t>
            </w:r>
          </w:p>
        </w:tc>
        <w:tc>
          <w:tcPr>
            <w:tcW w:w="362" w:type="pct"/>
            <w:tcMar>
              <w:left w:w="57" w:type="dxa"/>
              <w:right w:w="57" w:type="dxa"/>
            </w:tcMar>
            <w:vAlign w:val="center"/>
          </w:tcPr>
          <w:p w14:paraId="2B44E0CB" w14:textId="77777777" w:rsidR="004A457A" w:rsidRPr="001E614B" w:rsidRDefault="004A457A">
            <w:pPr>
              <w:jc w:val="center"/>
              <w:rPr>
                <w:sz w:val="14"/>
                <w:szCs w:val="16"/>
              </w:rPr>
            </w:pPr>
            <w:r w:rsidRPr="001E614B">
              <w:rPr>
                <w:b/>
                <w:bCs/>
                <w:i/>
                <w:iCs/>
                <w:color w:val="000000"/>
                <w:sz w:val="14"/>
                <w:szCs w:val="14"/>
              </w:rPr>
              <w:t>100,6</w:t>
            </w:r>
          </w:p>
        </w:tc>
        <w:tc>
          <w:tcPr>
            <w:tcW w:w="439" w:type="pct"/>
            <w:tcMar>
              <w:left w:w="57" w:type="dxa"/>
              <w:right w:w="57" w:type="dxa"/>
            </w:tcMar>
            <w:vAlign w:val="center"/>
          </w:tcPr>
          <w:p w14:paraId="0C7088F7" w14:textId="77777777" w:rsidR="004A457A" w:rsidRPr="001E614B" w:rsidRDefault="004A457A">
            <w:pPr>
              <w:jc w:val="center"/>
              <w:rPr>
                <w:sz w:val="14"/>
                <w:szCs w:val="16"/>
              </w:rPr>
            </w:pPr>
            <w:r w:rsidRPr="001E614B">
              <w:rPr>
                <w:b/>
                <w:bCs/>
                <w:color w:val="000000"/>
                <w:sz w:val="14"/>
                <w:szCs w:val="14"/>
              </w:rPr>
              <w:t>3 424 353,3</w:t>
            </w:r>
          </w:p>
        </w:tc>
        <w:tc>
          <w:tcPr>
            <w:tcW w:w="454" w:type="pct"/>
            <w:shd w:val="clear" w:color="auto" w:fill="auto"/>
            <w:tcMar>
              <w:left w:w="57" w:type="dxa"/>
              <w:right w:w="57" w:type="dxa"/>
            </w:tcMar>
            <w:vAlign w:val="center"/>
          </w:tcPr>
          <w:p w14:paraId="54432E91" w14:textId="77777777" w:rsidR="004A457A" w:rsidRPr="001E614B" w:rsidRDefault="004A457A">
            <w:pPr>
              <w:jc w:val="center"/>
              <w:rPr>
                <w:sz w:val="14"/>
                <w:szCs w:val="16"/>
              </w:rPr>
            </w:pPr>
            <w:r w:rsidRPr="001E614B">
              <w:rPr>
                <w:b/>
                <w:bCs/>
                <w:color w:val="000000"/>
                <w:sz w:val="14"/>
                <w:szCs w:val="14"/>
              </w:rPr>
              <w:t>3 555 027,1</w:t>
            </w:r>
          </w:p>
        </w:tc>
        <w:tc>
          <w:tcPr>
            <w:tcW w:w="349" w:type="pct"/>
            <w:tcMar>
              <w:left w:w="57" w:type="dxa"/>
              <w:right w:w="57" w:type="dxa"/>
            </w:tcMar>
            <w:vAlign w:val="center"/>
          </w:tcPr>
          <w:p w14:paraId="305E4B6A" w14:textId="77777777" w:rsidR="004A457A" w:rsidRPr="001E614B" w:rsidRDefault="004A457A">
            <w:pPr>
              <w:jc w:val="center"/>
              <w:rPr>
                <w:sz w:val="14"/>
                <w:szCs w:val="16"/>
              </w:rPr>
            </w:pPr>
            <w:r w:rsidRPr="001E614B">
              <w:rPr>
                <w:b/>
                <w:bCs/>
                <w:i/>
                <w:iCs/>
                <w:color w:val="000000"/>
                <w:sz w:val="14"/>
                <w:szCs w:val="14"/>
              </w:rPr>
              <w:t>103,8</w:t>
            </w:r>
          </w:p>
        </w:tc>
        <w:tc>
          <w:tcPr>
            <w:tcW w:w="460" w:type="pct"/>
            <w:tcMar>
              <w:left w:w="57" w:type="dxa"/>
              <w:right w:w="57" w:type="dxa"/>
            </w:tcMar>
            <w:vAlign w:val="center"/>
          </w:tcPr>
          <w:p w14:paraId="2C7FFA13" w14:textId="77777777" w:rsidR="004A457A" w:rsidRPr="001E614B" w:rsidRDefault="004A457A">
            <w:pPr>
              <w:jc w:val="center"/>
              <w:rPr>
                <w:color w:val="000000"/>
                <w:sz w:val="14"/>
                <w:szCs w:val="14"/>
              </w:rPr>
            </w:pPr>
            <w:r w:rsidRPr="001E614B">
              <w:rPr>
                <w:b/>
                <w:bCs/>
                <w:color w:val="000000"/>
                <w:sz w:val="14"/>
                <w:szCs w:val="14"/>
              </w:rPr>
              <w:t>3 342 766,3</w:t>
            </w:r>
          </w:p>
        </w:tc>
        <w:tc>
          <w:tcPr>
            <w:tcW w:w="481" w:type="pct"/>
            <w:shd w:val="clear" w:color="auto" w:fill="auto"/>
            <w:tcMar>
              <w:left w:w="57" w:type="dxa"/>
              <w:right w:w="57" w:type="dxa"/>
            </w:tcMar>
            <w:vAlign w:val="center"/>
          </w:tcPr>
          <w:p w14:paraId="44A97934" w14:textId="77777777" w:rsidR="004A457A" w:rsidRPr="001E614B" w:rsidRDefault="004A457A">
            <w:pPr>
              <w:jc w:val="center"/>
              <w:rPr>
                <w:sz w:val="14"/>
                <w:szCs w:val="16"/>
              </w:rPr>
            </w:pPr>
            <w:r w:rsidRPr="001E614B">
              <w:rPr>
                <w:b/>
                <w:bCs/>
                <w:color w:val="000000"/>
                <w:sz w:val="14"/>
                <w:szCs w:val="14"/>
              </w:rPr>
              <w:t>3 591 296,6</w:t>
            </w:r>
          </w:p>
        </w:tc>
        <w:tc>
          <w:tcPr>
            <w:tcW w:w="465" w:type="pct"/>
            <w:tcMar>
              <w:left w:w="57" w:type="dxa"/>
              <w:right w:w="57" w:type="dxa"/>
            </w:tcMar>
            <w:vAlign w:val="center"/>
          </w:tcPr>
          <w:p w14:paraId="349B929D" w14:textId="77777777" w:rsidR="004A457A" w:rsidRPr="001E614B" w:rsidRDefault="004A457A">
            <w:pPr>
              <w:jc w:val="center"/>
              <w:rPr>
                <w:sz w:val="14"/>
                <w:szCs w:val="16"/>
              </w:rPr>
            </w:pPr>
            <w:r w:rsidRPr="001E614B">
              <w:rPr>
                <w:b/>
                <w:bCs/>
                <w:i/>
                <w:iCs/>
                <w:color w:val="000000"/>
                <w:sz w:val="14"/>
                <w:szCs w:val="14"/>
              </w:rPr>
              <w:t>107,4</w:t>
            </w:r>
          </w:p>
        </w:tc>
      </w:tr>
      <w:tr w:rsidR="004A457A" w:rsidRPr="001E614B" w14:paraId="77C5181A" w14:textId="77777777" w:rsidTr="004E568C">
        <w:trPr>
          <w:trHeight w:val="190"/>
        </w:trPr>
        <w:tc>
          <w:tcPr>
            <w:tcW w:w="658" w:type="pct"/>
            <w:shd w:val="clear" w:color="auto" w:fill="auto"/>
            <w:vAlign w:val="center"/>
          </w:tcPr>
          <w:p w14:paraId="71E30415" w14:textId="77777777" w:rsidR="004A457A" w:rsidRPr="001E614B" w:rsidRDefault="004A457A">
            <w:pPr>
              <w:kinsoku w:val="0"/>
              <w:overflowPunct w:val="0"/>
              <w:textAlignment w:val="baseline"/>
              <w:rPr>
                <w:i/>
                <w:color w:val="000000"/>
                <w:kern w:val="24"/>
                <w:sz w:val="16"/>
                <w:szCs w:val="18"/>
              </w:rPr>
            </w:pPr>
            <w:r w:rsidRPr="001E614B">
              <w:rPr>
                <w:i/>
                <w:color w:val="000000"/>
                <w:kern w:val="24"/>
                <w:sz w:val="16"/>
                <w:szCs w:val="18"/>
              </w:rPr>
              <w:t>%% к ВВП</w:t>
            </w:r>
          </w:p>
        </w:tc>
        <w:tc>
          <w:tcPr>
            <w:tcW w:w="434" w:type="pct"/>
            <w:shd w:val="clear" w:color="auto" w:fill="auto"/>
            <w:tcMar>
              <w:left w:w="57" w:type="dxa"/>
              <w:right w:w="57" w:type="dxa"/>
            </w:tcMar>
            <w:vAlign w:val="center"/>
          </w:tcPr>
          <w:p w14:paraId="2D2090FE" w14:textId="77777777" w:rsidR="004A457A" w:rsidRPr="001E614B" w:rsidRDefault="004A457A">
            <w:pPr>
              <w:jc w:val="center"/>
              <w:rPr>
                <w:sz w:val="14"/>
                <w:szCs w:val="16"/>
              </w:rPr>
            </w:pPr>
            <w:r w:rsidRPr="001E614B">
              <w:rPr>
                <w:i/>
                <w:iCs/>
                <w:color w:val="000000"/>
                <w:sz w:val="14"/>
                <w:szCs w:val="14"/>
              </w:rPr>
              <w:t>3,0</w:t>
            </w:r>
          </w:p>
        </w:tc>
        <w:tc>
          <w:tcPr>
            <w:tcW w:w="439" w:type="pct"/>
            <w:shd w:val="clear" w:color="auto" w:fill="auto"/>
            <w:tcMar>
              <w:left w:w="57" w:type="dxa"/>
              <w:right w:w="57" w:type="dxa"/>
            </w:tcMar>
            <w:vAlign w:val="center"/>
          </w:tcPr>
          <w:p w14:paraId="55672163" w14:textId="77777777" w:rsidR="004A457A" w:rsidRPr="001E614B" w:rsidRDefault="004A457A">
            <w:pPr>
              <w:jc w:val="center"/>
              <w:rPr>
                <w:sz w:val="14"/>
                <w:szCs w:val="16"/>
              </w:rPr>
            </w:pPr>
            <w:r w:rsidRPr="001E614B">
              <w:rPr>
                <w:i/>
                <w:iCs/>
                <w:color w:val="000000"/>
                <w:sz w:val="14"/>
                <w:szCs w:val="14"/>
              </w:rPr>
              <w:t>2,5</w:t>
            </w:r>
          </w:p>
        </w:tc>
        <w:tc>
          <w:tcPr>
            <w:tcW w:w="460" w:type="pct"/>
            <w:shd w:val="clear" w:color="auto" w:fill="auto"/>
            <w:tcMar>
              <w:left w:w="57" w:type="dxa"/>
              <w:right w:w="57" w:type="dxa"/>
            </w:tcMar>
            <w:vAlign w:val="center"/>
          </w:tcPr>
          <w:p w14:paraId="7078A6E2" w14:textId="77777777" w:rsidR="004A457A" w:rsidRPr="001E614B" w:rsidRDefault="004A457A">
            <w:pPr>
              <w:jc w:val="center"/>
              <w:rPr>
                <w:sz w:val="14"/>
                <w:szCs w:val="16"/>
              </w:rPr>
            </w:pPr>
            <w:r w:rsidRPr="001E614B">
              <w:rPr>
                <w:i/>
                <w:iCs/>
                <w:color w:val="000000"/>
                <w:sz w:val="14"/>
                <w:szCs w:val="14"/>
              </w:rPr>
              <w:t>2,3</w:t>
            </w:r>
          </w:p>
        </w:tc>
        <w:tc>
          <w:tcPr>
            <w:tcW w:w="362" w:type="pct"/>
            <w:tcMar>
              <w:left w:w="57" w:type="dxa"/>
              <w:right w:w="57" w:type="dxa"/>
            </w:tcMar>
            <w:vAlign w:val="center"/>
          </w:tcPr>
          <w:p w14:paraId="5FA716B9"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281FA355" w14:textId="77777777" w:rsidR="004A457A" w:rsidRPr="001E614B" w:rsidRDefault="004A457A">
            <w:pPr>
              <w:jc w:val="center"/>
              <w:rPr>
                <w:sz w:val="14"/>
                <w:szCs w:val="16"/>
              </w:rPr>
            </w:pPr>
            <w:r w:rsidRPr="001E614B">
              <w:rPr>
                <w:i/>
                <w:iCs/>
                <w:color w:val="000000"/>
                <w:sz w:val="14"/>
                <w:szCs w:val="14"/>
              </w:rPr>
              <w:t>2,3</w:t>
            </w:r>
          </w:p>
        </w:tc>
        <w:tc>
          <w:tcPr>
            <w:tcW w:w="454" w:type="pct"/>
            <w:shd w:val="clear" w:color="auto" w:fill="auto"/>
            <w:tcMar>
              <w:left w:w="57" w:type="dxa"/>
              <w:right w:w="57" w:type="dxa"/>
            </w:tcMar>
            <w:vAlign w:val="center"/>
          </w:tcPr>
          <w:p w14:paraId="60C9AB79" w14:textId="77777777" w:rsidR="004A457A" w:rsidRPr="001E614B" w:rsidRDefault="004A457A">
            <w:pPr>
              <w:jc w:val="center"/>
              <w:rPr>
                <w:sz w:val="14"/>
                <w:szCs w:val="16"/>
              </w:rPr>
            </w:pPr>
            <w:r w:rsidRPr="001E614B">
              <w:rPr>
                <w:i/>
                <w:iCs/>
                <w:color w:val="000000"/>
                <w:sz w:val="14"/>
                <w:szCs w:val="14"/>
              </w:rPr>
              <w:t>2,2</w:t>
            </w:r>
          </w:p>
        </w:tc>
        <w:tc>
          <w:tcPr>
            <w:tcW w:w="349" w:type="pct"/>
            <w:tcMar>
              <w:left w:w="57" w:type="dxa"/>
              <w:right w:w="57" w:type="dxa"/>
            </w:tcMar>
            <w:vAlign w:val="center"/>
          </w:tcPr>
          <w:p w14:paraId="33C4389E"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09BCE250" w14:textId="77777777" w:rsidR="004A457A" w:rsidRPr="001E614B" w:rsidRDefault="004A457A">
            <w:pPr>
              <w:jc w:val="center"/>
              <w:rPr>
                <w:color w:val="000000"/>
                <w:sz w:val="14"/>
                <w:szCs w:val="14"/>
              </w:rPr>
            </w:pPr>
            <w:r w:rsidRPr="001E614B">
              <w:rPr>
                <w:i/>
                <w:iCs/>
                <w:color w:val="000000"/>
                <w:sz w:val="14"/>
                <w:szCs w:val="14"/>
              </w:rPr>
              <w:t>2,1</w:t>
            </w:r>
          </w:p>
        </w:tc>
        <w:tc>
          <w:tcPr>
            <w:tcW w:w="481" w:type="pct"/>
            <w:shd w:val="clear" w:color="auto" w:fill="auto"/>
            <w:tcMar>
              <w:left w:w="57" w:type="dxa"/>
              <w:right w:w="57" w:type="dxa"/>
            </w:tcMar>
            <w:vAlign w:val="center"/>
          </w:tcPr>
          <w:p w14:paraId="2E42D388" w14:textId="77777777" w:rsidR="004A457A" w:rsidRPr="001E614B" w:rsidRDefault="004A457A">
            <w:pPr>
              <w:jc w:val="center"/>
              <w:rPr>
                <w:sz w:val="14"/>
                <w:szCs w:val="16"/>
              </w:rPr>
            </w:pPr>
            <w:r w:rsidRPr="001E614B">
              <w:rPr>
                <w:i/>
                <w:iCs/>
                <w:color w:val="000000"/>
                <w:sz w:val="14"/>
                <w:szCs w:val="14"/>
              </w:rPr>
              <w:t>2,1</w:t>
            </w:r>
          </w:p>
        </w:tc>
        <w:tc>
          <w:tcPr>
            <w:tcW w:w="465" w:type="pct"/>
            <w:tcMar>
              <w:left w:w="57" w:type="dxa"/>
              <w:right w:w="57" w:type="dxa"/>
            </w:tcMar>
            <w:vAlign w:val="center"/>
          </w:tcPr>
          <w:p w14:paraId="54B9D249" w14:textId="77777777" w:rsidR="004A457A" w:rsidRPr="001E614B" w:rsidRDefault="004A457A">
            <w:pPr>
              <w:jc w:val="center"/>
              <w:rPr>
                <w:sz w:val="14"/>
                <w:szCs w:val="16"/>
              </w:rPr>
            </w:pPr>
            <w:r w:rsidRPr="001E614B">
              <w:rPr>
                <w:i/>
                <w:iCs/>
                <w:color w:val="000000"/>
                <w:sz w:val="14"/>
                <w:szCs w:val="14"/>
              </w:rPr>
              <w:t> </w:t>
            </w:r>
          </w:p>
        </w:tc>
      </w:tr>
      <w:tr w:rsidR="004A457A" w:rsidRPr="001E614B" w14:paraId="737D34D2" w14:textId="77777777" w:rsidTr="004E568C">
        <w:trPr>
          <w:trHeight w:val="190"/>
        </w:trPr>
        <w:tc>
          <w:tcPr>
            <w:tcW w:w="658" w:type="pct"/>
            <w:shd w:val="clear" w:color="auto" w:fill="auto"/>
            <w:vAlign w:val="center"/>
          </w:tcPr>
          <w:p w14:paraId="5F3A98A0" w14:textId="77777777" w:rsidR="004A457A" w:rsidRPr="001E614B" w:rsidRDefault="004A457A">
            <w:pPr>
              <w:kinsoku w:val="0"/>
              <w:overflowPunct w:val="0"/>
              <w:textAlignment w:val="baseline"/>
              <w:rPr>
                <w:i/>
                <w:color w:val="000000"/>
                <w:kern w:val="24"/>
                <w:sz w:val="16"/>
                <w:szCs w:val="18"/>
              </w:rPr>
            </w:pPr>
            <w:r w:rsidRPr="001E614B">
              <w:rPr>
                <w:i/>
                <w:sz w:val="16"/>
                <w:szCs w:val="18"/>
              </w:rPr>
              <w:t>доля в общем объеме расходов, %</w:t>
            </w:r>
            <w:r w:rsidRPr="001E614B">
              <w:rPr>
                <w:i/>
                <w:sz w:val="16"/>
                <w:szCs w:val="18"/>
                <w:vertAlign w:val="superscript"/>
              </w:rPr>
              <w:t>***</w:t>
            </w:r>
            <w:r w:rsidRPr="001E614B">
              <w:rPr>
                <w:i/>
                <w:sz w:val="16"/>
                <w:szCs w:val="18"/>
              </w:rPr>
              <w:t xml:space="preserve"> </w:t>
            </w:r>
          </w:p>
        </w:tc>
        <w:tc>
          <w:tcPr>
            <w:tcW w:w="434" w:type="pct"/>
            <w:shd w:val="clear" w:color="auto" w:fill="auto"/>
            <w:tcMar>
              <w:left w:w="57" w:type="dxa"/>
              <w:right w:w="57" w:type="dxa"/>
            </w:tcMar>
            <w:vAlign w:val="center"/>
          </w:tcPr>
          <w:p w14:paraId="65FE23A4" w14:textId="77777777" w:rsidR="004A457A" w:rsidRPr="001E614B" w:rsidRDefault="004A457A">
            <w:pPr>
              <w:jc w:val="center"/>
              <w:rPr>
                <w:sz w:val="14"/>
                <w:szCs w:val="16"/>
              </w:rPr>
            </w:pPr>
            <w:r w:rsidRPr="001E614B">
              <w:rPr>
                <w:i/>
                <w:iCs/>
                <w:color w:val="000000"/>
                <w:sz w:val="14"/>
                <w:szCs w:val="14"/>
              </w:rPr>
              <w:t>15,6</w:t>
            </w:r>
          </w:p>
        </w:tc>
        <w:tc>
          <w:tcPr>
            <w:tcW w:w="439" w:type="pct"/>
            <w:shd w:val="clear" w:color="auto" w:fill="auto"/>
            <w:tcMar>
              <w:left w:w="57" w:type="dxa"/>
              <w:right w:w="57" w:type="dxa"/>
            </w:tcMar>
            <w:vAlign w:val="center"/>
          </w:tcPr>
          <w:p w14:paraId="61AA2B89" w14:textId="77777777" w:rsidR="004A457A" w:rsidRPr="001E614B" w:rsidRDefault="004A457A">
            <w:pPr>
              <w:jc w:val="center"/>
              <w:rPr>
                <w:sz w:val="14"/>
                <w:szCs w:val="16"/>
              </w:rPr>
            </w:pPr>
            <w:r w:rsidRPr="001E614B">
              <w:rPr>
                <w:i/>
                <w:iCs/>
                <w:color w:val="000000"/>
                <w:sz w:val="14"/>
                <w:szCs w:val="14"/>
              </w:rPr>
              <w:t>14,2</w:t>
            </w:r>
          </w:p>
        </w:tc>
        <w:tc>
          <w:tcPr>
            <w:tcW w:w="460" w:type="pct"/>
            <w:shd w:val="clear" w:color="auto" w:fill="auto"/>
            <w:tcMar>
              <w:left w:w="57" w:type="dxa"/>
              <w:right w:w="57" w:type="dxa"/>
            </w:tcMar>
            <w:vAlign w:val="center"/>
          </w:tcPr>
          <w:p w14:paraId="58550241" w14:textId="77777777" w:rsidR="004A457A" w:rsidRPr="001E614B" w:rsidRDefault="004A457A">
            <w:pPr>
              <w:jc w:val="center"/>
              <w:rPr>
                <w:sz w:val="14"/>
                <w:szCs w:val="16"/>
              </w:rPr>
            </w:pPr>
            <w:r w:rsidRPr="001E614B">
              <w:rPr>
                <w:i/>
                <w:iCs/>
                <w:color w:val="000000"/>
                <w:sz w:val="14"/>
                <w:szCs w:val="14"/>
              </w:rPr>
              <w:t>12,1</w:t>
            </w:r>
          </w:p>
        </w:tc>
        <w:tc>
          <w:tcPr>
            <w:tcW w:w="362" w:type="pct"/>
            <w:tcMar>
              <w:left w:w="57" w:type="dxa"/>
              <w:right w:w="57" w:type="dxa"/>
            </w:tcMar>
            <w:vAlign w:val="center"/>
          </w:tcPr>
          <w:p w14:paraId="50446F7F"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6C764CF3" w14:textId="77777777" w:rsidR="004A457A" w:rsidRPr="001E614B" w:rsidRDefault="004A457A">
            <w:pPr>
              <w:jc w:val="center"/>
              <w:rPr>
                <w:sz w:val="14"/>
                <w:szCs w:val="16"/>
              </w:rPr>
            </w:pPr>
            <w:r w:rsidRPr="001E614B">
              <w:rPr>
                <w:i/>
                <w:iCs/>
                <w:color w:val="000000"/>
                <w:sz w:val="14"/>
                <w:szCs w:val="14"/>
              </w:rPr>
              <w:t>13,7</w:t>
            </w:r>
          </w:p>
        </w:tc>
        <w:tc>
          <w:tcPr>
            <w:tcW w:w="454" w:type="pct"/>
            <w:shd w:val="clear" w:color="auto" w:fill="auto"/>
            <w:tcMar>
              <w:left w:w="57" w:type="dxa"/>
              <w:right w:w="57" w:type="dxa"/>
            </w:tcMar>
            <w:vAlign w:val="center"/>
          </w:tcPr>
          <w:p w14:paraId="1173031C" w14:textId="77777777" w:rsidR="004A457A" w:rsidRPr="001E614B" w:rsidRDefault="004A457A">
            <w:pPr>
              <w:jc w:val="center"/>
              <w:rPr>
                <w:sz w:val="14"/>
                <w:szCs w:val="16"/>
              </w:rPr>
            </w:pPr>
            <w:r w:rsidRPr="001E614B">
              <w:rPr>
                <w:i/>
                <w:iCs/>
                <w:color w:val="000000"/>
                <w:sz w:val="14"/>
                <w:szCs w:val="14"/>
              </w:rPr>
              <w:t>12,4</w:t>
            </w:r>
          </w:p>
        </w:tc>
        <w:tc>
          <w:tcPr>
            <w:tcW w:w="349" w:type="pct"/>
            <w:tcMar>
              <w:left w:w="57" w:type="dxa"/>
              <w:right w:w="57" w:type="dxa"/>
            </w:tcMar>
            <w:vAlign w:val="center"/>
          </w:tcPr>
          <w:p w14:paraId="044B1454"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4F57951C" w14:textId="77777777" w:rsidR="004A457A" w:rsidRPr="001E614B" w:rsidRDefault="004A457A">
            <w:pPr>
              <w:jc w:val="center"/>
              <w:rPr>
                <w:color w:val="000000"/>
                <w:sz w:val="14"/>
                <w:szCs w:val="14"/>
              </w:rPr>
            </w:pPr>
            <w:r w:rsidRPr="001E614B">
              <w:rPr>
                <w:i/>
                <w:iCs/>
                <w:color w:val="000000"/>
                <w:sz w:val="14"/>
                <w:szCs w:val="14"/>
              </w:rPr>
              <w:t>12,8</w:t>
            </w:r>
          </w:p>
        </w:tc>
        <w:tc>
          <w:tcPr>
            <w:tcW w:w="481" w:type="pct"/>
            <w:shd w:val="clear" w:color="auto" w:fill="auto"/>
            <w:tcMar>
              <w:left w:w="57" w:type="dxa"/>
              <w:right w:w="57" w:type="dxa"/>
            </w:tcMar>
            <w:vAlign w:val="center"/>
          </w:tcPr>
          <w:p w14:paraId="6E002EA8" w14:textId="77777777" w:rsidR="004A457A" w:rsidRPr="001E614B" w:rsidRDefault="004A457A">
            <w:pPr>
              <w:jc w:val="center"/>
              <w:rPr>
                <w:sz w:val="14"/>
                <w:szCs w:val="16"/>
              </w:rPr>
            </w:pPr>
            <w:r w:rsidRPr="001E614B">
              <w:rPr>
                <w:i/>
                <w:iCs/>
                <w:color w:val="000000"/>
                <w:sz w:val="14"/>
                <w:szCs w:val="14"/>
              </w:rPr>
              <w:t>12,9</w:t>
            </w:r>
          </w:p>
        </w:tc>
        <w:tc>
          <w:tcPr>
            <w:tcW w:w="465" w:type="pct"/>
            <w:tcMar>
              <w:left w:w="57" w:type="dxa"/>
              <w:right w:w="57" w:type="dxa"/>
            </w:tcMar>
            <w:vAlign w:val="center"/>
          </w:tcPr>
          <w:p w14:paraId="180ADAEB" w14:textId="77777777" w:rsidR="004A457A" w:rsidRPr="001E614B" w:rsidRDefault="004A457A">
            <w:pPr>
              <w:jc w:val="center"/>
              <w:rPr>
                <w:sz w:val="14"/>
                <w:szCs w:val="16"/>
              </w:rPr>
            </w:pPr>
            <w:r w:rsidRPr="001E614B">
              <w:rPr>
                <w:i/>
                <w:iCs/>
                <w:color w:val="000000"/>
                <w:sz w:val="14"/>
                <w:szCs w:val="14"/>
              </w:rPr>
              <w:t> </w:t>
            </w:r>
          </w:p>
        </w:tc>
      </w:tr>
      <w:tr w:rsidR="004A457A" w:rsidRPr="001E614B" w14:paraId="37479DE5" w14:textId="77777777" w:rsidTr="004E568C">
        <w:trPr>
          <w:trHeight w:val="190"/>
        </w:trPr>
        <w:tc>
          <w:tcPr>
            <w:tcW w:w="658" w:type="pct"/>
            <w:shd w:val="clear" w:color="auto" w:fill="auto"/>
            <w:vAlign w:val="center"/>
          </w:tcPr>
          <w:p w14:paraId="2560591F" w14:textId="77777777" w:rsidR="004A457A" w:rsidRPr="001E614B" w:rsidRDefault="004A457A">
            <w:pPr>
              <w:kinsoku w:val="0"/>
              <w:overflowPunct w:val="0"/>
              <w:textAlignment w:val="baseline"/>
              <w:rPr>
                <w:color w:val="000000"/>
                <w:kern w:val="24"/>
                <w:sz w:val="16"/>
                <w:szCs w:val="18"/>
              </w:rPr>
            </w:pPr>
            <w:r w:rsidRPr="001E614B">
              <w:rPr>
                <w:color w:val="000000"/>
                <w:kern w:val="24"/>
                <w:sz w:val="16"/>
                <w:szCs w:val="18"/>
              </w:rPr>
              <w:t>Жилищно-коммунальное хозяйство</w:t>
            </w:r>
          </w:p>
        </w:tc>
        <w:tc>
          <w:tcPr>
            <w:tcW w:w="434" w:type="pct"/>
            <w:shd w:val="clear" w:color="auto" w:fill="auto"/>
            <w:tcMar>
              <w:left w:w="57" w:type="dxa"/>
              <w:right w:w="57" w:type="dxa"/>
            </w:tcMar>
            <w:vAlign w:val="center"/>
          </w:tcPr>
          <w:p w14:paraId="7C47C569" w14:textId="77777777" w:rsidR="004A457A" w:rsidRPr="001E614B" w:rsidRDefault="004A457A">
            <w:pPr>
              <w:jc w:val="center"/>
              <w:rPr>
                <w:sz w:val="14"/>
                <w:szCs w:val="16"/>
              </w:rPr>
            </w:pPr>
            <w:r w:rsidRPr="001E614B">
              <w:rPr>
                <w:b/>
                <w:bCs/>
                <w:color w:val="000000"/>
                <w:sz w:val="14"/>
                <w:szCs w:val="14"/>
              </w:rPr>
              <w:t>645 366,7</w:t>
            </w:r>
          </w:p>
        </w:tc>
        <w:tc>
          <w:tcPr>
            <w:tcW w:w="439" w:type="pct"/>
            <w:shd w:val="clear" w:color="auto" w:fill="auto"/>
            <w:tcMar>
              <w:left w:w="57" w:type="dxa"/>
              <w:right w:w="57" w:type="dxa"/>
            </w:tcMar>
            <w:vAlign w:val="center"/>
          </w:tcPr>
          <w:p w14:paraId="686D5477" w14:textId="77777777" w:rsidR="004A457A" w:rsidRPr="001E614B" w:rsidRDefault="004A457A">
            <w:pPr>
              <w:jc w:val="center"/>
              <w:rPr>
                <w:sz w:val="14"/>
                <w:szCs w:val="16"/>
              </w:rPr>
            </w:pPr>
            <w:r w:rsidRPr="001E614B">
              <w:rPr>
                <w:b/>
                <w:bCs/>
                <w:color w:val="000000"/>
                <w:sz w:val="14"/>
                <w:szCs w:val="14"/>
              </w:rPr>
              <w:t>535 820,8</w:t>
            </w:r>
          </w:p>
        </w:tc>
        <w:tc>
          <w:tcPr>
            <w:tcW w:w="460" w:type="pct"/>
            <w:shd w:val="clear" w:color="auto" w:fill="auto"/>
            <w:tcMar>
              <w:left w:w="57" w:type="dxa"/>
              <w:right w:w="57" w:type="dxa"/>
            </w:tcMar>
            <w:vAlign w:val="center"/>
          </w:tcPr>
          <w:p w14:paraId="454E34DE" w14:textId="77777777" w:rsidR="004A457A" w:rsidRPr="001E614B" w:rsidRDefault="004A457A">
            <w:pPr>
              <w:jc w:val="center"/>
              <w:rPr>
                <w:sz w:val="14"/>
                <w:szCs w:val="16"/>
              </w:rPr>
            </w:pPr>
            <w:r w:rsidRPr="001E614B">
              <w:rPr>
                <w:b/>
                <w:bCs/>
                <w:color w:val="000000"/>
                <w:sz w:val="14"/>
                <w:szCs w:val="14"/>
              </w:rPr>
              <w:t>604 867,8</w:t>
            </w:r>
          </w:p>
        </w:tc>
        <w:tc>
          <w:tcPr>
            <w:tcW w:w="362" w:type="pct"/>
            <w:tcMar>
              <w:left w:w="57" w:type="dxa"/>
              <w:right w:w="57" w:type="dxa"/>
            </w:tcMar>
            <w:vAlign w:val="center"/>
          </w:tcPr>
          <w:p w14:paraId="644F081B" w14:textId="77777777" w:rsidR="004A457A" w:rsidRPr="001E614B" w:rsidRDefault="004A457A">
            <w:pPr>
              <w:jc w:val="center"/>
              <w:rPr>
                <w:sz w:val="14"/>
                <w:szCs w:val="16"/>
              </w:rPr>
            </w:pPr>
            <w:r w:rsidRPr="001E614B">
              <w:rPr>
                <w:b/>
                <w:bCs/>
                <w:i/>
                <w:iCs/>
                <w:color w:val="000000"/>
                <w:sz w:val="14"/>
                <w:szCs w:val="14"/>
              </w:rPr>
              <w:t>112,9</w:t>
            </w:r>
          </w:p>
        </w:tc>
        <w:tc>
          <w:tcPr>
            <w:tcW w:w="439" w:type="pct"/>
            <w:tcMar>
              <w:left w:w="57" w:type="dxa"/>
              <w:right w:w="57" w:type="dxa"/>
            </w:tcMar>
            <w:vAlign w:val="center"/>
          </w:tcPr>
          <w:p w14:paraId="46F6DD62" w14:textId="77777777" w:rsidR="004A457A" w:rsidRPr="001E614B" w:rsidRDefault="004A457A">
            <w:pPr>
              <w:jc w:val="center"/>
              <w:rPr>
                <w:sz w:val="14"/>
                <w:szCs w:val="16"/>
              </w:rPr>
            </w:pPr>
            <w:r w:rsidRPr="001E614B">
              <w:rPr>
                <w:b/>
                <w:bCs/>
                <w:color w:val="000000"/>
                <w:sz w:val="14"/>
                <w:szCs w:val="14"/>
              </w:rPr>
              <w:t>407 912,3</w:t>
            </w:r>
          </w:p>
        </w:tc>
        <w:tc>
          <w:tcPr>
            <w:tcW w:w="454" w:type="pct"/>
            <w:shd w:val="clear" w:color="auto" w:fill="auto"/>
            <w:tcMar>
              <w:left w:w="57" w:type="dxa"/>
              <w:right w:w="57" w:type="dxa"/>
            </w:tcMar>
            <w:vAlign w:val="center"/>
          </w:tcPr>
          <w:p w14:paraId="0797CFD2" w14:textId="77777777" w:rsidR="004A457A" w:rsidRPr="001E614B" w:rsidRDefault="004A457A">
            <w:pPr>
              <w:jc w:val="center"/>
              <w:rPr>
                <w:sz w:val="14"/>
                <w:szCs w:val="16"/>
              </w:rPr>
            </w:pPr>
            <w:r w:rsidRPr="001E614B">
              <w:rPr>
                <w:b/>
                <w:bCs/>
                <w:color w:val="000000"/>
                <w:sz w:val="14"/>
                <w:szCs w:val="14"/>
              </w:rPr>
              <w:t>513 948,4</w:t>
            </w:r>
          </w:p>
        </w:tc>
        <w:tc>
          <w:tcPr>
            <w:tcW w:w="349" w:type="pct"/>
            <w:tcMar>
              <w:left w:w="57" w:type="dxa"/>
              <w:right w:w="57" w:type="dxa"/>
            </w:tcMar>
            <w:vAlign w:val="center"/>
          </w:tcPr>
          <w:p w14:paraId="660C6F3F" w14:textId="77777777" w:rsidR="004A457A" w:rsidRPr="001E614B" w:rsidRDefault="004A457A">
            <w:pPr>
              <w:jc w:val="center"/>
              <w:rPr>
                <w:sz w:val="14"/>
                <w:szCs w:val="16"/>
              </w:rPr>
            </w:pPr>
            <w:r w:rsidRPr="001E614B">
              <w:rPr>
                <w:b/>
                <w:bCs/>
                <w:i/>
                <w:iCs/>
                <w:color w:val="000000"/>
                <w:sz w:val="14"/>
                <w:szCs w:val="14"/>
              </w:rPr>
              <w:t>126,0</w:t>
            </w:r>
          </w:p>
        </w:tc>
        <w:tc>
          <w:tcPr>
            <w:tcW w:w="460" w:type="pct"/>
            <w:tcMar>
              <w:left w:w="57" w:type="dxa"/>
              <w:right w:w="57" w:type="dxa"/>
            </w:tcMar>
            <w:vAlign w:val="center"/>
          </w:tcPr>
          <w:p w14:paraId="0614BA6D" w14:textId="77777777" w:rsidR="004A457A" w:rsidRPr="001E614B" w:rsidRDefault="004A457A">
            <w:pPr>
              <w:jc w:val="center"/>
              <w:rPr>
                <w:color w:val="000000"/>
                <w:sz w:val="14"/>
                <w:szCs w:val="14"/>
              </w:rPr>
            </w:pPr>
            <w:r w:rsidRPr="001E614B">
              <w:rPr>
                <w:b/>
                <w:bCs/>
                <w:color w:val="000000"/>
                <w:sz w:val="14"/>
                <w:szCs w:val="14"/>
              </w:rPr>
              <w:t>390 071,1</w:t>
            </w:r>
          </w:p>
        </w:tc>
        <w:tc>
          <w:tcPr>
            <w:tcW w:w="481" w:type="pct"/>
            <w:shd w:val="clear" w:color="auto" w:fill="auto"/>
            <w:tcMar>
              <w:left w:w="57" w:type="dxa"/>
              <w:right w:w="57" w:type="dxa"/>
            </w:tcMar>
            <w:vAlign w:val="center"/>
          </w:tcPr>
          <w:p w14:paraId="6440A8B5" w14:textId="77777777" w:rsidR="004A457A" w:rsidRPr="001E614B" w:rsidRDefault="004A457A">
            <w:pPr>
              <w:jc w:val="center"/>
              <w:rPr>
                <w:sz w:val="14"/>
                <w:szCs w:val="16"/>
              </w:rPr>
            </w:pPr>
            <w:r w:rsidRPr="001E614B">
              <w:rPr>
                <w:b/>
                <w:bCs/>
                <w:color w:val="000000"/>
                <w:sz w:val="14"/>
                <w:szCs w:val="14"/>
              </w:rPr>
              <w:t>320 010,3</w:t>
            </w:r>
          </w:p>
        </w:tc>
        <w:tc>
          <w:tcPr>
            <w:tcW w:w="465" w:type="pct"/>
            <w:tcMar>
              <w:left w:w="57" w:type="dxa"/>
              <w:right w:w="57" w:type="dxa"/>
            </w:tcMar>
            <w:vAlign w:val="center"/>
          </w:tcPr>
          <w:p w14:paraId="1F95220A" w14:textId="77777777" w:rsidR="004A457A" w:rsidRPr="001E614B" w:rsidRDefault="004A457A">
            <w:pPr>
              <w:jc w:val="center"/>
              <w:rPr>
                <w:sz w:val="14"/>
                <w:szCs w:val="16"/>
              </w:rPr>
            </w:pPr>
            <w:r w:rsidRPr="001E614B">
              <w:rPr>
                <w:b/>
                <w:bCs/>
                <w:i/>
                <w:iCs/>
                <w:color w:val="000000"/>
                <w:sz w:val="14"/>
                <w:szCs w:val="14"/>
              </w:rPr>
              <w:t>82,0</w:t>
            </w:r>
          </w:p>
        </w:tc>
      </w:tr>
      <w:tr w:rsidR="004A457A" w:rsidRPr="001E614B" w14:paraId="5BE80111" w14:textId="77777777" w:rsidTr="004E568C">
        <w:trPr>
          <w:trHeight w:val="190"/>
        </w:trPr>
        <w:tc>
          <w:tcPr>
            <w:tcW w:w="658" w:type="pct"/>
            <w:shd w:val="clear" w:color="auto" w:fill="auto"/>
            <w:vAlign w:val="center"/>
          </w:tcPr>
          <w:p w14:paraId="51811FE0" w14:textId="77777777" w:rsidR="004A457A" w:rsidRPr="001E614B" w:rsidRDefault="004A457A">
            <w:pPr>
              <w:kinsoku w:val="0"/>
              <w:overflowPunct w:val="0"/>
              <w:textAlignment w:val="baseline"/>
              <w:rPr>
                <w:i/>
                <w:color w:val="000000"/>
                <w:kern w:val="24"/>
                <w:sz w:val="16"/>
                <w:szCs w:val="18"/>
              </w:rPr>
            </w:pPr>
            <w:r w:rsidRPr="001E614B">
              <w:rPr>
                <w:i/>
                <w:color w:val="000000"/>
                <w:kern w:val="24"/>
                <w:sz w:val="16"/>
                <w:szCs w:val="18"/>
              </w:rPr>
              <w:t>%% к ВВП</w:t>
            </w:r>
          </w:p>
        </w:tc>
        <w:tc>
          <w:tcPr>
            <w:tcW w:w="434" w:type="pct"/>
            <w:shd w:val="clear" w:color="auto" w:fill="auto"/>
            <w:tcMar>
              <w:left w:w="57" w:type="dxa"/>
              <w:right w:w="57" w:type="dxa"/>
            </w:tcMar>
            <w:vAlign w:val="center"/>
          </w:tcPr>
          <w:p w14:paraId="61B0AB5D" w14:textId="77777777" w:rsidR="004A457A" w:rsidRPr="001E614B" w:rsidRDefault="004A457A">
            <w:pPr>
              <w:jc w:val="center"/>
              <w:rPr>
                <w:sz w:val="14"/>
                <w:szCs w:val="16"/>
              </w:rPr>
            </w:pPr>
            <w:r w:rsidRPr="001E614B">
              <w:rPr>
                <w:i/>
                <w:iCs/>
                <w:color w:val="000000"/>
                <w:sz w:val="14"/>
                <w:szCs w:val="14"/>
              </w:rPr>
              <w:t>0,4</w:t>
            </w:r>
          </w:p>
        </w:tc>
        <w:tc>
          <w:tcPr>
            <w:tcW w:w="439" w:type="pct"/>
            <w:shd w:val="clear" w:color="auto" w:fill="auto"/>
            <w:tcMar>
              <w:left w:w="57" w:type="dxa"/>
              <w:right w:w="57" w:type="dxa"/>
            </w:tcMar>
            <w:vAlign w:val="center"/>
          </w:tcPr>
          <w:p w14:paraId="51AB0A91" w14:textId="77777777" w:rsidR="004A457A" w:rsidRPr="001E614B" w:rsidRDefault="004A457A">
            <w:pPr>
              <w:jc w:val="center"/>
              <w:rPr>
                <w:sz w:val="14"/>
                <w:szCs w:val="16"/>
              </w:rPr>
            </w:pPr>
            <w:r w:rsidRPr="001E614B">
              <w:rPr>
                <w:i/>
                <w:iCs/>
                <w:color w:val="000000"/>
                <w:sz w:val="14"/>
                <w:szCs w:val="14"/>
              </w:rPr>
              <w:t>0,4</w:t>
            </w:r>
          </w:p>
        </w:tc>
        <w:tc>
          <w:tcPr>
            <w:tcW w:w="460" w:type="pct"/>
            <w:shd w:val="clear" w:color="auto" w:fill="auto"/>
            <w:tcMar>
              <w:left w:w="57" w:type="dxa"/>
              <w:right w:w="57" w:type="dxa"/>
            </w:tcMar>
            <w:vAlign w:val="center"/>
          </w:tcPr>
          <w:p w14:paraId="29C13937" w14:textId="77777777" w:rsidR="004A457A" w:rsidRPr="001E614B" w:rsidRDefault="004A457A">
            <w:pPr>
              <w:jc w:val="center"/>
              <w:rPr>
                <w:sz w:val="14"/>
                <w:szCs w:val="16"/>
              </w:rPr>
            </w:pPr>
            <w:r w:rsidRPr="001E614B">
              <w:rPr>
                <w:i/>
                <w:iCs/>
                <w:color w:val="000000"/>
                <w:sz w:val="14"/>
                <w:szCs w:val="14"/>
              </w:rPr>
              <w:t>0,4</w:t>
            </w:r>
          </w:p>
        </w:tc>
        <w:tc>
          <w:tcPr>
            <w:tcW w:w="362" w:type="pct"/>
            <w:tcMar>
              <w:left w:w="57" w:type="dxa"/>
              <w:right w:w="57" w:type="dxa"/>
            </w:tcMar>
            <w:vAlign w:val="center"/>
          </w:tcPr>
          <w:p w14:paraId="74BCB2F7"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062AB295" w14:textId="77777777" w:rsidR="004A457A" w:rsidRPr="001E614B" w:rsidRDefault="004A457A">
            <w:pPr>
              <w:jc w:val="center"/>
              <w:rPr>
                <w:sz w:val="14"/>
                <w:szCs w:val="16"/>
              </w:rPr>
            </w:pPr>
            <w:r w:rsidRPr="001E614B">
              <w:rPr>
                <w:i/>
                <w:iCs/>
                <w:color w:val="000000"/>
                <w:sz w:val="14"/>
                <w:szCs w:val="14"/>
              </w:rPr>
              <w:t>0,3</w:t>
            </w:r>
          </w:p>
        </w:tc>
        <w:tc>
          <w:tcPr>
            <w:tcW w:w="454" w:type="pct"/>
            <w:shd w:val="clear" w:color="auto" w:fill="auto"/>
            <w:tcMar>
              <w:left w:w="57" w:type="dxa"/>
              <w:right w:w="57" w:type="dxa"/>
            </w:tcMar>
            <w:vAlign w:val="center"/>
          </w:tcPr>
          <w:p w14:paraId="2F11B38E" w14:textId="77777777" w:rsidR="004A457A" w:rsidRPr="001E614B" w:rsidRDefault="004A457A">
            <w:pPr>
              <w:jc w:val="center"/>
              <w:rPr>
                <w:sz w:val="14"/>
                <w:szCs w:val="16"/>
              </w:rPr>
            </w:pPr>
            <w:r w:rsidRPr="001E614B">
              <w:rPr>
                <w:i/>
                <w:iCs/>
                <w:color w:val="000000"/>
                <w:sz w:val="14"/>
                <w:szCs w:val="14"/>
              </w:rPr>
              <w:t>0,3</w:t>
            </w:r>
          </w:p>
        </w:tc>
        <w:tc>
          <w:tcPr>
            <w:tcW w:w="349" w:type="pct"/>
            <w:tcMar>
              <w:left w:w="57" w:type="dxa"/>
              <w:right w:w="57" w:type="dxa"/>
            </w:tcMar>
            <w:vAlign w:val="center"/>
          </w:tcPr>
          <w:p w14:paraId="5522159E"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17A42FBC" w14:textId="77777777" w:rsidR="004A457A" w:rsidRPr="001E614B" w:rsidRDefault="004A457A">
            <w:pPr>
              <w:jc w:val="center"/>
              <w:rPr>
                <w:color w:val="000000"/>
                <w:sz w:val="14"/>
                <w:szCs w:val="14"/>
              </w:rPr>
            </w:pPr>
            <w:r w:rsidRPr="001E614B">
              <w:rPr>
                <w:i/>
                <w:iCs/>
                <w:color w:val="000000"/>
                <w:sz w:val="14"/>
                <w:szCs w:val="14"/>
              </w:rPr>
              <w:t>0,2</w:t>
            </w:r>
          </w:p>
        </w:tc>
        <w:tc>
          <w:tcPr>
            <w:tcW w:w="481" w:type="pct"/>
            <w:shd w:val="clear" w:color="auto" w:fill="auto"/>
            <w:tcMar>
              <w:left w:w="57" w:type="dxa"/>
              <w:right w:w="57" w:type="dxa"/>
            </w:tcMar>
            <w:vAlign w:val="center"/>
          </w:tcPr>
          <w:p w14:paraId="10C7F0E7" w14:textId="77777777" w:rsidR="004A457A" w:rsidRPr="001E614B" w:rsidRDefault="004A457A">
            <w:pPr>
              <w:jc w:val="center"/>
              <w:rPr>
                <w:sz w:val="14"/>
                <w:szCs w:val="16"/>
              </w:rPr>
            </w:pPr>
            <w:r w:rsidRPr="001E614B">
              <w:rPr>
                <w:i/>
                <w:iCs/>
                <w:color w:val="000000"/>
                <w:sz w:val="14"/>
                <w:szCs w:val="14"/>
              </w:rPr>
              <w:t>0,2</w:t>
            </w:r>
          </w:p>
        </w:tc>
        <w:tc>
          <w:tcPr>
            <w:tcW w:w="465" w:type="pct"/>
            <w:tcMar>
              <w:left w:w="57" w:type="dxa"/>
              <w:right w:w="57" w:type="dxa"/>
            </w:tcMar>
            <w:vAlign w:val="center"/>
          </w:tcPr>
          <w:p w14:paraId="61718AD5" w14:textId="77777777" w:rsidR="004A457A" w:rsidRPr="001E614B" w:rsidRDefault="004A457A">
            <w:pPr>
              <w:jc w:val="center"/>
              <w:rPr>
                <w:sz w:val="14"/>
                <w:szCs w:val="16"/>
              </w:rPr>
            </w:pPr>
            <w:r w:rsidRPr="001E614B">
              <w:rPr>
                <w:i/>
                <w:iCs/>
                <w:color w:val="000000"/>
                <w:sz w:val="14"/>
                <w:szCs w:val="14"/>
              </w:rPr>
              <w:t> </w:t>
            </w:r>
          </w:p>
        </w:tc>
      </w:tr>
      <w:tr w:rsidR="004A457A" w:rsidRPr="001E614B" w14:paraId="77D0D360" w14:textId="77777777" w:rsidTr="004E568C">
        <w:trPr>
          <w:trHeight w:val="190"/>
        </w:trPr>
        <w:tc>
          <w:tcPr>
            <w:tcW w:w="658" w:type="pct"/>
            <w:shd w:val="clear" w:color="auto" w:fill="auto"/>
            <w:vAlign w:val="center"/>
          </w:tcPr>
          <w:p w14:paraId="6E7DD465" w14:textId="77777777" w:rsidR="004A457A" w:rsidRPr="001E614B" w:rsidRDefault="004A457A">
            <w:pPr>
              <w:kinsoku w:val="0"/>
              <w:overflowPunct w:val="0"/>
              <w:textAlignment w:val="baseline"/>
              <w:rPr>
                <w:i/>
                <w:color w:val="000000"/>
                <w:kern w:val="24"/>
                <w:sz w:val="16"/>
                <w:szCs w:val="18"/>
              </w:rPr>
            </w:pPr>
            <w:r w:rsidRPr="001E614B">
              <w:rPr>
                <w:i/>
                <w:sz w:val="16"/>
                <w:szCs w:val="18"/>
              </w:rPr>
              <w:t>доля в общем объеме расходов, %</w:t>
            </w:r>
            <w:r w:rsidRPr="001E614B">
              <w:rPr>
                <w:i/>
                <w:sz w:val="16"/>
                <w:szCs w:val="18"/>
                <w:vertAlign w:val="superscript"/>
              </w:rPr>
              <w:t>***</w:t>
            </w:r>
            <w:r w:rsidRPr="001E614B">
              <w:rPr>
                <w:i/>
                <w:sz w:val="16"/>
                <w:szCs w:val="18"/>
              </w:rPr>
              <w:t xml:space="preserve"> </w:t>
            </w:r>
          </w:p>
        </w:tc>
        <w:tc>
          <w:tcPr>
            <w:tcW w:w="434" w:type="pct"/>
            <w:shd w:val="clear" w:color="auto" w:fill="auto"/>
            <w:tcMar>
              <w:left w:w="57" w:type="dxa"/>
              <w:right w:w="57" w:type="dxa"/>
            </w:tcMar>
            <w:vAlign w:val="center"/>
          </w:tcPr>
          <w:p w14:paraId="6C4A241E" w14:textId="77777777" w:rsidR="004A457A" w:rsidRPr="001E614B" w:rsidRDefault="004A457A">
            <w:pPr>
              <w:jc w:val="center"/>
              <w:rPr>
                <w:sz w:val="14"/>
                <w:szCs w:val="16"/>
              </w:rPr>
            </w:pPr>
            <w:r w:rsidRPr="001E614B">
              <w:rPr>
                <w:i/>
                <w:iCs/>
                <w:color w:val="000000"/>
                <w:sz w:val="14"/>
                <w:szCs w:val="14"/>
              </w:rPr>
              <w:t>2,3</w:t>
            </w:r>
          </w:p>
        </w:tc>
        <w:tc>
          <w:tcPr>
            <w:tcW w:w="439" w:type="pct"/>
            <w:shd w:val="clear" w:color="auto" w:fill="auto"/>
            <w:tcMar>
              <w:left w:w="57" w:type="dxa"/>
              <w:right w:w="57" w:type="dxa"/>
            </w:tcMar>
            <w:vAlign w:val="center"/>
          </w:tcPr>
          <w:p w14:paraId="735895CC" w14:textId="77777777" w:rsidR="004A457A" w:rsidRPr="001E614B" w:rsidRDefault="004A457A">
            <w:pPr>
              <w:jc w:val="center"/>
              <w:rPr>
                <w:sz w:val="14"/>
                <w:szCs w:val="16"/>
              </w:rPr>
            </w:pPr>
            <w:r w:rsidRPr="001E614B">
              <w:rPr>
                <w:i/>
                <w:iCs/>
                <w:color w:val="000000"/>
                <w:sz w:val="14"/>
                <w:szCs w:val="14"/>
              </w:rPr>
              <w:t>2,2</w:t>
            </w:r>
          </w:p>
        </w:tc>
        <w:tc>
          <w:tcPr>
            <w:tcW w:w="460" w:type="pct"/>
            <w:shd w:val="clear" w:color="auto" w:fill="auto"/>
            <w:tcMar>
              <w:left w:w="57" w:type="dxa"/>
              <w:right w:w="57" w:type="dxa"/>
            </w:tcMar>
            <w:vAlign w:val="center"/>
          </w:tcPr>
          <w:p w14:paraId="2877998A" w14:textId="77777777" w:rsidR="004A457A" w:rsidRPr="001E614B" w:rsidRDefault="004A457A">
            <w:pPr>
              <w:jc w:val="center"/>
              <w:rPr>
                <w:sz w:val="14"/>
                <w:szCs w:val="16"/>
              </w:rPr>
            </w:pPr>
            <w:r w:rsidRPr="001E614B">
              <w:rPr>
                <w:i/>
                <w:iCs/>
                <w:color w:val="000000"/>
                <w:sz w:val="14"/>
                <w:szCs w:val="14"/>
              </w:rPr>
              <w:t>2,1</w:t>
            </w:r>
          </w:p>
        </w:tc>
        <w:tc>
          <w:tcPr>
            <w:tcW w:w="362" w:type="pct"/>
            <w:tcMar>
              <w:left w:w="57" w:type="dxa"/>
              <w:right w:w="57" w:type="dxa"/>
            </w:tcMar>
            <w:vAlign w:val="center"/>
          </w:tcPr>
          <w:p w14:paraId="0F4A024D"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2546FC2C" w14:textId="77777777" w:rsidR="004A457A" w:rsidRPr="001E614B" w:rsidRDefault="004A457A">
            <w:pPr>
              <w:jc w:val="center"/>
              <w:rPr>
                <w:sz w:val="14"/>
                <w:szCs w:val="16"/>
              </w:rPr>
            </w:pPr>
            <w:r w:rsidRPr="001E614B">
              <w:rPr>
                <w:i/>
                <w:iCs/>
                <w:color w:val="000000"/>
                <w:sz w:val="14"/>
                <w:szCs w:val="14"/>
              </w:rPr>
              <w:t>1,6</w:t>
            </w:r>
          </w:p>
        </w:tc>
        <w:tc>
          <w:tcPr>
            <w:tcW w:w="454" w:type="pct"/>
            <w:shd w:val="clear" w:color="auto" w:fill="auto"/>
            <w:tcMar>
              <w:left w:w="57" w:type="dxa"/>
              <w:right w:w="57" w:type="dxa"/>
            </w:tcMar>
            <w:vAlign w:val="center"/>
          </w:tcPr>
          <w:p w14:paraId="2F44E04E" w14:textId="77777777" w:rsidR="004A457A" w:rsidRPr="001E614B" w:rsidRDefault="004A457A">
            <w:pPr>
              <w:jc w:val="center"/>
              <w:rPr>
                <w:sz w:val="14"/>
                <w:szCs w:val="16"/>
              </w:rPr>
            </w:pPr>
            <w:r w:rsidRPr="001E614B">
              <w:rPr>
                <w:i/>
                <w:iCs/>
                <w:color w:val="000000"/>
                <w:sz w:val="14"/>
                <w:szCs w:val="14"/>
              </w:rPr>
              <w:t>1,8</w:t>
            </w:r>
          </w:p>
        </w:tc>
        <w:tc>
          <w:tcPr>
            <w:tcW w:w="349" w:type="pct"/>
            <w:tcMar>
              <w:left w:w="57" w:type="dxa"/>
              <w:right w:w="57" w:type="dxa"/>
            </w:tcMar>
            <w:vAlign w:val="center"/>
          </w:tcPr>
          <w:p w14:paraId="005DCC48"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2972A59F" w14:textId="77777777" w:rsidR="004A457A" w:rsidRPr="001E614B" w:rsidRDefault="004A457A">
            <w:pPr>
              <w:jc w:val="center"/>
              <w:rPr>
                <w:color w:val="000000"/>
                <w:sz w:val="14"/>
                <w:szCs w:val="14"/>
              </w:rPr>
            </w:pPr>
            <w:r w:rsidRPr="001E614B">
              <w:rPr>
                <w:i/>
                <w:iCs/>
                <w:color w:val="000000"/>
                <w:sz w:val="14"/>
                <w:szCs w:val="14"/>
              </w:rPr>
              <w:t>1,5</w:t>
            </w:r>
          </w:p>
        </w:tc>
        <w:tc>
          <w:tcPr>
            <w:tcW w:w="481" w:type="pct"/>
            <w:shd w:val="clear" w:color="auto" w:fill="auto"/>
            <w:tcMar>
              <w:left w:w="57" w:type="dxa"/>
              <w:right w:w="57" w:type="dxa"/>
            </w:tcMar>
            <w:vAlign w:val="center"/>
          </w:tcPr>
          <w:p w14:paraId="2E4898D6" w14:textId="77777777" w:rsidR="004A457A" w:rsidRPr="001E614B" w:rsidRDefault="004A457A">
            <w:pPr>
              <w:jc w:val="center"/>
              <w:rPr>
                <w:sz w:val="14"/>
                <w:szCs w:val="16"/>
              </w:rPr>
            </w:pPr>
            <w:r w:rsidRPr="001E614B">
              <w:rPr>
                <w:i/>
                <w:iCs/>
                <w:color w:val="000000"/>
                <w:sz w:val="14"/>
                <w:szCs w:val="14"/>
              </w:rPr>
              <w:t>1,2</w:t>
            </w:r>
          </w:p>
        </w:tc>
        <w:tc>
          <w:tcPr>
            <w:tcW w:w="465" w:type="pct"/>
            <w:tcMar>
              <w:left w:w="57" w:type="dxa"/>
              <w:right w:w="57" w:type="dxa"/>
            </w:tcMar>
            <w:vAlign w:val="center"/>
          </w:tcPr>
          <w:p w14:paraId="321C03F6" w14:textId="77777777" w:rsidR="004A457A" w:rsidRPr="001E614B" w:rsidRDefault="004A457A">
            <w:pPr>
              <w:jc w:val="center"/>
              <w:rPr>
                <w:sz w:val="14"/>
                <w:szCs w:val="16"/>
              </w:rPr>
            </w:pPr>
            <w:r w:rsidRPr="001E614B">
              <w:rPr>
                <w:i/>
                <w:iCs/>
                <w:color w:val="000000"/>
                <w:sz w:val="14"/>
                <w:szCs w:val="14"/>
              </w:rPr>
              <w:t> </w:t>
            </w:r>
          </w:p>
        </w:tc>
      </w:tr>
      <w:tr w:rsidR="004A457A" w:rsidRPr="001E614B" w14:paraId="113932B6" w14:textId="77777777" w:rsidTr="004E568C">
        <w:trPr>
          <w:trHeight w:val="190"/>
        </w:trPr>
        <w:tc>
          <w:tcPr>
            <w:tcW w:w="658" w:type="pct"/>
            <w:shd w:val="clear" w:color="auto" w:fill="auto"/>
            <w:vAlign w:val="center"/>
          </w:tcPr>
          <w:p w14:paraId="2149F001" w14:textId="77777777" w:rsidR="004A457A" w:rsidRPr="001E614B" w:rsidRDefault="004A457A">
            <w:pPr>
              <w:kinsoku w:val="0"/>
              <w:overflowPunct w:val="0"/>
              <w:textAlignment w:val="baseline"/>
              <w:rPr>
                <w:color w:val="000000"/>
                <w:kern w:val="24"/>
                <w:sz w:val="16"/>
                <w:szCs w:val="18"/>
              </w:rPr>
            </w:pPr>
            <w:r w:rsidRPr="001E614B">
              <w:rPr>
                <w:color w:val="000000"/>
                <w:kern w:val="24"/>
                <w:sz w:val="16"/>
                <w:szCs w:val="18"/>
              </w:rPr>
              <w:t xml:space="preserve">Культура, </w:t>
            </w:r>
            <w:proofErr w:type="spellStart"/>
            <w:proofErr w:type="gramStart"/>
            <w:r w:rsidRPr="001E614B">
              <w:rPr>
                <w:color w:val="000000"/>
                <w:kern w:val="24"/>
                <w:sz w:val="16"/>
                <w:szCs w:val="18"/>
              </w:rPr>
              <w:t>кинематогра-фия</w:t>
            </w:r>
            <w:proofErr w:type="spellEnd"/>
            <w:proofErr w:type="gramEnd"/>
          </w:p>
        </w:tc>
        <w:tc>
          <w:tcPr>
            <w:tcW w:w="434" w:type="pct"/>
            <w:shd w:val="clear" w:color="auto" w:fill="auto"/>
            <w:tcMar>
              <w:left w:w="57" w:type="dxa"/>
              <w:right w:w="57" w:type="dxa"/>
            </w:tcMar>
            <w:vAlign w:val="center"/>
          </w:tcPr>
          <w:p w14:paraId="2C892005" w14:textId="77777777" w:rsidR="004A457A" w:rsidRPr="001E614B" w:rsidRDefault="004A457A">
            <w:pPr>
              <w:jc w:val="center"/>
              <w:rPr>
                <w:sz w:val="14"/>
                <w:szCs w:val="16"/>
              </w:rPr>
            </w:pPr>
            <w:r w:rsidRPr="001E614B">
              <w:rPr>
                <w:b/>
                <w:bCs/>
                <w:color w:val="000000"/>
                <w:sz w:val="14"/>
                <w:szCs w:val="14"/>
              </w:rPr>
              <w:t>204 640,1</w:t>
            </w:r>
          </w:p>
        </w:tc>
        <w:tc>
          <w:tcPr>
            <w:tcW w:w="439" w:type="pct"/>
            <w:shd w:val="clear" w:color="auto" w:fill="auto"/>
            <w:tcMar>
              <w:left w:w="57" w:type="dxa"/>
              <w:right w:w="57" w:type="dxa"/>
            </w:tcMar>
            <w:vAlign w:val="center"/>
          </w:tcPr>
          <w:p w14:paraId="239E2880" w14:textId="77777777" w:rsidR="004A457A" w:rsidRPr="001E614B" w:rsidRDefault="004A457A">
            <w:pPr>
              <w:jc w:val="center"/>
              <w:rPr>
                <w:sz w:val="14"/>
                <w:szCs w:val="16"/>
              </w:rPr>
            </w:pPr>
            <w:r w:rsidRPr="001E614B">
              <w:rPr>
                <w:b/>
                <w:bCs/>
                <w:color w:val="000000"/>
                <w:sz w:val="14"/>
                <w:szCs w:val="14"/>
              </w:rPr>
              <w:t>186 305,7</w:t>
            </w:r>
          </w:p>
        </w:tc>
        <w:tc>
          <w:tcPr>
            <w:tcW w:w="460" w:type="pct"/>
            <w:shd w:val="clear" w:color="auto" w:fill="auto"/>
            <w:tcMar>
              <w:left w:w="57" w:type="dxa"/>
              <w:right w:w="57" w:type="dxa"/>
            </w:tcMar>
            <w:vAlign w:val="center"/>
          </w:tcPr>
          <w:p w14:paraId="05847153" w14:textId="77777777" w:rsidR="004A457A" w:rsidRPr="001E614B" w:rsidRDefault="004A457A">
            <w:pPr>
              <w:jc w:val="center"/>
              <w:rPr>
                <w:sz w:val="14"/>
                <w:szCs w:val="16"/>
              </w:rPr>
            </w:pPr>
            <w:r w:rsidRPr="001E614B">
              <w:rPr>
                <w:b/>
                <w:bCs/>
                <w:color w:val="000000"/>
                <w:sz w:val="14"/>
                <w:szCs w:val="14"/>
              </w:rPr>
              <w:t>196 095,9</w:t>
            </w:r>
          </w:p>
        </w:tc>
        <w:tc>
          <w:tcPr>
            <w:tcW w:w="362" w:type="pct"/>
            <w:tcMar>
              <w:left w:w="57" w:type="dxa"/>
              <w:right w:w="57" w:type="dxa"/>
            </w:tcMar>
            <w:vAlign w:val="center"/>
          </w:tcPr>
          <w:p w14:paraId="44FC20D1" w14:textId="77777777" w:rsidR="004A457A" w:rsidRPr="001E614B" w:rsidRDefault="004A457A">
            <w:pPr>
              <w:jc w:val="center"/>
              <w:rPr>
                <w:sz w:val="14"/>
                <w:szCs w:val="16"/>
              </w:rPr>
            </w:pPr>
            <w:r w:rsidRPr="001E614B">
              <w:rPr>
                <w:b/>
                <w:bCs/>
                <w:i/>
                <w:iCs/>
                <w:color w:val="000000"/>
                <w:sz w:val="14"/>
                <w:szCs w:val="14"/>
              </w:rPr>
              <w:t>105,3</w:t>
            </w:r>
          </w:p>
        </w:tc>
        <w:tc>
          <w:tcPr>
            <w:tcW w:w="439" w:type="pct"/>
            <w:tcMar>
              <w:left w:w="57" w:type="dxa"/>
              <w:right w:w="57" w:type="dxa"/>
            </w:tcMar>
            <w:vAlign w:val="center"/>
          </w:tcPr>
          <w:p w14:paraId="1783DD73" w14:textId="77777777" w:rsidR="004A457A" w:rsidRPr="001E614B" w:rsidRDefault="004A457A">
            <w:pPr>
              <w:jc w:val="center"/>
              <w:rPr>
                <w:sz w:val="14"/>
                <w:szCs w:val="16"/>
              </w:rPr>
            </w:pPr>
            <w:r w:rsidRPr="001E614B">
              <w:rPr>
                <w:b/>
                <w:bCs/>
                <w:color w:val="000000"/>
                <w:sz w:val="14"/>
                <w:szCs w:val="14"/>
              </w:rPr>
              <w:t>193 577,6</w:t>
            </w:r>
          </w:p>
        </w:tc>
        <w:tc>
          <w:tcPr>
            <w:tcW w:w="454" w:type="pct"/>
            <w:shd w:val="clear" w:color="auto" w:fill="auto"/>
            <w:tcMar>
              <w:left w:w="57" w:type="dxa"/>
              <w:right w:w="57" w:type="dxa"/>
            </w:tcMar>
            <w:vAlign w:val="center"/>
          </w:tcPr>
          <w:p w14:paraId="38D3515B" w14:textId="77777777" w:rsidR="004A457A" w:rsidRPr="001E614B" w:rsidRDefault="004A457A">
            <w:pPr>
              <w:jc w:val="center"/>
              <w:rPr>
                <w:sz w:val="14"/>
                <w:szCs w:val="16"/>
              </w:rPr>
            </w:pPr>
            <w:r w:rsidRPr="001E614B">
              <w:rPr>
                <w:b/>
                <w:bCs/>
                <w:color w:val="000000"/>
                <w:sz w:val="14"/>
                <w:szCs w:val="14"/>
              </w:rPr>
              <w:t>203 607,6</w:t>
            </w:r>
          </w:p>
        </w:tc>
        <w:tc>
          <w:tcPr>
            <w:tcW w:w="349" w:type="pct"/>
            <w:tcMar>
              <w:left w:w="57" w:type="dxa"/>
              <w:right w:w="57" w:type="dxa"/>
            </w:tcMar>
            <w:vAlign w:val="center"/>
          </w:tcPr>
          <w:p w14:paraId="1DE4DBF7" w14:textId="77777777" w:rsidR="004A457A" w:rsidRPr="001E614B" w:rsidRDefault="004A457A">
            <w:pPr>
              <w:jc w:val="center"/>
              <w:rPr>
                <w:sz w:val="14"/>
                <w:szCs w:val="16"/>
              </w:rPr>
            </w:pPr>
            <w:r w:rsidRPr="001E614B">
              <w:rPr>
                <w:b/>
                <w:bCs/>
                <w:i/>
                <w:iCs/>
                <w:color w:val="000000"/>
                <w:sz w:val="14"/>
                <w:szCs w:val="14"/>
              </w:rPr>
              <w:t>105,2</w:t>
            </w:r>
          </w:p>
        </w:tc>
        <w:tc>
          <w:tcPr>
            <w:tcW w:w="460" w:type="pct"/>
            <w:tcMar>
              <w:left w:w="57" w:type="dxa"/>
              <w:right w:w="57" w:type="dxa"/>
            </w:tcMar>
            <w:vAlign w:val="center"/>
          </w:tcPr>
          <w:p w14:paraId="6FD74647" w14:textId="77777777" w:rsidR="004A457A" w:rsidRPr="001E614B" w:rsidRDefault="004A457A">
            <w:pPr>
              <w:jc w:val="center"/>
              <w:rPr>
                <w:color w:val="000000"/>
                <w:sz w:val="14"/>
                <w:szCs w:val="14"/>
              </w:rPr>
            </w:pPr>
            <w:r w:rsidRPr="001E614B">
              <w:rPr>
                <w:b/>
                <w:bCs/>
                <w:color w:val="000000"/>
                <w:sz w:val="14"/>
                <w:szCs w:val="14"/>
              </w:rPr>
              <w:t>177 922,4</w:t>
            </w:r>
          </w:p>
        </w:tc>
        <w:tc>
          <w:tcPr>
            <w:tcW w:w="481" w:type="pct"/>
            <w:shd w:val="clear" w:color="auto" w:fill="auto"/>
            <w:tcMar>
              <w:left w:w="57" w:type="dxa"/>
              <w:right w:w="57" w:type="dxa"/>
            </w:tcMar>
            <w:vAlign w:val="center"/>
          </w:tcPr>
          <w:p w14:paraId="30B010CC" w14:textId="77777777" w:rsidR="004A457A" w:rsidRPr="001E614B" w:rsidRDefault="004A457A">
            <w:pPr>
              <w:jc w:val="center"/>
              <w:rPr>
                <w:sz w:val="14"/>
                <w:szCs w:val="16"/>
              </w:rPr>
            </w:pPr>
            <w:r w:rsidRPr="001E614B">
              <w:rPr>
                <w:b/>
                <w:bCs/>
                <w:color w:val="000000"/>
                <w:sz w:val="14"/>
                <w:szCs w:val="14"/>
              </w:rPr>
              <w:t>171 100,7</w:t>
            </w:r>
          </w:p>
        </w:tc>
        <w:tc>
          <w:tcPr>
            <w:tcW w:w="465" w:type="pct"/>
            <w:tcMar>
              <w:left w:w="57" w:type="dxa"/>
              <w:right w:w="57" w:type="dxa"/>
            </w:tcMar>
            <w:vAlign w:val="center"/>
          </w:tcPr>
          <w:p w14:paraId="6D813773" w14:textId="77777777" w:rsidR="004A457A" w:rsidRPr="001E614B" w:rsidRDefault="004A457A">
            <w:pPr>
              <w:jc w:val="center"/>
              <w:rPr>
                <w:sz w:val="14"/>
                <w:szCs w:val="16"/>
              </w:rPr>
            </w:pPr>
            <w:r w:rsidRPr="001E614B">
              <w:rPr>
                <w:b/>
                <w:bCs/>
                <w:i/>
                <w:iCs/>
                <w:color w:val="000000"/>
                <w:sz w:val="14"/>
                <w:szCs w:val="14"/>
              </w:rPr>
              <w:t>96,2</w:t>
            </w:r>
          </w:p>
        </w:tc>
      </w:tr>
      <w:tr w:rsidR="004A457A" w:rsidRPr="001E614B" w14:paraId="3E81FB6F" w14:textId="77777777" w:rsidTr="004E568C">
        <w:trPr>
          <w:trHeight w:val="190"/>
        </w:trPr>
        <w:tc>
          <w:tcPr>
            <w:tcW w:w="658" w:type="pct"/>
            <w:shd w:val="clear" w:color="auto" w:fill="auto"/>
            <w:vAlign w:val="center"/>
          </w:tcPr>
          <w:p w14:paraId="5A5B3460" w14:textId="77777777" w:rsidR="004A457A" w:rsidRPr="001E614B" w:rsidRDefault="004A457A">
            <w:pPr>
              <w:kinsoku w:val="0"/>
              <w:overflowPunct w:val="0"/>
              <w:textAlignment w:val="baseline"/>
              <w:rPr>
                <w:i/>
                <w:color w:val="000000"/>
                <w:kern w:val="24"/>
                <w:sz w:val="16"/>
                <w:szCs w:val="18"/>
              </w:rPr>
            </w:pPr>
            <w:r w:rsidRPr="001E614B">
              <w:rPr>
                <w:i/>
                <w:color w:val="000000"/>
                <w:kern w:val="24"/>
                <w:sz w:val="16"/>
                <w:szCs w:val="18"/>
              </w:rPr>
              <w:t>%% к ВВП</w:t>
            </w:r>
          </w:p>
        </w:tc>
        <w:tc>
          <w:tcPr>
            <w:tcW w:w="434" w:type="pct"/>
            <w:shd w:val="clear" w:color="auto" w:fill="auto"/>
            <w:tcMar>
              <w:left w:w="57" w:type="dxa"/>
              <w:right w:w="57" w:type="dxa"/>
            </w:tcMar>
            <w:vAlign w:val="center"/>
          </w:tcPr>
          <w:p w14:paraId="77F532EB" w14:textId="77777777" w:rsidR="004A457A" w:rsidRPr="001E614B" w:rsidRDefault="004A457A">
            <w:pPr>
              <w:jc w:val="center"/>
              <w:rPr>
                <w:sz w:val="14"/>
                <w:szCs w:val="16"/>
              </w:rPr>
            </w:pPr>
            <w:r w:rsidRPr="001E614B">
              <w:rPr>
                <w:i/>
                <w:iCs/>
                <w:color w:val="000000"/>
                <w:sz w:val="14"/>
                <w:szCs w:val="14"/>
              </w:rPr>
              <w:t>0,1</w:t>
            </w:r>
          </w:p>
        </w:tc>
        <w:tc>
          <w:tcPr>
            <w:tcW w:w="439" w:type="pct"/>
            <w:shd w:val="clear" w:color="auto" w:fill="auto"/>
            <w:tcMar>
              <w:left w:w="57" w:type="dxa"/>
              <w:right w:w="57" w:type="dxa"/>
            </w:tcMar>
            <w:vAlign w:val="center"/>
          </w:tcPr>
          <w:p w14:paraId="14AF5EBB" w14:textId="77777777" w:rsidR="004A457A" w:rsidRPr="001E614B" w:rsidRDefault="004A457A">
            <w:pPr>
              <w:jc w:val="center"/>
              <w:rPr>
                <w:sz w:val="14"/>
                <w:szCs w:val="16"/>
              </w:rPr>
            </w:pPr>
            <w:r w:rsidRPr="001E614B">
              <w:rPr>
                <w:i/>
                <w:iCs/>
                <w:color w:val="000000"/>
                <w:sz w:val="14"/>
                <w:szCs w:val="14"/>
              </w:rPr>
              <w:t>0,1</w:t>
            </w:r>
          </w:p>
        </w:tc>
        <w:tc>
          <w:tcPr>
            <w:tcW w:w="460" w:type="pct"/>
            <w:shd w:val="clear" w:color="auto" w:fill="auto"/>
            <w:tcMar>
              <w:left w:w="57" w:type="dxa"/>
              <w:right w:w="57" w:type="dxa"/>
            </w:tcMar>
            <w:vAlign w:val="center"/>
          </w:tcPr>
          <w:p w14:paraId="26D1DB11" w14:textId="77777777" w:rsidR="004A457A" w:rsidRPr="001E614B" w:rsidRDefault="004A457A">
            <w:pPr>
              <w:jc w:val="center"/>
              <w:rPr>
                <w:sz w:val="14"/>
                <w:szCs w:val="16"/>
              </w:rPr>
            </w:pPr>
            <w:r w:rsidRPr="001E614B">
              <w:rPr>
                <w:i/>
                <w:iCs/>
                <w:color w:val="000000"/>
                <w:sz w:val="14"/>
                <w:szCs w:val="14"/>
              </w:rPr>
              <w:t>0,1</w:t>
            </w:r>
          </w:p>
        </w:tc>
        <w:tc>
          <w:tcPr>
            <w:tcW w:w="362" w:type="pct"/>
            <w:tcMar>
              <w:left w:w="57" w:type="dxa"/>
              <w:right w:w="57" w:type="dxa"/>
            </w:tcMar>
            <w:vAlign w:val="center"/>
          </w:tcPr>
          <w:p w14:paraId="5BCDD851"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02F07DA9" w14:textId="77777777" w:rsidR="004A457A" w:rsidRPr="001E614B" w:rsidRDefault="004A457A">
            <w:pPr>
              <w:jc w:val="center"/>
              <w:rPr>
                <w:sz w:val="14"/>
                <w:szCs w:val="16"/>
              </w:rPr>
            </w:pPr>
            <w:r w:rsidRPr="001E614B">
              <w:rPr>
                <w:i/>
                <w:iCs/>
                <w:color w:val="000000"/>
                <w:sz w:val="14"/>
                <w:szCs w:val="14"/>
              </w:rPr>
              <w:t>0,1</w:t>
            </w:r>
          </w:p>
        </w:tc>
        <w:tc>
          <w:tcPr>
            <w:tcW w:w="454" w:type="pct"/>
            <w:shd w:val="clear" w:color="auto" w:fill="auto"/>
            <w:tcMar>
              <w:left w:w="57" w:type="dxa"/>
              <w:right w:w="57" w:type="dxa"/>
            </w:tcMar>
            <w:vAlign w:val="center"/>
          </w:tcPr>
          <w:p w14:paraId="5F1174E4" w14:textId="77777777" w:rsidR="004A457A" w:rsidRPr="001E614B" w:rsidRDefault="004A457A">
            <w:pPr>
              <w:jc w:val="center"/>
              <w:rPr>
                <w:sz w:val="14"/>
                <w:szCs w:val="16"/>
              </w:rPr>
            </w:pPr>
            <w:r w:rsidRPr="001E614B">
              <w:rPr>
                <w:i/>
                <w:iCs/>
                <w:color w:val="000000"/>
                <w:sz w:val="14"/>
                <w:szCs w:val="14"/>
              </w:rPr>
              <w:t>0,1</w:t>
            </w:r>
          </w:p>
        </w:tc>
        <w:tc>
          <w:tcPr>
            <w:tcW w:w="349" w:type="pct"/>
            <w:tcMar>
              <w:left w:w="57" w:type="dxa"/>
              <w:right w:w="57" w:type="dxa"/>
            </w:tcMar>
            <w:vAlign w:val="center"/>
          </w:tcPr>
          <w:p w14:paraId="3BBE2706"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08EBD3A5" w14:textId="77777777" w:rsidR="004A457A" w:rsidRPr="001E614B" w:rsidRDefault="004A457A">
            <w:pPr>
              <w:jc w:val="center"/>
              <w:rPr>
                <w:color w:val="000000"/>
                <w:sz w:val="14"/>
                <w:szCs w:val="14"/>
              </w:rPr>
            </w:pPr>
            <w:r w:rsidRPr="001E614B">
              <w:rPr>
                <w:i/>
                <w:iCs/>
                <w:color w:val="000000"/>
                <w:sz w:val="14"/>
                <w:szCs w:val="14"/>
              </w:rPr>
              <w:t>0,1</w:t>
            </w:r>
          </w:p>
        </w:tc>
        <w:tc>
          <w:tcPr>
            <w:tcW w:w="481" w:type="pct"/>
            <w:shd w:val="clear" w:color="auto" w:fill="auto"/>
            <w:tcMar>
              <w:left w:w="57" w:type="dxa"/>
              <w:right w:w="57" w:type="dxa"/>
            </w:tcMar>
            <w:vAlign w:val="center"/>
          </w:tcPr>
          <w:p w14:paraId="5A2318D6" w14:textId="77777777" w:rsidR="004A457A" w:rsidRPr="001E614B" w:rsidRDefault="004A457A">
            <w:pPr>
              <w:jc w:val="center"/>
              <w:rPr>
                <w:sz w:val="14"/>
                <w:szCs w:val="16"/>
              </w:rPr>
            </w:pPr>
            <w:r w:rsidRPr="001E614B">
              <w:rPr>
                <w:i/>
                <w:iCs/>
                <w:color w:val="000000"/>
                <w:sz w:val="14"/>
                <w:szCs w:val="14"/>
              </w:rPr>
              <w:t>0,1</w:t>
            </w:r>
          </w:p>
        </w:tc>
        <w:tc>
          <w:tcPr>
            <w:tcW w:w="465" w:type="pct"/>
            <w:tcMar>
              <w:left w:w="57" w:type="dxa"/>
              <w:right w:w="57" w:type="dxa"/>
            </w:tcMar>
            <w:vAlign w:val="center"/>
          </w:tcPr>
          <w:p w14:paraId="0F7CB6EA" w14:textId="77777777" w:rsidR="004A457A" w:rsidRPr="001E614B" w:rsidRDefault="004A457A">
            <w:pPr>
              <w:jc w:val="center"/>
              <w:rPr>
                <w:sz w:val="14"/>
                <w:szCs w:val="16"/>
              </w:rPr>
            </w:pPr>
            <w:r w:rsidRPr="001E614B">
              <w:rPr>
                <w:i/>
                <w:iCs/>
                <w:color w:val="000000"/>
                <w:sz w:val="14"/>
                <w:szCs w:val="14"/>
              </w:rPr>
              <w:t> </w:t>
            </w:r>
          </w:p>
        </w:tc>
      </w:tr>
      <w:tr w:rsidR="004A457A" w:rsidRPr="001E614B" w14:paraId="4BC786D7" w14:textId="77777777" w:rsidTr="004E568C">
        <w:trPr>
          <w:trHeight w:val="190"/>
        </w:trPr>
        <w:tc>
          <w:tcPr>
            <w:tcW w:w="658" w:type="pct"/>
            <w:shd w:val="clear" w:color="auto" w:fill="auto"/>
            <w:vAlign w:val="center"/>
          </w:tcPr>
          <w:p w14:paraId="1B97B5A8" w14:textId="77777777" w:rsidR="004A457A" w:rsidRPr="001E614B" w:rsidRDefault="004A457A">
            <w:pPr>
              <w:kinsoku w:val="0"/>
              <w:overflowPunct w:val="0"/>
              <w:textAlignment w:val="baseline"/>
              <w:rPr>
                <w:i/>
                <w:color w:val="000000"/>
                <w:kern w:val="24"/>
                <w:sz w:val="16"/>
                <w:szCs w:val="18"/>
              </w:rPr>
            </w:pPr>
            <w:r w:rsidRPr="001E614B">
              <w:rPr>
                <w:i/>
                <w:sz w:val="16"/>
                <w:szCs w:val="18"/>
              </w:rPr>
              <w:t>доля в общем объеме расходов, %</w:t>
            </w:r>
            <w:r w:rsidRPr="001E614B">
              <w:rPr>
                <w:i/>
                <w:sz w:val="16"/>
                <w:szCs w:val="18"/>
                <w:vertAlign w:val="superscript"/>
              </w:rPr>
              <w:t>***</w:t>
            </w:r>
            <w:r w:rsidRPr="001E614B">
              <w:rPr>
                <w:i/>
                <w:sz w:val="16"/>
                <w:szCs w:val="18"/>
              </w:rPr>
              <w:t xml:space="preserve"> </w:t>
            </w:r>
          </w:p>
        </w:tc>
        <w:tc>
          <w:tcPr>
            <w:tcW w:w="434" w:type="pct"/>
            <w:shd w:val="clear" w:color="auto" w:fill="auto"/>
            <w:tcMar>
              <w:left w:w="57" w:type="dxa"/>
              <w:right w:w="57" w:type="dxa"/>
            </w:tcMar>
            <w:vAlign w:val="center"/>
          </w:tcPr>
          <w:p w14:paraId="2620A9D3" w14:textId="77777777" w:rsidR="004A457A" w:rsidRPr="001E614B" w:rsidRDefault="004A457A">
            <w:pPr>
              <w:jc w:val="center"/>
              <w:rPr>
                <w:sz w:val="14"/>
                <w:szCs w:val="16"/>
              </w:rPr>
            </w:pPr>
            <w:r w:rsidRPr="001E614B">
              <w:rPr>
                <w:i/>
                <w:iCs/>
                <w:color w:val="000000"/>
                <w:sz w:val="14"/>
                <w:szCs w:val="14"/>
              </w:rPr>
              <w:t>0,7</w:t>
            </w:r>
          </w:p>
        </w:tc>
        <w:tc>
          <w:tcPr>
            <w:tcW w:w="439" w:type="pct"/>
            <w:shd w:val="clear" w:color="auto" w:fill="auto"/>
            <w:tcMar>
              <w:left w:w="57" w:type="dxa"/>
              <w:right w:w="57" w:type="dxa"/>
            </w:tcMar>
            <w:vAlign w:val="center"/>
          </w:tcPr>
          <w:p w14:paraId="4E1FDB8B" w14:textId="77777777" w:rsidR="004A457A" w:rsidRPr="001E614B" w:rsidRDefault="004A457A">
            <w:pPr>
              <w:jc w:val="center"/>
              <w:rPr>
                <w:sz w:val="14"/>
                <w:szCs w:val="16"/>
              </w:rPr>
            </w:pPr>
            <w:r w:rsidRPr="001E614B">
              <w:rPr>
                <w:i/>
                <w:iCs/>
                <w:color w:val="000000"/>
                <w:sz w:val="14"/>
                <w:szCs w:val="14"/>
              </w:rPr>
              <w:t>0,8</w:t>
            </w:r>
          </w:p>
        </w:tc>
        <w:tc>
          <w:tcPr>
            <w:tcW w:w="460" w:type="pct"/>
            <w:shd w:val="clear" w:color="auto" w:fill="auto"/>
            <w:tcMar>
              <w:left w:w="57" w:type="dxa"/>
              <w:right w:w="57" w:type="dxa"/>
            </w:tcMar>
            <w:vAlign w:val="center"/>
          </w:tcPr>
          <w:p w14:paraId="37363FCF" w14:textId="77777777" w:rsidR="004A457A" w:rsidRPr="001E614B" w:rsidRDefault="004A457A">
            <w:pPr>
              <w:jc w:val="center"/>
              <w:rPr>
                <w:sz w:val="14"/>
                <w:szCs w:val="16"/>
              </w:rPr>
            </w:pPr>
            <w:r w:rsidRPr="001E614B">
              <w:rPr>
                <w:i/>
                <w:iCs/>
                <w:color w:val="000000"/>
                <w:sz w:val="14"/>
                <w:szCs w:val="14"/>
              </w:rPr>
              <w:t>0,7</w:t>
            </w:r>
          </w:p>
        </w:tc>
        <w:tc>
          <w:tcPr>
            <w:tcW w:w="362" w:type="pct"/>
            <w:tcMar>
              <w:left w:w="57" w:type="dxa"/>
              <w:right w:w="57" w:type="dxa"/>
            </w:tcMar>
            <w:vAlign w:val="center"/>
          </w:tcPr>
          <w:p w14:paraId="373AB9A6"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62F0D9CA" w14:textId="77777777" w:rsidR="004A457A" w:rsidRPr="001E614B" w:rsidRDefault="004A457A">
            <w:pPr>
              <w:jc w:val="center"/>
              <w:rPr>
                <w:sz w:val="14"/>
                <w:szCs w:val="16"/>
              </w:rPr>
            </w:pPr>
            <w:r w:rsidRPr="001E614B">
              <w:rPr>
                <w:i/>
                <w:iCs/>
                <w:color w:val="000000"/>
                <w:sz w:val="14"/>
                <w:szCs w:val="14"/>
              </w:rPr>
              <w:t>0,8</w:t>
            </w:r>
          </w:p>
        </w:tc>
        <w:tc>
          <w:tcPr>
            <w:tcW w:w="454" w:type="pct"/>
            <w:shd w:val="clear" w:color="auto" w:fill="auto"/>
            <w:tcMar>
              <w:left w:w="57" w:type="dxa"/>
              <w:right w:w="57" w:type="dxa"/>
            </w:tcMar>
            <w:vAlign w:val="center"/>
          </w:tcPr>
          <w:p w14:paraId="4CDFF4F8" w14:textId="77777777" w:rsidR="004A457A" w:rsidRPr="001E614B" w:rsidRDefault="004A457A">
            <w:pPr>
              <w:jc w:val="center"/>
              <w:rPr>
                <w:sz w:val="14"/>
                <w:szCs w:val="16"/>
              </w:rPr>
            </w:pPr>
            <w:r w:rsidRPr="001E614B">
              <w:rPr>
                <w:i/>
                <w:iCs/>
                <w:color w:val="000000"/>
                <w:sz w:val="14"/>
                <w:szCs w:val="14"/>
              </w:rPr>
              <w:t>0,7</w:t>
            </w:r>
          </w:p>
        </w:tc>
        <w:tc>
          <w:tcPr>
            <w:tcW w:w="349" w:type="pct"/>
            <w:tcMar>
              <w:left w:w="57" w:type="dxa"/>
              <w:right w:w="57" w:type="dxa"/>
            </w:tcMar>
            <w:vAlign w:val="center"/>
          </w:tcPr>
          <w:p w14:paraId="46C5BF16"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2B408589" w14:textId="77777777" w:rsidR="004A457A" w:rsidRPr="001E614B" w:rsidRDefault="004A457A">
            <w:pPr>
              <w:jc w:val="center"/>
              <w:rPr>
                <w:color w:val="000000"/>
                <w:sz w:val="14"/>
                <w:szCs w:val="14"/>
              </w:rPr>
            </w:pPr>
            <w:r w:rsidRPr="001E614B">
              <w:rPr>
                <w:i/>
                <w:iCs/>
                <w:color w:val="000000"/>
                <w:sz w:val="14"/>
                <w:szCs w:val="14"/>
              </w:rPr>
              <w:t>0,7</w:t>
            </w:r>
          </w:p>
        </w:tc>
        <w:tc>
          <w:tcPr>
            <w:tcW w:w="481" w:type="pct"/>
            <w:shd w:val="clear" w:color="auto" w:fill="auto"/>
            <w:tcMar>
              <w:left w:w="57" w:type="dxa"/>
              <w:right w:w="57" w:type="dxa"/>
            </w:tcMar>
            <w:vAlign w:val="center"/>
          </w:tcPr>
          <w:p w14:paraId="654FAABD" w14:textId="77777777" w:rsidR="004A457A" w:rsidRPr="001E614B" w:rsidRDefault="004A457A">
            <w:pPr>
              <w:jc w:val="center"/>
              <w:rPr>
                <w:sz w:val="14"/>
                <w:szCs w:val="16"/>
              </w:rPr>
            </w:pPr>
            <w:r w:rsidRPr="001E614B">
              <w:rPr>
                <w:i/>
                <w:iCs/>
                <w:color w:val="000000"/>
                <w:sz w:val="14"/>
                <w:szCs w:val="14"/>
              </w:rPr>
              <w:t>0,6</w:t>
            </w:r>
          </w:p>
        </w:tc>
        <w:tc>
          <w:tcPr>
            <w:tcW w:w="465" w:type="pct"/>
            <w:tcMar>
              <w:left w:w="57" w:type="dxa"/>
              <w:right w:w="57" w:type="dxa"/>
            </w:tcMar>
            <w:vAlign w:val="center"/>
          </w:tcPr>
          <w:p w14:paraId="3C5609EC" w14:textId="77777777" w:rsidR="004A457A" w:rsidRPr="001E614B" w:rsidRDefault="004A457A">
            <w:pPr>
              <w:jc w:val="center"/>
              <w:rPr>
                <w:sz w:val="14"/>
                <w:szCs w:val="16"/>
              </w:rPr>
            </w:pPr>
            <w:r w:rsidRPr="001E614B">
              <w:rPr>
                <w:i/>
                <w:iCs/>
                <w:color w:val="000000"/>
                <w:sz w:val="14"/>
                <w:szCs w:val="14"/>
              </w:rPr>
              <w:t> </w:t>
            </w:r>
          </w:p>
        </w:tc>
      </w:tr>
      <w:tr w:rsidR="004A457A" w:rsidRPr="001E614B" w14:paraId="49705CE7" w14:textId="77777777" w:rsidTr="004E568C">
        <w:trPr>
          <w:trHeight w:val="190"/>
        </w:trPr>
        <w:tc>
          <w:tcPr>
            <w:tcW w:w="658" w:type="pct"/>
            <w:shd w:val="clear" w:color="auto" w:fill="auto"/>
            <w:vAlign w:val="center"/>
          </w:tcPr>
          <w:p w14:paraId="408CB35B" w14:textId="77777777" w:rsidR="004A457A" w:rsidRPr="001E614B" w:rsidRDefault="004A457A">
            <w:pPr>
              <w:kinsoku w:val="0"/>
              <w:overflowPunct w:val="0"/>
              <w:textAlignment w:val="baseline"/>
              <w:rPr>
                <w:color w:val="000000"/>
                <w:kern w:val="24"/>
                <w:sz w:val="16"/>
                <w:szCs w:val="18"/>
              </w:rPr>
            </w:pPr>
            <w:proofErr w:type="spellStart"/>
            <w:proofErr w:type="gramStart"/>
            <w:r w:rsidRPr="001E614B">
              <w:rPr>
                <w:color w:val="000000"/>
                <w:kern w:val="24"/>
                <w:sz w:val="16"/>
                <w:szCs w:val="18"/>
              </w:rPr>
              <w:t>Здравоохране-ние</w:t>
            </w:r>
            <w:proofErr w:type="spellEnd"/>
            <w:proofErr w:type="gramEnd"/>
            <w:r w:rsidRPr="001E614B">
              <w:rPr>
                <w:color w:val="000000"/>
                <w:kern w:val="24"/>
                <w:sz w:val="16"/>
                <w:szCs w:val="18"/>
              </w:rPr>
              <w:t xml:space="preserve"> </w:t>
            </w:r>
          </w:p>
        </w:tc>
        <w:tc>
          <w:tcPr>
            <w:tcW w:w="434" w:type="pct"/>
            <w:shd w:val="clear" w:color="auto" w:fill="auto"/>
            <w:tcMar>
              <w:left w:w="57" w:type="dxa"/>
              <w:right w:w="57" w:type="dxa"/>
            </w:tcMar>
            <w:vAlign w:val="center"/>
          </w:tcPr>
          <w:p w14:paraId="70C98E4F" w14:textId="77777777" w:rsidR="004A457A" w:rsidRPr="001E614B" w:rsidRDefault="004A457A">
            <w:pPr>
              <w:jc w:val="center"/>
              <w:rPr>
                <w:sz w:val="14"/>
                <w:szCs w:val="16"/>
              </w:rPr>
            </w:pPr>
            <w:r w:rsidRPr="001E614B">
              <w:rPr>
                <w:b/>
                <w:bCs/>
                <w:color w:val="000000"/>
                <w:sz w:val="14"/>
                <w:szCs w:val="14"/>
              </w:rPr>
              <w:t>1 533 035,9</w:t>
            </w:r>
          </w:p>
        </w:tc>
        <w:tc>
          <w:tcPr>
            <w:tcW w:w="439" w:type="pct"/>
            <w:shd w:val="clear" w:color="auto" w:fill="auto"/>
            <w:tcMar>
              <w:left w:w="57" w:type="dxa"/>
              <w:right w:w="57" w:type="dxa"/>
            </w:tcMar>
            <w:vAlign w:val="center"/>
          </w:tcPr>
          <w:p w14:paraId="7F656E3F" w14:textId="77777777" w:rsidR="004A457A" w:rsidRPr="001E614B" w:rsidRDefault="004A457A">
            <w:pPr>
              <w:jc w:val="center"/>
              <w:rPr>
                <w:sz w:val="14"/>
                <w:szCs w:val="16"/>
              </w:rPr>
            </w:pPr>
            <w:r w:rsidRPr="001E614B">
              <w:rPr>
                <w:b/>
                <w:bCs/>
                <w:color w:val="000000"/>
                <w:sz w:val="14"/>
                <w:szCs w:val="14"/>
              </w:rPr>
              <w:t>1 254 377,6</w:t>
            </w:r>
          </w:p>
        </w:tc>
        <w:tc>
          <w:tcPr>
            <w:tcW w:w="460" w:type="pct"/>
            <w:shd w:val="clear" w:color="auto" w:fill="auto"/>
            <w:tcMar>
              <w:left w:w="57" w:type="dxa"/>
              <w:right w:w="57" w:type="dxa"/>
            </w:tcMar>
            <w:vAlign w:val="center"/>
          </w:tcPr>
          <w:p w14:paraId="71436956" w14:textId="77777777" w:rsidR="004A457A" w:rsidRPr="001E614B" w:rsidRDefault="004A457A">
            <w:pPr>
              <w:jc w:val="center"/>
              <w:rPr>
                <w:sz w:val="14"/>
                <w:szCs w:val="16"/>
              </w:rPr>
            </w:pPr>
            <w:r w:rsidRPr="001E614B">
              <w:rPr>
                <w:b/>
                <w:bCs/>
                <w:color w:val="000000"/>
                <w:sz w:val="14"/>
                <w:szCs w:val="14"/>
              </w:rPr>
              <w:t>1 469 427,2</w:t>
            </w:r>
          </w:p>
        </w:tc>
        <w:tc>
          <w:tcPr>
            <w:tcW w:w="362" w:type="pct"/>
            <w:tcMar>
              <w:left w:w="57" w:type="dxa"/>
              <w:right w:w="57" w:type="dxa"/>
            </w:tcMar>
            <w:vAlign w:val="center"/>
          </w:tcPr>
          <w:p w14:paraId="422CEB39" w14:textId="77777777" w:rsidR="004A457A" w:rsidRPr="001E614B" w:rsidRDefault="004A457A">
            <w:pPr>
              <w:jc w:val="center"/>
              <w:rPr>
                <w:sz w:val="14"/>
                <w:szCs w:val="16"/>
              </w:rPr>
            </w:pPr>
            <w:r w:rsidRPr="001E614B">
              <w:rPr>
                <w:b/>
                <w:bCs/>
                <w:i/>
                <w:iCs/>
                <w:color w:val="000000"/>
                <w:sz w:val="14"/>
                <w:szCs w:val="14"/>
              </w:rPr>
              <w:t>117,1</w:t>
            </w:r>
          </w:p>
        </w:tc>
        <w:tc>
          <w:tcPr>
            <w:tcW w:w="439" w:type="pct"/>
            <w:tcMar>
              <w:left w:w="57" w:type="dxa"/>
              <w:right w:w="57" w:type="dxa"/>
            </w:tcMar>
            <w:vAlign w:val="center"/>
          </w:tcPr>
          <w:p w14:paraId="5048C199" w14:textId="77777777" w:rsidR="004A457A" w:rsidRPr="001E614B" w:rsidRDefault="004A457A">
            <w:pPr>
              <w:jc w:val="center"/>
              <w:rPr>
                <w:sz w:val="14"/>
                <w:szCs w:val="16"/>
              </w:rPr>
            </w:pPr>
            <w:r w:rsidRPr="001E614B">
              <w:rPr>
                <w:b/>
                <w:bCs/>
                <w:color w:val="000000"/>
                <w:sz w:val="14"/>
                <w:szCs w:val="14"/>
              </w:rPr>
              <w:t>1 269 396,9</w:t>
            </w:r>
          </w:p>
        </w:tc>
        <w:tc>
          <w:tcPr>
            <w:tcW w:w="454" w:type="pct"/>
            <w:shd w:val="clear" w:color="auto" w:fill="auto"/>
            <w:tcMar>
              <w:left w:w="57" w:type="dxa"/>
              <w:right w:w="57" w:type="dxa"/>
            </w:tcMar>
            <w:vAlign w:val="center"/>
          </w:tcPr>
          <w:p w14:paraId="1237E6E6" w14:textId="77777777" w:rsidR="004A457A" w:rsidRPr="001E614B" w:rsidRDefault="004A457A">
            <w:pPr>
              <w:jc w:val="center"/>
              <w:rPr>
                <w:sz w:val="14"/>
                <w:szCs w:val="16"/>
              </w:rPr>
            </w:pPr>
            <w:r w:rsidRPr="001E614B">
              <w:rPr>
                <w:b/>
                <w:bCs/>
                <w:color w:val="000000"/>
                <w:sz w:val="14"/>
                <w:szCs w:val="14"/>
              </w:rPr>
              <w:t>1 493 160,5</w:t>
            </w:r>
          </w:p>
        </w:tc>
        <w:tc>
          <w:tcPr>
            <w:tcW w:w="349" w:type="pct"/>
            <w:tcMar>
              <w:left w:w="57" w:type="dxa"/>
              <w:right w:w="57" w:type="dxa"/>
            </w:tcMar>
            <w:vAlign w:val="center"/>
          </w:tcPr>
          <w:p w14:paraId="05A1B0A4" w14:textId="77777777" w:rsidR="004A457A" w:rsidRPr="001E614B" w:rsidRDefault="004A457A">
            <w:pPr>
              <w:jc w:val="center"/>
              <w:rPr>
                <w:sz w:val="14"/>
                <w:szCs w:val="16"/>
              </w:rPr>
            </w:pPr>
            <w:r w:rsidRPr="001E614B">
              <w:rPr>
                <w:b/>
                <w:bCs/>
                <w:i/>
                <w:iCs/>
                <w:color w:val="000000"/>
                <w:sz w:val="14"/>
                <w:szCs w:val="14"/>
              </w:rPr>
              <w:t>117,6</w:t>
            </w:r>
          </w:p>
        </w:tc>
        <w:tc>
          <w:tcPr>
            <w:tcW w:w="460" w:type="pct"/>
            <w:tcMar>
              <w:left w:w="57" w:type="dxa"/>
              <w:right w:w="57" w:type="dxa"/>
            </w:tcMar>
            <w:vAlign w:val="center"/>
          </w:tcPr>
          <w:p w14:paraId="27024810" w14:textId="77777777" w:rsidR="004A457A" w:rsidRPr="001E614B" w:rsidRDefault="004A457A">
            <w:pPr>
              <w:jc w:val="center"/>
              <w:rPr>
                <w:color w:val="000000"/>
                <w:sz w:val="14"/>
                <w:szCs w:val="14"/>
              </w:rPr>
            </w:pPr>
            <w:r w:rsidRPr="001E614B">
              <w:rPr>
                <w:b/>
                <w:bCs/>
                <w:color w:val="000000"/>
                <w:sz w:val="14"/>
                <w:szCs w:val="14"/>
              </w:rPr>
              <w:t>1 298 094,7</w:t>
            </w:r>
          </w:p>
        </w:tc>
        <w:tc>
          <w:tcPr>
            <w:tcW w:w="481" w:type="pct"/>
            <w:shd w:val="clear" w:color="auto" w:fill="auto"/>
            <w:tcMar>
              <w:left w:w="57" w:type="dxa"/>
              <w:right w:w="57" w:type="dxa"/>
            </w:tcMar>
            <w:vAlign w:val="center"/>
          </w:tcPr>
          <w:p w14:paraId="1D936867" w14:textId="77777777" w:rsidR="004A457A" w:rsidRPr="001E614B" w:rsidRDefault="004A457A">
            <w:pPr>
              <w:jc w:val="center"/>
              <w:rPr>
                <w:sz w:val="14"/>
                <w:szCs w:val="16"/>
              </w:rPr>
            </w:pPr>
            <w:r w:rsidRPr="001E614B">
              <w:rPr>
                <w:b/>
                <w:bCs/>
                <w:color w:val="000000"/>
                <w:sz w:val="14"/>
                <w:szCs w:val="14"/>
              </w:rPr>
              <w:t>1 510 339,2</w:t>
            </w:r>
          </w:p>
        </w:tc>
        <w:tc>
          <w:tcPr>
            <w:tcW w:w="465" w:type="pct"/>
            <w:tcMar>
              <w:left w:w="57" w:type="dxa"/>
              <w:right w:w="57" w:type="dxa"/>
            </w:tcMar>
            <w:vAlign w:val="center"/>
          </w:tcPr>
          <w:p w14:paraId="3B19020C" w14:textId="77777777" w:rsidR="004A457A" w:rsidRPr="001E614B" w:rsidRDefault="004A457A">
            <w:pPr>
              <w:jc w:val="center"/>
              <w:rPr>
                <w:sz w:val="14"/>
                <w:szCs w:val="16"/>
              </w:rPr>
            </w:pPr>
            <w:r w:rsidRPr="001E614B">
              <w:rPr>
                <w:b/>
                <w:bCs/>
                <w:i/>
                <w:iCs/>
                <w:color w:val="000000"/>
                <w:sz w:val="14"/>
                <w:szCs w:val="14"/>
              </w:rPr>
              <w:t>116,4</w:t>
            </w:r>
          </w:p>
        </w:tc>
      </w:tr>
      <w:tr w:rsidR="004A457A" w:rsidRPr="001E614B" w14:paraId="566E368D" w14:textId="77777777" w:rsidTr="004E568C">
        <w:trPr>
          <w:trHeight w:val="190"/>
        </w:trPr>
        <w:tc>
          <w:tcPr>
            <w:tcW w:w="658" w:type="pct"/>
            <w:shd w:val="clear" w:color="auto" w:fill="auto"/>
            <w:vAlign w:val="center"/>
          </w:tcPr>
          <w:p w14:paraId="76A8DBE3" w14:textId="77777777" w:rsidR="004A457A" w:rsidRPr="001E614B" w:rsidRDefault="004A457A">
            <w:pPr>
              <w:kinsoku w:val="0"/>
              <w:overflowPunct w:val="0"/>
              <w:textAlignment w:val="baseline"/>
              <w:rPr>
                <w:i/>
                <w:color w:val="000000"/>
                <w:kern w:val="24"/>
                <w:sz w:val="16"/>
                <w:szCs w:val="18"/>
              </w:rPr>
            </w:pPr>
            <w:r w:rsidRPr="001E614B">
              <w:rPr>
                <w:i/>
                <w:color w:val="000000"/>
                <w:kern w:val="24"/>
                <w:sz w:val="16"/>
                <w:szCs w:val="18"/>
              </w:rPr>
              <w:t>%% к ВВП</w:t>
            </w:r>
          </w:p>
        </w:tc>
        <w:tc>
          <w:tcPr>
            <w:tcW w:w="434" w:type="pct"/>
            <w:shd w:val="clear" w:color="auto" w:fill="auto"/>
            <w:tcMar>
              <w:left w:w="57" w:type="dxa"/>
              <w:right w:w="57" w:type="dxa"/>
            </w:tcMar>
            <w:vAlign w:val="center"/>
          </w:tcPr>
          <w:p w14:paraId="470888BA" w14:textId="77777777" w:rsidR="004A457A" w:rsidRPr="001E614B" w:rsidRDefault="004A457A">
            <w:pPr>
              <w:jc w:val="center"/>
              <w:rPr>
                <w:sz w:val="14"/>
                <w:szCs w:val="16"/>
              </w:rPr>
            </w:pPr>
            <w:r w:rsidRPr="001E614B">
              <w:rPr>
                <w:i/>
                <w:iCs/>
                <w:color w:val="000000"/>
                <w:sz w:val="14"/>
                <w:szCs w:val="14"/>
              </w:rPr>
              <w:t>1,0</w:t>
            </w:r>
          </w:p>
        </w:tc>
        <w:tc>
          <w:tcPr>
            <w:tcW w:w="439" w:type="pct"/>
            <w:shd w:val="clear" w:color="auto" w:fill="auto"/>
            <w:tcMar>
              <w:left w:w="57" w:type="dxa"/>
              <w:right w:w="57" w:type="dxa"/>
            </w:tcMar>
            <w:vAlign w:val="center"/>
          </w:tcPr>
          <w:p w14:paraId="2D722BC0" w14:textId="77777777" w:rsidR="004A457A" w:rsidRPr="001E614B" w:rsidRDefault="004A457A">
            <w:pPr>
              <w:jc w:val="center"/>
              <w:rPr>
                <w:sz w:val="14"/>
                <w:szCs w:val="16"/>
              </w:rPr>
            </w:pPr>
            <w:r w:rsidRPr="001E614B">
              <w:rPr>
                <w:i/>
                <w:iCs/>
                <w:color w:val="000000"/>
                <w:sz w:val="14"/>
                <w:szCs w:val="14"/>
              </w:rPr>
              <w:t>0,9</w:t>
            </w:r>
          </w:p>
        </w:tc>
        <w:tc>
          <w:tcPr>
            <w:tcW w:w="460" w:type="pct"/>
            <w:shd w:val="clear" w:color="auto" w:fill="auto"/>
            <w:tcMar>
              <w:left w:w="57" w:type="dxa"/>
              <w:right w:w="57" w:type="dxa"/>
            </w:tcMar>
            <w:vAlign w:val="center"/>
          </w:tcPr>
          <w:p w14:paraId="100538F9" w14:textId="77777777" w:rsidR="004A457A" w:rsidRPr="001E614B" w:rsidRDefault="004A457A">
            <w:pPr>
              <w:jc w:val="center"/>
              <w:rPr>
                <w:sz w:val="14"/>
                <w:szCs w:val="16"/>
              </w:rPr>
            </w:pPr>
            <w:r w:rsidRPr="001E614B">
              <w:rPr>
                <w:i/>
                <w:iCs/>
                <w:color w:val="000000"/>
                <w:sz w:val="14"/>
                <w:szCs w:val="14"/>
              </w:rPr>
              <w:t>1,0</w:t>
            </w:r>
          </w:p>
        </w:tc>
        <w:tc>
          <w:tcPr>
            <w:tcW w:w="362" w:type="pct"/>
            <w:tcMar>
              <w:left w:w="57" w:type="dxa"/>
              <w:right w:w="57" w:type="dxa"/>
            </w:tcMar>
            <w:vAlign w:val="center"/>
          </w:tcPr>
          <w:p w14:paraId="3367623A"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203026A3" w14:textId="77777777" w:rsidR="004A457A" w:rsidRPr="001E614B" w:rsidRDefault="004A457A">
            <w:pPr>
              <w:jc w:val="center"/>
              <w:rPr>
                <w:sz w:val="14"/>
                <w:szCs w:val="16"/>
              </w:rPr>
            </w:pPr>
            <w:r w:rsidRPr="001E614B">
              <w:rPr>
                <w:i/>
                <w:iCs/>
                <w:color w:val="000000"/>
                <w:sz w:val="14"/>
                <w:szCs w:val="14"/>
              </w:rPr>
              <w:t>0,8</w:t>
            </w:r>
          </w:p>
        </w:tc>
        <w:tc>
          <w:tcPr>
            <w:tcW w:w="454" w:type="pct"/>
            <w:shd w:val="clear" w:color="auto" w:fill="auto"/>
            <w:tcMar>
              <w:left w:w="57" w:type="dxa"/>
              <w:right w:w="57" w:type="dxa"/>
            </w:tcMar>
            <w:vAlign w:val="center"/>
          </w:tcPr>
          <w:p w14:paraId="7246ED57" w14:textId="77777777" w:rsidR="004A457A" w:rsidRPr="001E614B" w:rsidRDefault="004A457A">
            <w:pPr>
              <w:jc w:val="center"/>
              <w:rPr>
                <w:sz w:val="14"/>
                <w:szCs w:val="16"/>
              </w:rPr>
            </w:pPr>
            <w:r w:rsidRPr="001E614B">
              <w:rPr>
                <w:i/>
                <w:iCs/>
                <w:color w:val="000000"/>
                <w:sz w:val="14"/>
                <w:szCs w:val="14"/>
              </w:rPr>
              <w:t>0,9</w:t>
            </w:r>
          </w:p>
        </w:tc>
        <w:tc>
          <w:tcPr>
            <w:tcW w:w="349" w:type="pct"/>
            <w:tcMar>
              <w:left w:w="57" w:type="dxa"/>
              <w:right w:w="57" w:type="dxa"/>
            </w:tcMar>
            <w:vAlign w:val="center"/>
          </w:tcPr>
          <w:p w14:paraId="260C104D"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37DA30D1" w14:textId="77777777" w:rsidR="004A457A" w:rsidRPr="001E614B" w:rsidRDefault="004A457A">
            <w:pPr>
              <w:jc w:val="center"/>
              <w:rPr>
                <w:color w:val="000000"/>
                <w:sz w:val="14"/>
                <w:szCs w:val="14"/>
              </w:rPr>
            </w:pPr>
            <w:r w:rsidRPr="001E614B">
              <w:rPr>
                <w:i/>
                <w:iCs/>
                <w:color w:val="000000"/>
                <w:sz w:val="14"/>
                <w:szCs w:val="14"/>
              </w:rPr>
              <w:t>0,8</w:t>
            </w:r>
          </w:p>
        </w:tc>
        <w:tc>
          <w:tcPr>
            <w:tcW w:w="481" w:type="pct"/>
            <w:shd w:val="clear" w:color="auto" w:fill="auto"/>
            <w:tcMar>
              <w:left w:w="57" w:type="dxa"/>
              <w:right w:w="57" w:type="dxa"/>
            </w:tcMar>
            <w:vAlign w:val="center"/>
          </w:tcPr>
          <w:p w14:paraId="488F8968" w14:textId="77777777" w:rsidR="004A457A" w:rsidRPr="001E614B" w:rsidRDefault="004A457A">
            <w:pPr>
              <w:jc w:val="center"/>
              <w:rPr>
                <w:sz w:val="14"/>
                <w:szCs w:val="16"/>
              </w:rPr>
            </w:pPr>
            <w:r w:rsidRPr="001E614B">
              <w:rPr>
                <w:i/>
                <w:iCs/>
                <w:color w:val="000000"/>
                <w:sz w:val="14"/>
                <w:szCs w:val="14"/>
              </w:rPr>
              <w:t>0,9</w:t>
            </w:r>
          </w:p>
        </w:tc>
        <w:tc>
          <w:tcPr>
            <w:tcW w:w="465" w:type="pct"/>
            <w:tcMar>
              <w:left w:w="57" w:type="dxa"/>
              <w:right w:w="57" w:type="dxa"/>
            </w:tcMar>
            <w:vAlign w:val="center"/>
          </w:tcPr>
          <w:p w14:paraId="45973F8F" w14:textId="77777777" w:rsidR="004A457A" w:rsidRPr="001E614B" w:rsidRDefault="004A457A">
            <w:pPr>
              <w:jc w:val="center"/>
              <w:rPr>
                <w:sz w:val="14"/>
                <w:szCs w:val="16"/>
              </w:rPr>
            </w:pPr>
            <w:r w:rsidRPr="001E614B">
              <w:rPr>
                <w:i/>
                <w:iCs/>
                <w:color w:val="000000"/>
                <w:sz w:val="14"/>
                <w:szCs w:val="14"/>
              </w:rPr>
              <w:t> </w:t>
            </w:r>
          </w:p>
        </w:tc>
      </w:tr>
      <w:tr w:rsidR="004A457A" w:rsidRPr="001E614B" w14:paraId="6A4BB028" w14:textId="77777777" w:rsidTr="004E568C">
        <w:trPr>
          <w:trHeight w:val="190"/>
        </w:trPr>
        <w:tc>
          <w:tcPr>
            <w:tcW w:w="658" w:type="pct"/>
            <w:shd w:val="clear" w:color="auto" w:fill="auto"/>
            <w:vAlign w:val="center"/>
          </w:tcPr>
          <w:p w14:paraId="5D2FA4C0" w14:textId="77777777" w:rsidR="004A457A" w:rsidRPr="001E614B" w:rsidRDefault="004A457A">
            <w:pPr>
              <w:kinsoku w:val="0"/>
              <w:overflowPunct w:val="0"/>
              <w:textAlignment w:val="baseline"/>
              <w:rPr>
                <w:i/>
                <w:color w:val="000000"/>
                <w:kern w:val="24"/>
                <w:sz w:val="16"/>
                <w:szCs w:val="18"/>
              </w:rPr>
            </w:pPr>
            <w:r w:rsidRPr="001E614B">
              <w:rPr>
                <w:i/>
                <w:sz w:val="16"/>
                <w:szCs w:val="18"/>
              </w:rPr>
              <w:t>доля в общем объеме расходов, %</w:t>
            </w:r>
            <w:r w:rsidRPr="001E614B">
              <w:rPr>
                <w:i/>
                <w:sz w:val="16"/>
                <w:szCs w:val="18"/>
                <w:vertAlign w:val="superscript"/>
              </w:rPr>
              <w:t>***</w:t>
            </w:r>
            <w:r w:rsidRPr="001E614B">
              <w:rPr>
                <w:i/>
                <w:sz w:val="16"/>
                <w:szCs w:val="18"/>
              </w:rPr>
              <w:t xml:space="preserve"> </w:t>
            </w:r>
          </w:p>
        </w:tc>
        <w:tc>
          <w:tcPr>
            <w:tcW w:w="434" w:type="pct"/>
            <w:shd w:val="clear" w:color="auto" w:fill="auto"/>
            <w:tcMar>
              <w:left w:w="57" w:type="dxa"/>
              <w:right w:w="57" w:type="dxa"/>
            </w:tcMar>
            <w:vAlign w:val="center"/>
          </w:tcPr>
          <w:p w14:paraId="07D03850" w14:textId="77777777" w:rsidR="004A457A" w:rsidRPr="001E614B" w:rsidRDefault="004A457A">
            <w:pPr>
              <w:jc w:val="center"/>
              <w:rPr>
                <w:sz w:val="14"/>
                <w:szCs w:val="16"/>
              </w:rPr>
            </w:pPr>
            <w:r w:rsidRPr="001E614B">
              <w:rPr>
                <w:i/>
                <w:iCs/>
                <w:color w:val="000000"/>
                <w:sz w:val="14"/>
                <w:szCs w:val="14"/>
              </w:rPr>
              <w:t>5,6</w:t>
            </w:r>
          </w:p>
        </w:tc>
        <w:tc>
          <w:tcPr>
            <w:tcW w:w="439" w:type="pct"/>
            <w:shd w:val="clear" w:color="auto" w:fill="auto"/>
            <w:tcMar>
              <w:left w:w="57" w:type="dxa"/>
              <w:right w:w="57" w:type="dxa"/>
            </w:tcMar>
            <w:vAlign w:val="center"/>
          </w:tcPr>
          <w:p w14:paraId="5A0D1161" w14:textId="77777777" w:rsidR="004A457A" w:rsidRPr="001E614B" w:rsidRDefault="004A457A">
            <w:pPr>
              <w:jc w:val="center"/>
              <w:rPr>
                <w:sz w:val="14"/>
                <w:szCs w:val="16"/>
              </w:rPr>
            </w:pPr>
            <w:r w:rsidRPr="001E614B">
              <w:rPr>
                <w:i/>
                <w:iCs/>
                <w:color w:val="000000"/>
                <w:sz w:val="14"/>
                <w:szCs w:val="14"/>
              </w:rPr>
              <w:t>5,1</w:t>
            </w:r>
          </w:p>
        </w:tc>
        <w:tc>
          <w:tcPr>
            <w:tcW w:w="460" w:type="pct"/>
            <w:shd w:val="clear" w:color="auto" w:fill="auto"/>
            <w:tcMar>
              <w:left w:w="57" w:type="dxa"/>
              <w:right w:w="57" w:type="dxa"/>
            </w:tcMar>
            <w:vAlign w:val="center"/>
          </w:tcPr>
          <w:p w14:paraId="4260988B" w14:textId="77777777" w:rsidR="004A457A" w:rsidRPr="001E614B" w:rsidRDefault="004A457A">
            <w:pPr>
              <w:jc w:val="center"/>
              <w:rPr>
                <w:sz w:val="14"/>
                <w:szCs w:val="16"/>
              </w:rPr>
            </w:pPr>
            <w:r w:rsidRPr="001E614B">
              <w:rPr>
                <w:i/>
                <w:iCs/>
                <w:color w:val="000000"/>
                <w:sz w:val="14"/>
                <w:szCs w:val="14"/>
              </w:rPr>
              <w:t>5,1</w:t>
            </w:r>
          </w:p>
        </w:tc>
        <w:tc>
          <w:tcPr>
            <w:tcW w:w="362" w:type="pct"/>
            <w:tcMar>
              <w:left w:w="57" w:type="dxa"/>
              <w:right w:w="57" w:type="dxa"/>
            </w:tcMar>
            <w:vAlign w:val="center"/>
          </w:tcPr>
          <w:p w14:paraId="0EC8F254"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4E052E39" w14:textId="77777777" w:rsidR="004A457A" w:rsidRPr="001E614B" w:rsidRDefault="004A457A">
            <w:pPr>
              <w:jc w:val="center"/>
              <w:rPr>
                <w:sz w:val="14"/>
                <w:szCs w:val="16"/>
              </w:rPr>
            </w:pPr>
            <w:r w:rsidRPr="001E614B">
              <w:rPr>
                <w:i/>
                <w:iCs/>
                <w:color w:val="000000"/>
                <w:sz w:val="14"/>
                <w:szCs w:val="14"/>
              </w:rPr>
              <w:t>5,1</w:t>
            </w:r>
          </w:p>
        </w:tc>
        <w:tc>
          <w:tcPr>
            <w:tcW w:w="454" w:type="pct"/>
            <w:shd w:val="clear" w:color="auto" w:fill="auto"/>
            <w:tcMar>
              <w:left w:w="57" w:type="dxa"/>
              <w:right w:w="57" w:type="dxa"/>
            </w:tcMar>
            <w:vAlign w:val="center"/>
          </w:tcPr>
          <w:p w14:paraId="37CB12E7" w14:textId="77777777" w:rsidR="004A457A" w:rsidRPr="001E614B" w:rsidRDefault="004A457A">
            <w:pPr>
              <w:jc w:val="center"/>
              <w:rPr>
                <w:sz w:val="14"/>
                <w:szCs w:val="16"/>
              </w:rPr>
            </w:pPr>
            <w:r w:rsidRPr="001E614B">
              <w:rPr>
                <w:i/>
                <w:iCs/>
                <w:color w:val="000000"/>
                <w:sz w:val="14"/>
                <w:szCs w:val="14"/>
              </w:rPr>
              <w:t>5,2</w:t>
            </w:r>
          </w:p>
        </w:tc>
        <w:tc>
          <w:tcPr>
            <w:tcW w:w="349" w:type="pct"/>
            <w:tcMar>
              <w:left w:w="57" w:type="dxa"/>
              <w:right w:w="57" w:type="dxa"/>
            </w:tcMar>
            <w:vAlign w:val="center"/>
          </w:tcPr>
          <w:p w14:paraId="04A10BBA"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314B8FF3" w14:textId="77777777" w:rsidR="004A457A" w:rsidRPr="001E614B" w:rsidRDefault="004A457A">
            <w:pPr>
              <w:jc w:val="center"/>
              <w:rPr>
                <w:color w:val="000000"/>
                <w:sz w:val="14"/>
                <w:szCs w:val="14"/>
              </w:rPr>
            </w:pPr>
            <w:r w:rsidRPr="001E614B">
              <w:rPr>
                <w:i/>
                <w:iCs/>
                <w:color w:val="000000"/>
                <w:sz w:val="14"/>
                <w:szCs w:val="14"/>
              </w:rPr>
              <w:t>5,0</w:t>
            </w:r>
          </w:p>
        </w:tc>
        <w:tc>
          <w:tcPr>
            <w:tcW w:w="481" w:type="pct"/>
            <w:shd w:val="clear" w:color="auto" w:fill="auto"/>
            <w:tcMar>
              <w:left w:w="57" w:type="dxa"/>
              <w:right w:w="57" w:type="dxa"/>
            </w:tcMar>
            <w:vAlign w:val="center"/>
          </w:tcPr>
          <w:p w14:paraId="3ADE2BA7" w14:textId="77777777" w:rsidR="004A457A" w:rsidRPr="001E614B" w:rsidRDefault="004A457A">
            <w:pPr>
              <w:jc w:val="center"/>
              <w:rPr>
                <w:sz w:val="14"/>
                <w:szCs w:val="16"/>
              </w:rPr>
            </w:pPr>
            <w:r w:rsidRPr="001E614B">
              <w:rPr>
                <w:i/>
                <w:iCs/>
                <w:color w:val="000000"/>
                <w:sz w:val="14"/>
                <w:szCs w:val="14"/>
              </w:rPr>
              <w:t>5,4</w:t>
            </w:r>
          </w:p>
        </w:tc>
        <w:tc>
          <w:tcPr>
            <w:tcW w:w="465" w:type="pct"/>
            <w:tcMar>
              <w:left w:w="57" w:type="dxa"/>
              <w:right w:w="57" w:type="dxa"/>
            </w:tcMar>
            <w:vAlign w:val="center"/>
          </w:tcPr>
          <w:p w14:paraId="783D7F5B" w14:textId="77777777" w:rsidR="004A457A" w:rsidRPr="001E614B" w:rsidRDefault="004A457A">
            <w:pPr>
              <w:jc w:val="center"/>
              <w:rPr>
                <w:sz w:val="14"/>
                <w:szCs w:val="16"/>
              </w:rPr>
            </w:pPr>
            <w:r w:rsidRPr="001E614B">
              <w:rPr>
                <w:i/>
                <w:iCs/>
                <w:color w:val="000000"/>
                <w:sz w:val="14"/>
                <w:szCs w:val="14"/>
              </w:rPr>
              <w:t> </w:t>
            </w:r>
          </w:p>
        </w:tc>
      </w:tr>
      <w:tr w:rsidR="004A457A" w:rsidRPr="001E614B" w14:paraId="1B63482F" w14:textId="77777777" w:rsidTr="004E568C">
        <w:trPr>
          <w:trHeight w:val="190"/>
        </w:trPr>
        <w:tc>
          <w:tcPr>
            <w:tcW w:w="658" w:type="pct"/>
            <w:shd w:val="clear" w:color="auto" w:fill="auto"/>
            <w:vAlign w:val="center"/>
          </w:tcPr>
          <w:p w14:paraId="74B1D029" w14:textId="77777777" w:rsidR="004A457A" w:rsidRPr="001E614B" w:rsidRDefault="004A457A">
            <w:pPr>
              <w:kinsoku w:val="0"/>
              <w:overflowPunct w:val="0"/>
              <w:textAlignment w:val="baseline"/>
              <w:rPr>
                <w:color w:val="000000"/>
                <w:kern w:val="24"/>
                <w:sz w:val="16"/>
                <w:szCs w:val="18"/>
              </w:rPr>
            </w:pPr>
            <w:r w:rsidRPr="001E614B">
              <w:rPr>
                <w:color w:val="000000"/>
                <w:kern w:val="24"/>
                <w:sz w:val="16"/>
                <w:szCs w:val="18"/>
              </w:rPr>
              <w:t xml:space="preserve">Социальная политика </w:t>
            </w:r>
          </w:p>
        </w:tc>
        <w:tc>
          <w:tcPr>
            <w:tcW w:w="434" w:type="pct"/>
            <w:shd w:val="clear" w:color="auto" w:fill="auto"/>
            <w:tcMar>
              <w:left w:w="57" w:type="dxa"/>
              <w:right w:w="57" w:type="dxa"/>
            </w:tcMar>
            <w:vAlign w:val="center"/>
          </w:tcPr>
          <w:p w14:paraId="648BA8BB" w14:textId="77777777" w:rsidR="004A457A" w:rsidRPr="001E614B" w:rsidRDefault="004A457A">
            <w:pPr>
              <w:jc w:val="center"/>
              <w:rPr>
                <w:sz w:val="14"/>
                <w:szCs w:val="16"/>
              </w:rPr>
            </w:pPr>
            <w:r w:rsidRPr="001E614B">
              <w:rPr>
                <w:b/>
                <w:bCs/>
                <w:color w:val="000000"/>
                <w:sz w:val="14"/>
                <w:szCs w:val="14"/>
              </w:rPr>
              <w:t>6 453 336,7</w:t>
            </w:r>
          </w:p>
        </w:tc>
        <w:tc>
          <w:tcPr>
            <w:tcW w:w="439" w:type="pct"/>
            <w:shd w:val="clear" w:color="auto" w:fill="auto"/>
            <w:tcMar>
              <w:left w:w="57" w:type="dxa"/>
              <w:right w:w="57" w:type="dxa"/>
            </w:tcMar>
            <w:vAlign w:val="center"/>
          </w:tcPr>
          <w:p w14:paraId="5CD5073E" w14:textId="77777777" w:rsidR="004A457A" w:rsidRPr="001E614B" w:rsidRDefault="004A457A">
            <w:pPr>
              <w:jc w:val="center"/>
              <w:rPr>
                <w:sz w:val="14"/>
                <w:szCs w:val="16"/>
              </w:rPr>
            </w:pPr>
            <w:r w:rsidRPr="001E614B">
              <w:rPr>
                <w:b/>
                <w:bCs/>
                <w:color w:val="000000"/>
                <w:sz w:val="14"/>
                <w:szCs w:val="14"/>
              </w:rPr>
              <w:t>6 284 945,1</w:t>
            </w:r>
          </w:p>
        </w:tc>
        <w:tc>
          <w:tcPr>
            <w:tcW w:w="460" w:type="pct"/>
            <w:shd w:val="clear" w:color="auto" w:fill="auto"/>
            <w:tcMar>
              <w:left w:w="57" w:type="dxa"/>
              <w:right w:w="57" w:type="dxa"/>
            </w:tcMar>
            <w:vAlign w:val="center"/>
          </w:tcPr>
          <w:p w14:paraId="7383B248" w14:textId="77777777" w:rsidR="004A457A" w:rsidRPr="001E614B" w:rsidRDefault="004A457A">
            <w:pPr>
              <w:jc w:val="center"/>
              <w:rPr>
                <w:sz w:val="14"/>
                <w:szCs w:val="16"/>
              </w:rPr>
            </w:pPr>
            <w:r w:rsidRPr="001E614B">
              <w:rPr>
                <w:b/>
                <w:bCs/>
                <w:color w:val="000000"/>
                <w:sz w:val="14"/>
                <w:szCs w:val="14"/>
              </w:rPr>
              <w:t>7 343 101,7</w:t>
            </w:r>
          </w:p>
        </w:tc>
        <w:tc>
          <w:tcPr>
            <w:tcW w:w="362" w:type="pct"/>
            <w:tcMar>
              <w:left w:w="57" w:type="dxa"/>
              <w:right w:w="57" w:type="dxa"/>
            </w:tcMar>
            <w:vAlign w:val="center"/>
          </w:tcPr>
          <w:p w14:paraId="1E5B6F6A" w14:textId="77777777" w:rsidR="004A457A" w:rsidRPr="001E614B" w:rsidRDefault="004A457A">
            <w:pPr>
              <w:jc w:val="center"/>
              <w:rPr>
                <w:sz w:val="14"/>
                <w:szCs w:val="16"/>
              </w:rPr>
            </w:pPr>
            <w:r w:rsidRPr="001E614B">
              <w:rPr>
                <w:b/>
                <w:bCs/>
                <w:i/>
                <w:iCs/>
                <w:color w:val="000000"/>
                <w:sz w:val="14"/>
                <w:szCs w:val="14"/>
              </w:rPr>
              <w:t>116,8</w:t>
            </w:r>
          </w:p>
        </w:tc>
        <w:tc>
          <w:tcPr>
            <w:tcW w:w="439" w:type="pct"/>
            <w:tcMar>
              <w:left w:w="57" w:type="dxa"/>
              <w:right w:w="57" w:type="dxa"/>
            </w:tcMar>
            <w:vAlign w:val="center"/>
          </w:tcPr>
          <w:p w14:paraId="34CE07B5" w14:textId="77777777" w:rsidR="004A457A" w:rsidRPr="001E614B" w:rsidRDefault="004A457A">
            <w:pPr>
              <w:jc w:val="center"/>
              <w:rPr>
                <w:sz w:val="14"/>
                <w:szCs w:val="16"/>
              </w:rPr>
            </w:pPr>
            <w:r w:rsidRPr="001E614B">
              <w:rPr>
                <w:b/>
                <w:bCs/>
                <w:color w:val="000000"/>
                <w:sz w:val="14"/>
                <w:szCs w:val="14"/>
              </w:rPr>
              <w:t>6 351 107,6</w:t>
            </w:r>
          </w:p>
        </w:tc>
        <w:tc>
          <w:tcPr>
            <w:tcW w:w="454" w:type="pct"/>
            <w:shd w:val="clear" w:color="auto" w:fill="auto"/>
            <w:tcMar>
              <w:left w:w="57" w:type="dxa"/>
              <w:right w:w="57" w:type="dxa"/>
            </w:tcMar>
            <w:vAlign w:val="center"/>
          </w:tcPr>
          <w:p w14:paraId="5F0A6832" w14:textId="77777777" w:rsidR="004A457A" w:rsidRPr="001E614B" w:rsidRDefault="004A457A">
            <w:pPr>
              <w:jc w:val="center"/>
              <w:rPr>
                <w:sz w:val="14"/>
                <w:szCs w:val="16"/>
              </w:rPr>
            </w:pPr>
            <w:r w:rsidRPr="001E614B">
              <w:rPr>
                <w:b/>
                <w:bCs/>
                <w:color w:val="000000"/>
                <w:sz w:val="14"/>
                <w:szCs w:val="14"/>
              </w:rPr>
              <w:t>7 299 448,8</w:t>
            </w:r>
          </w:p>
        </w:tc>
        <w:tc>
          <w:tcPr>
            <w:tcW w:w="349" w:type="pct"/>
            <w:tcMar>
              <w:left w:w="57" w:type="dxa"/>
              <w:right w:w="57" w:type="dxa"/>
            </w:tcMar>
            <w:vAlign w:val="center"/>
          </w:tcPr>
          <w:p w14:paraId="2D4C1DE8" w14:textId="77777777" w:rsidR="004A457A" w:rsidRPr="001E614B" w:rsidRDefault="004A457A">
            <w:pPr>
              <w:jc w:val="center"/>
              <w:rPr>
                <w:sz w:val="14"/>
                <w:szCs w:val="16"/>
              </w:rPr>
            </w:pPr>
            <w:r w:rsidRPr="001E614B">
              <w:rPr>
                <w:b/>
                <w:bCs/>
                <w:i/>
                <w:iCs/>
                <w:color w:val="000000"/>
                <w:sz w:val="14"/>
                <w:szCs w:val="14"/>
              </w:rPr>
              <w:t>114,9</w:t>
            </w:r>
          </w:p>
        </w:tc>
        <w:tc>
          <w:tcPr>
            <w:tcW w:w="460" w:type="pct"/>
            <w:tcMar>
              <w:left w:w="57" w:type="dxa"/>
              <w:right w:w="57" w:type="dxa"/>
            </w:tcMar>
            <w:vAlign w:val="center"/>
          </w:tcPr>
          <w:p w14:paraId="5C241BA8" w14:textId="77777777" w:rsidR="004A457A" w:rsidRPr="001E614B" w:rsidRDefault="004A457A">
            <w:pPr>
              <w:jc w:val="center"/>
              <w:rPr>
                <w:color w:val="000000"/>
                <w:sz w:val="14"/>
                <w:szCs w:val="14"/>
              </w:rPr>
            </w:pPr>
            <w:r w:rsidRPr="001E614B">
              <w:rPr>
                <w:b/>
                <w:bCs/>
                <w:color w:val="000000"/>
                <w:sz w:val="14"/>
                <w:szCs w:val="14"/>
              </w:rPr>
              <w:t>6 597 108,6</w:t>
            </w:r>
          </w:p>
        </w:tc>
        <w:tc>
          <w:tcPr>
            <w:tcW w:w="481" w:type="pct"/>
            <w:shd w:val="clear" w:color="auto" w:fill="auto"/>
            <w:tcMar>
              <w:left w:w="57" w:type="dxa"/>
              <w:right w:w="57" w:type="dxa"/>
            </w:tcMar>
            <w:vAlign w:val="center"/>
          </w:tcPr>
          <w:p w14:paraId="7045D5B8" w14:textId="77777777" w:rsidR="004A457A" w:rsidRPr="001E614B" w:rsidRDefault="004A457A">
            <w:pPr>
              <w:jc w:val="center"/>
              <w:rPr>
                <w:sz w:val="14"/>
                <w:szCs w:val="16"/>
              </w:rPr>
            </w:pPr>
            <w:r w:rsidRPr="001E614B">
              <w:rPr>
                <w:b/>
                <w:bCs/>
                <w:color w:val="000000"/>
                <w:sz w:val="14"/>
                <w:szCs w:val="14"/>
              </w:rPr>
              <w:t>7 152 782,8</w:t>
            </w:r>
          </w:p>
        </w:tc>
        <w:tc>
          <w:tcPr>
            <w:tcW w:w="465" w:type="pct"/>
            <w:tcMar>
              <w:left w:w="57" w:type="dxa"/>
              <w:right w:w="57" w:type="dxa"/>
            </w:tcMar>
            <w:vAlign w:val="center"/>
          </w:tcPr>
          <w:p w14:paraId="4224DDF1" w14:textId="77777777" w:rsidR="004A457A" w:rsidRPr="001E614B" w:rsidRDefault="004A457A">
            <w:pPr>
              <w:jc w:val="center"/>
              <w:rPr>
                <w:sz w:val="14"/>
                <w:szCs w:val="16"/>
              </w:rPr>
            </w:pPr>
            <w:r w:rsidRPr="001E614B">
              <w:rPr>
                <w:b/>
                <w:bCs/>
                <w:i/>
                <w:iCs/>
                <w:color w:val="000000"/>
                <w:sz w:val="14"/>
                <w:szCs w:val="14"/>
              </w:rPr>
              <w:t>108,4</w:t>
            </w:r>
          </w:p>
        </w:tc>
      </w:tr>
      <w:tr w:rsidR="004A457A" w:rsidRPr="001E614B" w14:paraId="4BCCD5A5" w14:textId="77777777" w:rsidTr="004E568C">
        <w:trPr>
          <w:trHeight w:val="190"/>
        </w:trPr>
        <w:tc>
          <w:tcPr>
            <w:tcW w:w="658" w:type="pct"/>
            <w:shd w:val="clear" w:color="auto" w:fill="auto"/>
            <w:vAlign w:val="center"/>
          </w:tcPr>
          <w:p w14:paraId="4AD5008D" w14:textId="77777777" w:rsidR="004A457A" w:rsidRPr="001E614B" w:rsidRDefault="004A457A">
            <w:pPr>
              <w:kinsoku w:val="0"/>
              <w:overflowPunct w:val="0"/>
              <w:textAlignment w:val="baseline"/>
              <w:rPr>
                <w:i/>
                <w:color w:val="000000"/>
                <w:kern w:val="24"/>
                <w:sz w:val="16"/>
                <w:szCs w:val="18"/>
              </w:rPr>
            </w:pPr>
            <w:r w:rsidRPr="001E614B">
              <w:rPr>
                <w:i/>
                <w:color w:val="000000"/>
                <w:kern w:val="24"/>
                <w:sz w:val="16"/>
                <w:szCs w:val="18"/>
              </w:rPr>
              <w:t>%% к ВВП</w:t>
            </w:r>
          </w:p>
        </w:tc>
        <w:tc>
          <w:tcPr>
            <w:tcW w:w="434" w:type="pct"/>
            <w:shd w:val="clear" w:color="auto" w:fill="auto"/>
            <w:tcMar>
              <w:left w:w="57" w:type="dxa"/>
              <w:right w:w="57" w:type="dxa"/>
            </w:tcMar>
            <w:vAlign w:val="center"/>
          </w:tcPr>
          <w:p w14:paraId="6882F404" w14:textId="77777777" w:rsidR="004A457A" w:rsidRPr="001E614B" w:rsidRDefault="004A457A">
            <w:pPr>
              <w:jc w:val="center"/>
              <w:rPr>
                <w:sz w:val="14"/>
                <w:szCs w:val="16"/>
              </w:rPr>
            </w:pPr>
            <w:r w:rsidRPr="001E614B">
              <w:rPr>
                <w:i/>
                <w:iCs/>
                <w:color w:val="000000"/>
                <w:sz w:val="14"/>
                <w:szCs w:val="14"/>
              </w:rPr>
              <w:t>4,4</w:t>
            </w:r>
          </w:p>
        </w:tc>
        <w:tc>
          <w:tcPr>
            <w:tcW w:w="439" w:type="pct"/>
            <w:shd w:val="clear" w:color="auto" w:fill="auto"/>
            <w:tcMar>
              <w:left w:w="57" w:type="dxa"/>
              <w:right w:w="57" w:type="dxa"/>
            </w:tcMar>
            <w:vAlign w:val="center"/>
          </w:tcPr>
          <w:p w14:paraId="02D832A5" w14:textId="77777777" w:rsidR="004A457A" w:rsidRPr="001E614B" w:rsidRDefault="004A457A">
            <w:pPr>
              <w:jc w:val="center"/>
              <w:rPr>
                <w:sz w:val="14"/>
                <w:szCs w:val="16"/>
              </w:rPr>
            </w:pPr>
            <w:r w:rsidRPr="001E614B">
              <w:rPr>
                <w:i/>
                <w:iCs/>
                <w:color w:val="000000"/>
                <w:sz w:val="14"/>
                <w:szCs w:val="14"/>
              </w:rPr>
              <w:t>4,4</w:t>
            </w:r>
          </w:p>
        </w:tc>
        <w:tc>
          <w:tcPr>
            <w:tcW w:w="460" w:type="pct"/>
            <w:shd w:val="clear" w:color="auto" w:fill="auto"/>
            <w:tcMar>
              <w:left w:w="57" w:type="dxa"/>
              <w:right w:w="57" w:type="dxa"/>
            </w:tcMar>
            <w:vAlign w:val="center"/>
          </w:tcPr>
          <w:p w14:paraId="3B1B9AB7" w14:textId="77777777" w:rsidR="004A457A" w:rsidRPr="001E614B" w:rsidRDefault="004A457A">
            <w:pPr>
              <w:jc w:val="center"/>
              <w:rPr>
                <w:sz w:val="14"/>
                <w:szCs w:val="16"/>
              </w:rPr>
            </w:pPr>
            <w:r w:rsidRPr="001E614B">
              <w:rPr>
                <w:i/>
                <w:iCs/>
                <w:color w:val="000000"/>
                <w:sz w:val="14"/>
                <w:szCs w:val="14"/>
              </w:rPr>
              <w:t>4,9</w:t>
            </w:r>
          </w:p>
        </w:tc>
        <w:tc>
          <w:tcPr>
            <w:tcW w:w="362" w:type="pct"/>
            <w:tcMar>
              <w:left w:w="57" w:type="dxa"/>
              <w:right w:w="57" w:type="dxa"/>
            </w:tcMar>
            <w:vAlign w:val="center"/>
          </w:tcPr>
          <w:p w14:paraId="2D0B2FDB"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2137B914" w14:textId="77777777" w:rsidR="004A457A" w:rsidRPr="001E614B" w:rsidRDefault="004A457A">
            <w:pPr>
              <w:jc w:val="center"/>
              <w:rPr>
                <w:sz w:val="14"/>
                <w:szCs w:val="16"/>
              </w:rPr>
            </w:pPr>
            <w:r w:rsidRPr="001E614B">
              <w:rPr>
                <w:i/>
                <w:iCs/>
                <w:color w:val="000000"/>
                <w:sz w:val="14"/>
                <w:szCs w:val="14"/>
              </w:rPr>
              <w:t>4,2</w:t>
            </w:r>
          </w:p>
        </w:tc>
        <w:tc>
          <w:tcPr>
            <w:tcW w:w="454" w:type="pct"/>
            <w:shd w:val="clear" w:color="auto" w:fill="auto"/>
            <w:tcMar>
              <w:left w:w="57" w:type="dxa"/>
              <w:right w:w="57" w:type="dxa"/>
            </w:tcMar>
            <w:vAlign w:val="center"/>
          </w:tcPr>
          <w:p w14:paraId="71C409E8" w14:textId="77777777" w:rsidR="004A457A" w:rsidRPr="001E614B" w:rsidRDefault="004A457A">
            <w:pPr>
              <w:jc w:val="center"/>
              <w:rPr>
                <w:sz w:val="14"/>
                <w:szCs w:val="16"/>
              </w:rPr>
            </w:pPr>
            <w:r w:rsidRPr="001E614B">
              <w:rPr>
                <w:i/>
                <w:iCs/>
                <w:color w:val="000000"/>
                <w:sz w:val="14"/>
                <w:szCs w:val="14"/>
              </w:rPr>
              <w:t>4,6</w:t>
            </w:r>
          </w:p>
        </w:tc>
        <w:tc>
          <w:tcPr>
            <w:tcW w:w="349" w:type="pct"/>
            <w:tcMar>
              <w:left w:w="57" w:type="dxa"/>
              <w:right w:w="57" w:type="dxa"/>
            </w:tcMar>
            <w:vAlign w:val="center"/>
          </w:tcPr>
          <w:p w14:paraId="08BCFABA"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54EB6558" w14:textId="77777777" w:rsidR="004A457A" w:rsidRPr="001E614B" w:rsidRDefault="004A457A">
            <w:pPr>
              <w:jc w:val="center"/>
              <w:rPr>
                <w:color w:val="000000"/>
                <w:sz w:val="14"/>
                <w:szCs w:val="14"/>
              </w:rPr>
            </w:pPr>
            <w:r w:rsidRPr="001E614B">
              <w:rPr>
                <w:i/>
                <w:iCs/>
                <w:color w:val="000000"/>
                <w:sz w:val="14"/>
                <w:szCs w:val="14"/>
              </w:rPr>
              <w:t>4,1</w:t>
            </w:r>
          </w:p>
        </w:tc>
        <w:tc>
          <w:tcPr>
            <w:tcW w:w="481" w:type="pct"/>
            <w:shd w:val="clear" w:color="auto" w:fill="auto"/>
            <w:tcMar>
              <w:left w:w="57" w:type="dxa"/>
              <w:right w:w="57" w:type="dxa"/>
            </w:tcMar>
            <w:vAlign w:val="center"/>
          </w:tcPr>
          <w:p w14:paraId="659BCE83" w14:textId="77777777" w:rsidR="004A457A" w:rsidRPr="001E614B" w:rsidRDefault="004A457A">
            <w:pPr>
              <w:jc w:val="center"/>
              <w:rPr>
                <w:sz w:val="14"/>
                <w:szCs w:val="16"/>
              </w:rPr>
            </w:pPr>
            <w:r w:rsidRPr="001E614B">
              <w:rPr>
                <w:i/>
                <w:iCs/>
                <w:color w:val="000000"/>
                <w:sz w:val="14"/>
                <w:szCs w:val="14"/>
              </w:rPr>
              <w:t>4,2</w:t>
            </w:r>
          </w:p>
        </w:tc>
        <w:tc>
          <w:tcPr>
            <w:tcW w:w="465" w:type="pct"/>
            <w:tcMar>
              <w:left w:w="57" w:type="dxa"/>
              <w:right w:w="57" w:type="dxa"/>
            </w:tcMar>
            <w:vAlign w:val="center"/>
          </w:tcPr>
          <w:p w14:paraId="254E66DC" w14:textId="77777777" w:rsidR="004A457A" w:rsidRPr="001E614B" w:rsidRDefault="004A457A">
            <w:pPr>
              <w:jc w:val="center"/>
              <w:rPr>
                <w:sz w:val="14"/>
                <w:szCs w:val="16"/>
              </w:rPr>
            </w:pPr>
            <w:r w:rsidRPr="001E614B">
              <w:rPr>
                <w:i/>
                <w:iCs/>
                <w:color w:val="000000"/>
                <w:sz w:val="14"/>
                <w:szCs w:val="14"/>
              </w:rPr>
              <w:t> </w:t>
            </w:r>
          </w:p>
        </w:tc>
      </w:tr>
      <w:tr w:rsidR="004A457A" w:rsidRPr="001E614B" w14:paraId="019DBF69" w14:textId="77777777" w:rsidTr="004E568C">
        <w:trPr>
          <w:trHeight w:val="190"/>
        </w:trPr>
        <w:tc>
          <w:tcPr>
            <w:tcW w:w="658" w:type="pct"/>
            <w:shd w:val="clear" w:color="auto" w:fill="auto"/>
            <w:vAlign w:val="center"/>
          </w:tcPr>
          <w:p w14:paraId="0C2CFEF9" w14:textId="77777777" w:rsidR="004A457A" w:rsidRPr="001E614B" w:rsidRDefault="004A457A">
            <w:pPr>
              <w:kinsoku w:val="0"/>
              <w:overflowPunct w:val="0"/>
              <w:textAlignment w:val="baseline"/>
              <w:rPr>
                <w:i/>
                <w:color w:val="000000"/>
                <w:kern w:val="24"/>
                <w:sz w:val="16"/>
                <w:szCs w:val="18"/>
              </w:rPr>
            </w:pPr>
            <w:r w:rsidRPr="001E614B">
              <w:rPr>
                <w:i/>
                <w:sz w:val="16"/>
                <w:szCs w:val="18"/>
              </w:rPr>
              <w:t>доля в общем объеме расходов, %</w:t>
            </w:r>
            <w:r w:rsidRPr="001E614B">
              <w:rPr>
                <w:i/>
                <w:sz w:val="16"/>
                <w:szCs w:val="18"/>
                <w:vertAlign w:val="superscript"/>
              </w:rPr>
              <w:t>***</w:t>
            </w:r>
            <w:r w:rsidRPr="001E614B">
              <w:rPr>
                <w:i/>
                <w:sz w:val="16"/>
                <w:szCs w:val="18"/>
              </w:rPr>
              <w:t xml:space="preserve"> </w:t>
            </w:r>
          </w:p>
        </w:tc>
        <w:tc>
          <w:tcPr>
            <w:tcW w:w="434" w:type="pct"/>
            <w:shd w:val="clear" w:color="auto" w:fill="auto"/>
            <w:tcMar>
              <w:left w:w="57" w:type="dxa"/>
              <w:right w:w="57" w:type="dxa"/>
            </w:tcMar>
            <w:vAlign w:val="center"/>
          </w:tcPr>
          <w:p w14:paraId="353E5CBE" w14:textId="77777777" w:rsidR="004A457A" w:rsidRPr="001E614B" w:rsidRDefault="004A457A">
            <w:pPr>
              <w:jc w:val="center"/>
              <w:rPr>
                <w:sz w:val="14"/>
                <w:szCs w:val="16"/>
              </w:rPr>
            </w:pPr>
            <w:r w:rsidRPr="001E614B">
              <w:rPr>
                <w:i/>
                <w:iCs/>
                <w:color w:val="000000"/>
                <w:sz w:val="14"/>
                <w:szCs w:val="14"/>
              </w:rPr>
              <w:t>23,4</w:t>
            </w:r>
          </w:p>
        </w:tc>
        <w:tc>
          <w:tcPr>
            <w:tcW w:w="439" w:type="pct"/>
            <w:shd w:val="clear" w:color="auto" w:fill="auto"/>
            <w:tcMar>
              <w:left w:w="57" w:type="dxa"/>
              <w:right w:w="57" w:type="dxa"/>
            </w:tcMar>
            <w:vAlign w:val="center"/>
          </w:tcPr>
          <w:p w14:paraId="3478A709" w14:textId="77777777" w:rsidR="004A457A" w:rsidRPr="001E614B" w:rsidRDefault="004A457A">
            <w:pPr>
              <w:jc w:val="center"/>
              <w:rPr>
                <w:sz w:val="14"/>
                <w:szCs w:val="16"/>
              </w:rPr>
            </w:pPr>
            <w:r w:rsidRPr="001E614B">
              <w:rPr>
                <w:i/>
                <w:iCs/>
                <w:color w:val="000000"/>
                <w:sz w:val="14"/>
                <w:szCs w:val="14"/>
              </w:rPr>
              <w:t>25,5</w:t>
            </w:r>
          </w:p>
        </w:tc>
        <w:tc>
          <w:tcPr>
            <w:tcW w:w="460" w:type="pct"/>
            <w:shd w:val="clear" w:color="auto" w:fill="auto"/>
            <w:tcMar>
              <w:left w:w="57" w:type="dxa"/>
              <w:right w:w="57" w:type="dxa"/>
            </w:tcMar>
            <w:vAlign w:val="center"/>
          </w:tcPr>
          <w:p w14:paraId="13ACDF16" w14:textId="77777777" w:rsidR="004A457A" w:rsidRPr="001E614B" w:rsidRDefault="004A457A">
            <w:pPr>
              <w:jc w:val="center"/>
              <w:rPr>
                <w:sz w:val="14"/>
                <w:szCs w:val="16"/>
              </w:rPr>
            </w:pPr>
            <w:r w:rsidRPr="001E614B">
              <w:rPr>
                <w:i/>
                <w:iCs/>
                <w:color w:val="000000"/>
                <w:sz w:val="14"/>
                <w:szCs w:val="14"/>
              </w:rPr>
              <w:t>25,3</w:t>
            </w:r>
          </w:p>
        </w:tc>
        <w:tc>
          <w:tcPr>
            <w:tcW w:w="362" w:type="pct"/>
            <w:tcMar>
              <w:left w:w="57" w:type="dxa"/>
              <w:right w:w="57" w:type="dxa"/>
            </w:tcMar>
            <w:vAlign w:val="center"/>
          </w:tcPr>
          <w:p w14:paraId="69F70829" w14:textId="77777777" w:rsidR="004A457A" w:rsidRPr="001E614B" w:rsidRDefault="004A457A">
            <w:pPr>
              <w:jc w:val="center"/>
              <w:rPr>
                <w:sz w:val="14"/>
                <w:szCs w:val="16"/>
              </w:rPr>
            </w:pPr>
            <w:r w:rsidRPr="001E614B">
              <w:rPr>
                <w:i/>
                <w:iCs/>
                <w:color w:val="000000"/>
                <w:sz w:val="14"/>
                <w:szCs w:val="14"/>
              </w:rPr>
              <w:t> </w:t>
            </w:r>
          </w:p>
        </w:tc>
        <w:tc>
          <w:tcPr>
            <w:tcW w:w="439" w:type="pct"/>
            <w:tcMar>
              <w:left w:w="57" w:type="dxa"/>
              <w:right w:w="57" w:type="dxa"/>
            </w:tcMar>
            <w:vAlign w:val="center"/>
          </w:tcPr>
          <w:p w14:paraId="4500FD70" w14:textId="77777777" w:rsidR="004A457A" w:rsidRPr="001E614B" w:rsidRDefault="004A457A">
            <w:pPr>
              <w:jc w:val="center"/>
              <w:rPr>
                <w:sz w:val="14"/>
                <w:szCs w:val="16"/>
              </w:rPr>
            </w:pPr>
            <w:r w:rsidRPr="001E614B">
              <w:rPr>
                <w:i/>
                <w:iCs/>
                <w:color w:val="000000"/>
                <w:sz w:val="14"/>
                <w:szCs w:val="14"/>
              </w:rPr>
              <w:t>25,4</w:t>
            </w:r>
          </w:p>
        </w:tc>
        <w:tc>
          <w:tcPr>
            <w:tcW w:w="454" w:type="pct"/>
            <w:shd w:val="clear" w:color="auto" w:fill="auto"/>
            <w:tcMar>
              <w:left w:w="57" w:type="dxa"/>
              <w:right w:w="57" w:type="dxa"/>
            </w:tcMar>
            <w:vAlign w:val="center"/>
          </w:tcPr>
          <w:p w14:paraId="520784C8" w14:textId="77777777" w:rsidR="004A457A" w:rsidRPr="001E614B" w:rsidRDefault="004A457A">
            <w:pPr>
              <w:jc w:val="center"/>
              <w:rPr>
                <w:sz w:val="14"/>
                <w:szCs w:val="16"/>
              </w:rPr>
            </w:pPr>
            <w:r w:rsidRPr="001E614B">
              <w:rPr>
                <w:i/>
                <w:iCs/>
                <w:color w:val="000000"/>
                <w:sz w:val="14"/>
                <w:szCs w:val="14"/>
              </w:rPr>
              <w:t>25,4</w:t>
            </w:r>
          </w:p>
        </w:tc>
        <w:tc>
          <w:tcPr>
            <w:tcW w:w="349" w:type="pct"/>
            <w:tcMar>
              <w:left w:w="57" w:type="dxa"/>
              <w:right w:w="57" w:type="dxa"/>
            </w:tcMar>
            <w:vAlign w:val="center"/>
          </w:tcPr>
          <w:p w14:paraId="057DD75C" w14:textId="77777777" w:rsidR="004A457A" w:rsidRPr="001E614B" w:rsidRDefault="004A457A">
            <w:pPr>
              <w:jc w:val="center"/>
              <w:rPr>
                <w:sz w:val="14"/>
                <w:szCs w:val="16"/>
              </w:rPr>
            </w:pPr>
            <w:r w:rsidRPr="001E614B">
              <w:rPr>
                <w:i/>
                <w:iCs/>
                <w:color w:val="000000"/>
                <w:sz w:val="14"/>
                <w:szCs w:val="14"/>
              </w:rPr>
              <w:t> </w:t>
            </w:r>
          </w:p>
        </w:tc>
        <w:tc>
          <w:tcPr>
            <w:tcW w:w="460" w:type="pct"/>
            <w:tcMar>
              <w:left w:w="57" w:type="dxa"/>
              <w:right w:w="57" w:type="dxa"/>
            </w:tcMar>
            <w:vAlign w:val="center"/>
          </w:tcPr>
          <w:p w14:paraId="47BB8AB6" w14:textId="77777777" w:rsidR="004A457A" w:rsidRPr="001E614B" w:rsidRDefault="004A457A">
            <w:pPr>
              <w:jc w:val="center"/>
              <w:rPr>
                <w:color w:val="000000"/>
                <w:sz w:val="14"/>
                <w:szCs w:val="14"/>
              </w:rPr>
            </w:pPr>
            <w:r w:rsidRPr="001E614B">
              <w:rPr>
                <w:i/>
                <w:iCs/>
                <w:color w:val="000000"/>
                <w:sz w:val="14"/>
                <w:szCs w:val="14"/>
              </w:rPr>
              <w:t>25,3</w:t>
            </w:r>
          </w:p>
        </w:tc>
        <w:tc>
          <w:tcPr>
            <w:tcW w:w="481" w:type="pct"/>
            <w:shd w:val="clear" w:color="auto" w:fill="auto"/>
            <w:tcMar>
              <w:left w:w="57" w:type="dxa"/>
              <w:right w:w="57" w:type="dxa"/>
            </w:tcMar>
            <w:vAlign w:val="center"/>
          </w:tcPr>
          <w:p w14:paraId="00C53AFE" w14:textId="77777777" w:rsidR="004A457A" w:rsidRPr="001E614B" w:rsidRDefault="004A457A">
            <w:pPr>
              <w:jc w:val="center"/>
              <w:rPr>
                <w:sz w:val="14"/>
                <w:szCs w:val="16"/>
              </w:rPr>
            </w:pPr>
            <w:r w:rsidRPr="001E614B">
              <w:rPr>
                <w:i/>
                <w:iCs/>
                <w:color w:val="000000"/>
                <w:sz w:val="14"/>
                <w:szCs w:val="14"/>
              </w:rPr>
              <w:t>25,7</w:t>
            </w:r>
          </w:p>
        </w:tc>
        <w:tc>
          <w:tcPr>
            <w:tcW w:w="465" w:type="pct"/>
            <w:tcMar>
              <w:left w:w="57" w:type="dxa"/>
              <w:right w:w="57" w:type="dxa"/>
            </w:tcMar>
            <w:vAlign w:val="center"/>
          </w:tcPr>
          <w:p w14:paraId="2974D1B4" w14:textId="77777777" w:rsidR="004A457A" w:rsidRPr="001E614B" w:rsidRDefault="004A457A">
            <w:pPr>
              <w:jc w:val="center"/>
              <w:rPr>
                <w:sz w:val="14"/>
                <w:szCs w:val="16"/>
              </w:rPr>
            </w:pPr>
            <w:r w:rsidRPr="001E614B">
              <w:rPr>
                <w:i/>
                <w:iCs/>
                <w:color w:val="000000"/>
                <w:sz w:val="14"/>
                <w:szCs w:val="14"/>
              </w:rPr>
              <w:t> </w:t>
            </w:r>
          </w:p>
        </w:tc>
      </w:tr>
    </w:tbl>
    <w:p w14:paraId="5FD06E0E" w14:textId="00519E52" w:rsidR="004E568C" w:rsidRPr="004E568C" w:rsidRDefault="004E568C" w:rsidP="004E568C">
      <w:pPr>
        <w:ind w:firstLine="709"/>
        <w:contextualSpacing/>
        <w:jc w:val="both"/>
        <w:rPr>
          <w:sz w:val="20"/>
          <w:szCs w:val="20"/>
        </w:rPr>
      </w:pPr>
      <w:r w:rsidRPr="004E568C">
        <w:rPr>
          <w:rFonts w:eastAsia="Calibri"/>
          <w:i/>
          <w:sz w:val="20"/>
          <w:szCs w:val="20"/>
        </w:rPr>
        <w:t>Источник</w:t>
      </w:r>
      <w:r w:rsidRPr="004E568C">
        <w:rPr>
          <w:rFonts w:eastAsia="Calibri"/>
          <w:sz w:val="20"/>
          <w:szCs w:val="20"/>
        </w:rPr>
        <w:t xml:space="preserve">: </w:t>
      </w:r>
      <w:r>
        <w:rPr>
          <w:rFonts w:eastAsia="Calibri"/>
          <w:sz w:val="20"/>
          <w:szCs w:val="20"/>
        </w:rPr>
        <w:t xml:space="preserve">Пояснительная записка, </w:t>
      </w:r>
      <w:r w:rsidRPr="004E568C">
        <w:rPr>
          <w:sz w:val="20"/>
          <w:szCs w:val="20"/>
          <w:lang w:val="en-US"/>
        </w:rPr>
        <w:t>c</w:t>
      </w:r>
      <w:r w:rsidRPr="004E568C">
        <w:rPr>
          <w:sz w:val="20"/>
          <w:szCs w:val="20"/>
        </w:rPr>
        <w:t>. 466</w:t>
      </w:r>
    </w:p>
    <w:p w14:paraId="09719C0A" w14:textId="7F3FF021" w:rsidR="004E568C" w:rsidRDefault="004E568C" w:rsidP="004A457A">
      <w:pPr>
        <w:ind w:firstLine="709"/>
        <w:contextualSpacing/>
        <w:jc w:val="both"/>
      </w:pPr>
      <w:r>
        <w:t>___________________</w:t>
      </w:r>
    </w:p>
    <w:p w14:paraId="388E1009" w14:textId="77777777" w:rsidR="004E568C" w:rsidRPr="004E568C" w:rsidRDefault="004E568C" w:rsidP="004A457A">
      <w:pPr>
        <w:ind w:firstLine="709"/>
        <w:contextualSpacing/>
        <w:jc w:val="both"/>
        <w:rPr>
          <w:sz w:val="20"/>
          <w:szCs w:val="20"/>
        </w:rPr>
      </w:pPr>
      <w:r w:rsidRPr="004E568C">
        <w:rPr>
          <w:sz w:val="20"/>
          <w:szCs w:val="20"/>
        </w:rPr>
        <w:t xml:space="preserve">Примечание: </w:t>
      </w:r>
    </w:p>
    <w:p w14:paraId="1BC4D608" w14:textId="1D67F77C" w:rsidR="004A457A" w:rsidRPr="004E568C" w:rsidRDefault="004A457A" w:rsidP="004A457A">
      <w:pPr>
        <w:ind w:firstLine="709"/>
        <w:contextualSpacing/>
        <w:jc w:val="both"/>
        <w:rPr>
          <w:sz w:val="20"/>
          <w:szCs w:val="20"/>
        </w:rPr>
      </w:pPr>
      <w:r w:rsidRPr="004E568C">
        <w:rPr>
          <w:sz w:val="20"/>
          <w:szCs w:val="20"/>
        </w:rPr>
        <w:t>*показатели сводной бюджетной росписи по состоянию на 1 сентября 2022 г.</w:t>
      </w:r>
    </w:p>
    <w:p w14:paraId="6953B98C" w14:textId="77777777" w:rsidR="004A457A" w:rsidRPr="004E568C" w:rsidRDefault="004A457A" w:rsidP="004A457A">
      <w:pPr>
        <w:ind w:firstLine="709"/>
        <w:contextualSpacing/>
        <w:jc w:val="both"/>
        <w:rPr>
          <w:sz w:val="20"/>
          <w:szCs w:val="20"/>
        </w:rPr>
      </w:pPr>
      <w:r w:rsidRPr="004E568C">
        <w:rPr>
          <w:sz w:val="20"/>
          <w:szCs w:val="20"/>
        </w:rPr>
        <w:t>**в части базовых бюджетных ассигнований, распределенных по госпрограммам и непрограммным направлениям деятельности</w:t>
      </w:r>
    </w:p>
    <w:p w14:paraId="4C022C3D" w14:textId="77777777" w:rsidR="004A457A" w:rsidRPr="004E568C" w:rsidRDefault="004A457A" w:rsidP="004A457A">
      <w:pPr>
        <w:ind w:firstLine="709"/>
        <w:contextualSpacing/>
        <w:jc w:val="both"/>
        <w:rPr>
          <w:sz w:val="20"/>
          <w:szCs w:val="20"/>
        </w:rPr>
      </w:pPr>
      <w:r w:rsidRPr="004E568C">
        <w:rPr>
          <w:sz w:val="20"/>
          <w:szCs w:val="20"/>
        </w:rPr>
        <w:t xml:space="preserve">*** без учета условно </w:t>
      </w:r>
      <w:proofErr w:type="gramStart"/>
      <w:r w:rsidRPr="004E568C">
        <w:rPr>
          <w:sz w:val="20"/>
          <w:szCs w:val="20"/>
        </w:rPr>
        <w:t>утвержденных</w:t>
      </w:r>
      <w:proofErr w:type="gramEnd"/>
    </w:p>
    <w:p w14:paraId="54F10103" w14:textId="77777777" w:rsidR="004A457A" w:rsidRPr="001E614B" w:rsidRDefault="004A457A" w:rsidP="004A457A">
      <w:pPr>
        <w:jc w:val="both"/>
        <w:rPr>
          <w:sz w:val="28"/>
          <w:szCs w:val="28"/>
        </w:rPr>
      </w:pPr>
    </w:p>
    <w:p w14:paraId="3CC0B192" w14:textId="4538906C" w:rsidR="004A457A" w:rsidRPr="001E614B" w:rsidRDefault="004A457A" w:rsidP="004E568C">
      <w:pPr>
        <w:widowControl w:val="0"/>
        <w:spacing w:line="360" w:lineRule="auto"/>
        <w:ind w:firstLine="709"/>
        <w:contextualSpacing/>
        <w:jc w:val="both"/>
        <w:rPr>
          <w:sz w:val="28"/>
          <w:szCs w:val="20"/>
        </w:rPr>
      </w:pPr>
      <w:proofErr w:type="gramStart"/>
      <w:r w:rsidRPr="001E614B">
        <w:rPr>
          <w:sz w:val="28"/>
          <w:szCs w:val="28"/>
        </w:rPr>
        <w:t>Формирование бюджетных ассигнований на 2023 и 2024 г</w:t>
      </w:r>
      <w:r w:rsidR="00C571A0">
        <w:rPr>
          <w:sz w:val="28"/>
          <w:szCs w:val="28"/>
        </w:rPr>
        <w:t>оды</w:t>
      </w:r>
      <w:r w:rsidRPr="001E614B">
        <w:rPr>
          <w:sz w:val="28"/>
          <w:szCs w:val="28"/>
        </w:rPr>
        <w:t xml:space="preserve"> осуществлялся на основе бюджетных ассигнований, утвержденных Законом о бюджете № 390-ФЗ</w:t>
      </w:r>
      <w:r w:rsidRPr="001E614B">
        <w:rPr>
          <w:rStyle w:val="aa"/>
          <w:szCs w:val="28"/>
        </w:rPr>
        <w:footnoteReference w:id="11"/>
      </w:r>
      <w:r w:rsidRPr="001E614B">
        <w:rPr>
          <w:sz w:val="28"/>
          <w:szCs w:val="28"/>
        </w:rPr>
        <w:t xml:space="preserve"> на соответствующие годы, бюджетные ассигнования на 2025 год сформированы на основе показателей бюджетного прогноза </w:t>
      </w:r>
      <w:r w:rsidRPr="001E614B">
        <w:rPr>
          <w:sz w:val="28"/>
          <w:szCs w:val="28"/>
        </w:rPr>
        <w:br/>
        <w:t>на 2025 год в соответствии с детализированной оценкой расходов федерального бюджета перспективного финансового плана, сформированного в государственной интегрированной информационной системе управления общественными финансами «Электронный бюджет»</w:t>
      </w:r>
      <w:r w:rsidR="004E568C">
        <w:rPr>
          <w:rStyle w:val="aa"/>
          <w:sz w:val="28"/>
          <w:szCs w:val="28"/>
        </w:rPr>
        <w:footnoteReference w:id="12"/>
      </w:r>
      <w:r w:rsidR="00B13B36">
        <w:rPr>
          <w:sz w:val="28"/>
          <w:szCs w:val="28"/>
        </w:rPr>
        <w:t>.</w:t>
      </w:r>
      <w:proofErr w:type="gramEnd"/>
    </w:p>
    <w:p w14:paraId="476913F1" w14:textId="77777777" w:rsidR="004A457A" w:rsidRPr="001E614B" w:rsidRDefault="004A457A" w:rsidP="004E568C">
      <w:pPr>
        <w:spacing w:line="360" w:lineRule="auto"/>
        <w:ind w:firstLine="709"/>
        <w:contextualSpacing/>
        <w:jc w:val="both"/>
        <w:rPr>
          <w:sz w:val="28"/>
          <w:szCs w:val="28"/>
        </w:rPr>
      </w:pPr>
      <w:r w:rsidRPr="001E614B">
        <w:rPr>
          <w:sz w:val="28"/>
          <w:szCs w:val="28"/>
        </w:rPr>
        <w:t>Законодательно установленный объем бюджетных ассигнований уточнен:</w:t>
      </w:r>
    </w:p>
    <w:p w14:paraId="252EDF97" w14:textId="77777777" w:rsidR="004A457A" w:rsidRPr="001E614B" w:rsidRDefault="004A457A" w:rsidP="004E568C">
      <w:pPr>
        <w:pStyle w:val="a4"/>
        <w:numPr>
          <w:ilvl w:val="0"/>
          <w:numId w:val="6"/>
        </w:numPr>
        <w:spacing w:before="120" w:line="360" w:lineRule="auto"/>
        <w:ind w:left="0" w:firstLine="709"/>
        <w:jc w:val="both"/>
        <w:rPr>
          <w:sz w:val="28"/>
          <w:szCs w:val="28"/>
        </w:rPr>
      </w:pPr>
      <w:r w:rsidRPr="001E614B">
        <w:rPr>
          <w:sz w:val="28"/>
          <w:szCs w:val="28"/>
        </w:rPr>
        <w:t>на прогнозный уровень инфляции (индекс роста потребительских цен), в том числе:</w:t>
      </w:r>
    </w:p>
    <w:p w14:paraId="124471EF" w14:textId="52D2691A" w:rsidR="004A457A" w:rsidRPr="001E614B" w:rsidRDefault="004A457A" w:rsidP="004E568C">
      <w:pPr>
        <w:pStyle w:val="a4"/>
        <w:numPr>
          <w:ilvl w:val="0"/>
          <w:numId w:val="6"/>
        </w:numPr>
        <w:spacing w:before="120" w:line="360" w:lineRule="auto"/>
        <w:ind w:left="0" w:firstLine="709"/>
        <w:jc w:val="both"/>
        <w:rPr>
          <w:sz w:val="28"/>
          <w:szCs w:val="28"/>
        </w:rPr>
      </w:pPr>
      <w:r w:rsidRPr="001E614B">
        <w:rPr>
          <w:sz w:val="28"/>
          <w:szCs w:val="28"/>
        </w:rPr>
        <w:t xml:space="preserve">с 1 февраля ежегодно на прогнозный уровень инфляции (индекс роста потребительских цен) за предыдущий год в 2023 году на 12,4%, в 2024 году на 5,5% и на 2025 год </w:t>
      </w:r>
      <w:proofErr w:type="gramStart"/>
      <w:r w:rsidRPr="001E614B">
        <w:rPr>
          <w:sz w:val="28"/>
          <w:szCs w:val="28"/>
        </w:rPr>
        <w:t>на</w:t>
      </w:r>
      <w:proofErr w:type="gramEnd"/>
      <w:r w:rsidRPr="001E614B">
        <w:rPr>
          <w:sz w:val="28"/>
          <w:szCs w:val="28"/>
        </w:rPr>
        <w:t xml:space="preserve"> 4% проиндексированы</w:t>
      </w:r>
      <w:r w:rsidRPr="001E614B">
        <w:rPr>
          <w:sz w:val="28"/>
        </w:rPr>
        <w:t>;</w:t>
      </w:r>
    </w:p>
    <w:p w14:paraId="66D39BA3" w14:textId="7B243F63" w:rsidR="004A457A" w:rsidRPr="001E614B" w:rsidRDefault="004A457A" w:rsidP="004E568C">
      <w:pPr>
        <w:pStyle w:val="a4"/>
        <w:numPr>
          <w:ilvl w:val="0"/>
          <w:numId w:val="6"/>
        </w:numPr>
        <w:spacing w:before="120" w:line="360" w:lineRule="auto"/>
        <w:ind w:left="0" w:firstLine="709"/>
        <w:jc w:val="both"/>
        <w:rPr>
          <w:sz w:val="28"/>
          <w:szCs w:val="28"/>
        </w:rPr>
      </w:pPr>
      <w:r w:rsidRPr="001E614B">
        <w:rPr>
          <w:sz w:val="28"/>
          <w:szCs w:val="28"/>
        </w:rPr>
        <w:t xml:space="preserve">ежегодно на прогнозный уровень инфляции (индекс роста потребительских цен) в 2023 году на 5,5%, в 2024 году на 4,0% и в 2025 году </w:t>
      </w:r>
      <w:proofErr w:type="gramStart"/>
      <w:r w:rsidRPr="001E614B">
        <w:rPr>
          <w:sz w:val="28"/>
          <w:szCs w:val="28"/>
        </w:rPr>
        <w:t>на</w:t>
      </w:r>
      <w:proofErr w:type="gramEnd"/>
      <w:r w:rsidRPr="001E614B">
        <w:rPr>
          <w:sz w:val="28"/>
          <w:szCs w:val="28"/>
        </w:rPr>
        <w:t xml:space="preserve"> 4,0% проиндексированы</w:t>
      </w:r>
      <w:r w:rsidRPr="001E614B">
        <w:rPr>
          <w:sz w:val="28"/>
        </w:rPr>
        <w:t>;</w:t>
      </w:r>
    </w:p>
    <w:p w14:paraId="5F06B6CC" w14:textId="03B22BC6" w:rsidR="004A457A" w:rsidRPr="001E614B" w:rsidRDefault="00023A6B" w:rsidP="004E568C">
      <w:pPr>
        <w:pStyle w:val="a4"/>
        <w:numPr>
          <w:ilvl w:val="0"/>
          <w:numId w:val="6"/>
        </w:numPr>
        <w:spacing w:before="120" w:line="360" w:lineRule="auto"/>
        <w:ind w:left="0" w:firstLine="709"/>
        <w:jc w:val="both"/>
        <w:rPr>
          <w:sz w:val="28"/>
          <w:szCs w:val="28"/>
        </w:rPr>
      </w:pPr>
      <w:r>
        <w:rPr>
          <w:sz w:val="28"/>
          <w:szCs w:val="28"/>
        </w:rPr>
        <w:t>на изменение прогноз</w:t>
      </w:r>
      <w:r w:rsidR="004A457A" w:rsidRPr="001E614B">
        <w:rPr>
          <w:sz w:val="28"/>
          <w:szCs w:val="28"/>
        </w:rPr>
        <w:t>ного курса доллара США по отношению к рублю в 2023 году – 68,3 руб. за долл. США, в 2024 году – 70,9 руб. за долл. США, в 2025 году – 72,2 руб. за долл. США</w:t>
      </w:r>
      <w:r w:rsidR="004A457A" w:rsidRPr="001E614B">
        <w:rPr>
          <w:sz w:val="28"/>
        </w:rPr>
        <w:t>.</w:t>
      </w:r>
    </w:p>
    <w:p w14:paraId="1F9F903F" w14:textId="77777777" w:rsidR="004A457A" w:rsidRPr="001E614B" w:rsidRDefault="004A457A" w:rsidP="004E568C">
      <w:pPr>
        <w:autoSpaceDE w:val="0"/>
        <w:autoSpaceDN w:val="0"/>
        <w:adjustRightInd w:val="0"/>
        <w:spacing w:line="360" w:lineRule="auto"/>
        <w:ind w:firstLine="709"/>
        <w:contextualSpacing/>
        <w:jc w:val="both"/>
        <w:rPr>
          <w:color w:val="000000"/>
          <w:sz w:val="28"/>
          <w:szCs w:val="20"/>
        </w:rPr>
      </w:pPr>
      <w:r w:rsidRPr="001E614B">
        <w:rPr>
          <w:color w:val="000000"/>
          <w:sz w:val="28"/>
          <w:szCs w:val="20"/>
        </w:rPr>
        <w:t>Расходы на реализацию государственных программ составляют порядка 78% общего объема бюджетных ассигнований (открытая часть).</w:t>
      </w:r>
    </w:p>
    <w:p w14:paraId="476D7616" w14:textId="00843C38" w:rsidR="004A457A" w:rsidRPr="001E614B" w:rsidRDefault="004A457A" w:rsidP="004E568C">
      <w:pPr>
        <w:autoSpaceDE w:val="0"/>
        <w:autoSpaceDN w:val="0"/>
        <w:adjustRightInd w:val="0"/>
        <w:spacing w:line="360" w:lineRule="auto"/>
        <w:ind w:firstLine="709"/>
        <w:contextualSpacing/>
        <w:jc w:val="both"/>
        <w:rPr>
          <w:color w:val="000000"/>
          <w:sz w:val="28"/>
          <w:szCs w:val="20"/>
        </w:rPr>
      </w:pPr>
      <w:proofErr w:type="gramStart"/>
      <w:r w:rsidRPr="001E614B">
        <w:rPr>
          <w:color w:val="000000"/>
          <w:sz w:val="28"/>
          <w:szCs w:val="20"/>
        </w:rPr>
        <w:t xml:space="preserve">Информация о бюджетных ассигнованиях на финансовое обеспечение реализации национальных проектов (программ), комплексного плана модернизации и расширения магистральной инфраструктуры (далее – национальные проекты), предусмотренных Указом Президента Российской Федерации от 7 мая 2019 года № 204 «О национальных целях и стратегических задачах развития Российской Федерации на период до 2024 года», а также указанием Президента Российской Федерации </w:t>
      </w:r>
      <w:r w:rsidRPr="001E614B">
        <w:rPr>
          <w:sz w:val="28"/>
          <w:szCs w:val="20"/>
        </w:rPr>
        <w:t>6 ноября 2020 г</w:t>
      </w:r>
      <w:r w:rsidR="00C571A0">
        <w:rPr>
          <w:sz w:val="28"/>
          <w:szCs w:val="20"/>
        </w:rPr>
        <w:t>ода</w:t>
      </w:r>
      <w:r w:rsidRPr="001E614B">
        <w:rPr>
          <w:sz w:val="28"/>
          <w:szCs w:val="20"/>
        </w:rPr>
        <w:t xml:space="preserve"> № Пр-1818</w:t>
      </w:r>
      <w:r w:rsidRPr="001E614B">
        <w:rPr>
          <w:color w:val="000000"/>
          <w:sz w:val="28"/>
          <w:szCs w:val="20"/>
        </w:rPr>
        <w:t>, в 2023-2024 г</w:t>
      </w:r>
      <w:r w:rsidR="00C571A0">
        <w:rPr>
          <w:color w:val="000000"/>
          <w:sz w:val="28"/>
          <w:szCs w:val="20"/>
        </w:rPr>
        <w:t>одах</w:t>
      </w:r>
      <w:proofErr w:type="gramEnd"/>
      <w:r w:rsidRPr="001E614B">
        <w:rPr>
          <w:color w:val="000000"/>
          <w:sz w:val="28"/>
          <w:szCs w:val="20"/>
        </w:rPr>
        <w:t xml:space="preserve"> </w:t>
      </w:r>
      <w:proofErr w:type="gramStart"/>
      <w:r w:rsidRPr="001E614B">
        <w:rPr>
          <w:color w:val="000000"/>
          <w:sz w:val="28"/>
          <w:szCs w:val="20"/>
        </w:rPr>
        <w:t>представлена</w:t>
      </w:r>
      <w:proofErr w:type="gramEnd"/>
      <w:r w:rsidRPr="001E614B">
        <w:rPr>
          <w:color w:val="000000"/>
          <w:sz w:val="28"/>
          <w:szCs w:val="20"/>
        </w:rPr>
        <w:t xml:space="preserve"> по разделам: </w:t>
      </w:r>
    </w:p>
    <w:p w14:paraId="4D58027B" w14:textId="77777777" w:rsidR="004A457A" w:rsidRPr="001E614B" w:rsidRDefault="004A457A" w:rsidP="004E568C">
      <w:pPr>
        <w:pStyle w:val="a4"/>
        <w:numPr>
          <w:ilvl w:val="0"/>
          <w:numId w:val="7"/>
        </w:numPr>
        <w:autoSpaceDE w:val="0"/>
        <w:autoSpaceDN w:val="0"/>
        <w:adjustRightInd w:val="0"/>
        <w:spacing w:line="360" w:lineRule="auto"/>
        <w:jc w:val="both"/>
        <w:rPr>
          <w:color w:val="000000"/>
          <w:sz w:val="28"/>
        </w:rPr>
      </w:pPr>
      <w:r w:rsidRPr="001E614B">
        <w:rPr>
          <w:color w:val="000000"/>
          <w:sz w:val="28"/>
        </w:rPr>
        <w:t xml:space="preserve">здравоохранение; </w:t>
      </w:r>
    </w:p>
    <w:p w14:paraId="44641661" w14:textId="77777777" w:rsidR="004A457A" w:rsidRPr="001E614B" w:rsidRDefault="004A457A" w:rsidP="004E568C">
      <w:pPr>
        <w:pStyle w:val="a4"/>
        <w:numPr>
          <w:ilvl w:val="0"/>
          <w:numId w:val="7"/>
        </w:numPr>
        <w:autoSpaceDE w:val="0"/>
        <w:autoSpaceDN w:val="0"/>
        <w:adjustRightInd w:val="0"/>
        <w:spacing w:line="360" w:lineRule="auto"/>
        <w:jc w:val="both"/>
        <w:rPr>
          <w:color w:val="000000"/>
          <w:sz w:val="28"/>
        </w:rPr>
      </w:pPr>
      <w:r w:rsidRPr="001E614B">
        <w:rPr>
          <w:color w:val="000000"/>
          <w:sz w:val="28"/>
        </w:rPr>
        <w:t xml:space="preserve">культура и кинематография; </w:t>
      </w:r>
    </w:p>
    <w:p w14:paraId="4EBB5E14" w14:textId="77777777" w:rsidR="004A457A" w:rsidRPr="001E614B" w:rsidRDefault="004A457A" w:rsidP="004E568C">
      <w:pPr>
        <w:pStyle w:val="a4"/>
        <w:numPr>
          <w:ilvl w:val="0"/>
          <w:numId w:val="7"/>
        </w:numPr>
        <w:autoSpaceDE w:val="0"/>
        <w:autoSpaceDN w:val="0"/>
        <w:adjustRightInd w:val="0"/>
        <w:spacing w:line="360" w:lineRule="auto"/>
        <w:jc w:val="both"/>
        <w:rPr>
          <w:color w:val="000000"/>
          <w:sz w:val="28"/>
        </w:rPr>
      </w:pPr>
      <w:r w:rsidRPr="001E614B">
        <w:rPr>
          <w:color w:val="000000"/>
          <w:sz w:val="28"/>
        </w:rPr>
        <w:t>социальная политика.</w:t>
      </w:r>
    </w:p>
    <w:p w14:paraId="0515131D" w14:textId="0169068A" w:rsidR="004A457A" w:rsidRPr="001E614B" w:rsidRDefault="004A457A" w:rsidP="004E568C">
      <w:pPr>
        <w:autoSpaceDE w:val="0"/>
        <w:autoSpaceDN w:val="0"/>
        <w:adjustRightInd w:val="0"/>
        <w:spacing w:line="360" w:lineRule="auto"/>
        <w:ind w:firstLine="709"/>
        <w:contextualSpacing/>
        <w:jc w:val="both"/>
        <w:rPr>
          <w:sz w:val="28"/>
          <w:szCs w:val="20"/>
        </w:rPr>
      </w:pPr>
      <w:r w:rsidRPr="001E614B">
        <w:rPr>
          <w:color w:val="000000"/>
          <w:sz w:val="28"/>
          <w:szCs w:val="20"/>
        </w:rPr>
        <w:t xml:space="preserve">Бюджетные ассигнования на финансовое обеспечение реализации национальных проектов в целом запланированы в 2023 году в объеме </w:t>
      </w:r>
      <w:r w:rsidRPr="001E614B">
        <w:rPr>
          <w:color w:val="000000"/>
          <w:sz w:val="28"/>
          <w:szCs w:val="20"/>
        </w:rPr>
        <w:br/>
        <w:t>2 869 034,4 </w:t>
      </w:r>
      <w:proofErr w:type="gramStart"/>
      <w:r w:rsidRPr="001E614B">
        <w:rPr>
          <w:color w:val="000000"/>
          <w:sz w:val="28"/>
          <w:szCs w:val="20"/>
        </w:rPr>
        <w:t>млн</w:t>
      </w:r>
      <w:proofErr w:type="gramEnd"/>
      <w:r w:rsidRPr="001E614B">
        <w:rPr>
          <w:color w:val="000000"/>
          <w:sz w:val="28"/>
          <w:szCs w:val="20"/>
        </w:rPr>
        <w:t xml:space="preserve"> руб., в 2024 году – 2 969 670,1 млн </w:t>
      </w:r>
      <w:proofErr w:type="spellStart"/>
      <w:r w:rsidRPr="001E614B">
        <w:rPr>
          <w:color w:val="000000"/>
          <w:sz w:val="28"/>
          <w:szCs w:val="20"/>
        </w:rPr>
        <w:t>руб</w:t>
      </w:r>
      <w:proofErr w:type="spellEnd"/>
      <w:r w:rsidR="00B13B36">
        <w:rPr>
          <w:rStyle w:val="aa"/>
          <w:color w:val="000000"/>
          <w:sz w:val="28"/>
          <w:szCs w:val="20"/>
        </w:rPr>
        <w:footnoteReference w:id="13"/>
      </w:r>
      <w:r w:rsidRPr="001E614B">
        <w:rPr>
          <w:color w:val="000000"/>
          <w:sz w:val="28"/>
          <w:szCs w:val="20"/>
        </w:rPr>
        <w:t>.</w:t>
      </w:r>
    </w:p>
    <w:p w14:paraId="148AFDF4" w14:textId="77777777" w:rsidR="004A457A" w:rsidRPr="001E614B" w:rsidRDefault="004A457A" w:rsidP="004E568C">
      <w:pPr>
        <w:autoSpaceDE w:val="0"/>
        <w:autoSpaceDN w:val="0"/>
        <w:adjustRightInd w:val="0"/>
        <w:spacing w:line="360" w:lineRule="auto"/>
        <w:ind w:firstLine="709"/>
        <w:contextualSpacing/>
        <w:jc w:val="both"/>
        <w:rPr>
          <w:color w:val="000000"/>
          <w:sz w:val="28"/>
          <w:szCs w:val="20"/>
        </w:rPr>
      </w:pPr>
      <w:r w:rsidRPr="001E614B">
        <w:rPr>
          <w:color w:val="000000"/>
          <w:sz w:val="28"/>
          <w:szCs w:val="20"/>
        </w:rPr>
        <w:t xml:space="preserve">Законопроектом предусматриваются бюджетные ассигнования на реализацию госпрограмм в размере 20,6 трлн. руб. в 2023 году. Следует отметить, что по сравнению с действующим законом, которым предусмотрен объем финансирования госпрограмм, рост составит 6,6%, и это очень четкие позитивные изменения. Планируются к реализации 50 госпрограмм в 2023 году. Доля проектной части всех госпрограмм составляет в 2023 году почти 35 процентов всех расходов на реализацию госпрограмм, в последующие годы она несколько снижается, а в двух госпрограммах проектная часть не предусмотрена. В части госпрограмм, тем самым не всегда выполняются программные принципы. </w:t>
      </w:r>
    </w:p>
    <w:p w14:paraId="333D38E2" w14:textId="77777777" w:rsidR="004A457A" w:rsidRPr="001E614B" w:rsidRDefault="004A457A" w:rsidP="004E568C">
      <w:pPr>
        <w:autoSpaceDE w:val="0"/>
        <w:autoSpaceDN w:val="0"/>
        <w:adjustRightInd w:val="0"/>
        <w:spacing w:line="360" w:lineRule="auto"/>
        <w:ind w:firstLine="709"/>
        <w:contextualSpacing/>
        <w:jc w:val="both"/>
        <w:rPr>
          <w:color w:val="000000"/>
          <w:sz w:val="28"/>
          <w:szCs w:val="20"/>
        </w:rPr>
      </w:pPr>
      <w:r w:rsidRPr="001E614B">
        <w:rPr>
          <w:color w:val="000000"/>
          <w:sz w:val="28"/>
          <w:szCs w:val="20"/>
        </w:rPr>
        <w:t xml:space="preserve">Наибольшее увеличение расходов предусмотрено по следующим государственным программам: </w:t>
      </w:r>
    </w:p>
    <w:p w14:paraId="4EBBF544" w14:textId="34348079" w:rsidR="004A457A" w:rsidRPr="001E614B" w:rsidRDefault="004A457A" w:rsidP="004E568C">
      <w:pPr>
        <w:pStyle w:val="a4"/>
        <w:numPr>
          <w:ilvl w:val="0"/>
          <w:numId w:val="8"/>
        </w:numPr>
        <w:autoSpaceDE w:val="0"/>
        <w:autoSpaceDN w:val="0"/>
        <w:adjustRightInd w:val="0"/>
        <w:spacing w:line="360" w:lineRule="auto"/>
        <w:ind w:left="0" w:firstLine="709"/>
        <w:jc w:val="both"/>
        <w:rPr>
          <w:color w:val="000000"/>
          <w:sz w:val="28"/>
        </w:rPr>
      </w:pPr>
      <w:r w:rsidRPr="001E614B">
        <w:rPr>
          <w:color w:val="000000"/>
          <w:sz w:val="28"/>
        </w:rPr>
        <w:t xml:space="preserve">«Социальная поддержка граждан» (в 2023 году на 724,3 </w:t>
      </w:r>
      <w:proofErr w:type="gramStart"/>
      <w:r w:rsidR="009C4461">
        <w:rPr>
          <w:color w:val="000000"/>
          <w:sz w:val="28"/>
        </w:rPr>
        <w:t>млрд</w:t>
      </w:r>
      <w:proofErr w:type="gramEnd"/>
      <w:r w:rsidRPr="001E614B">
        <w:rPr>
          <w:color w:val="000000"/>
          <w:sz w:val="28"/>
        </w:rPr>
        <w:t xml:space="preserve"> руб., или на 30,0 %, в 2024 году на 626,6 </w:t>
      </w:r>
      <w:r w:rsidR="009C4461">
        <w:rPr>
          <w:color w:val="000000"/>
          <w:sz w:val="28"/>
        </w:rPr>
        <w:t>млрд</w:t>
      </w:r>
      <w:r w:rsidRPr="001E614B">
        <w:rPr>
          <w:color w:val="000000"/>
          <w:sz w:val="28"/>
        </w:rPr>
        <w:t xml:space="preserve"> руб., или на 24,3%, относительно утвержденных Федеральным законом № 390-Ф</w:t>
      </w:r>
      <w:r w:rsidR="00C571A0">
        <w:rPr>
          <w:color w:val="000000"/>
          <w:sz w:val="28"/>
        </w:rPr>
        <w:t>З</w:t>
      </w:r>
      <w:r w:rsidRPr="001E614B">
        <w:rPr>
          <w:color w:val="000000"/>
          <w:sz w:val="28"/>
        </w:rPr>
        <w:t xml:space="preserve"> на 2023-2024 </w:t>
      </w:r>
      <w:r w:rsidR="00C571A0">
        <w:rPr>
          <w:color w:val="000000"/>
          <w:sz w:val="28"/>
        </w:rPr>
        <w:t xml:space="preserve">годы </w:t>
      </w:r>
      <w:r w:rsidRPr="001E614B">
        <w:rPr>
          <w:color w:val="000000"/>
          <w:sz w:val="28"/>
        </w:rPr>
        <w:t xml:space="preserve">и в 2025 году на 554,3 </w:t>
      </w:r>
      <w:r w:rsidR="009C4461">
        <w:rPr>
          <w:color w:val="000000"/>
          <w:sz w:val="28"/>
        </w:rPr>
        <w:t>млрд</w:t>
      </w:r>
      <w:r w:rsidRPr="001E614B">
        <w:rPr>
          <w:color w:val="000000"/>
          <w:sz w:val="28"/>
        </w:rPr>
        <w:t xml:space="preserve"> руб., или на 20,2%, относительно показателей Бюджета); </w:t>
      </w:r>
    </w:p>
    <w:p w14:paraId="1BBD1044" w14:textId="7F805DA8" w:rsidR="004A457A" w:rsidRPr="001E614B" w:rsidRDefault="004A457A" w:rsidP="004E568C">
      <w:pPr>
        <w:pStyle w:val="a4"/>
        <w:numPr>
          <w:ilvl w:val="0"/>
          <w:numId w:val="8"/>
        </w:numPr>
        <w:autoSpaceDE w:val="0"/>
        <w:autoSpaceDN w:val="0"/>
        <w:adjustRightInd w:val="0"/>
        <w:spacing w:line="360" w:lineRule="auto"/>
        <w:ind w:left="0" w:firstLine="709"/>
        <w:jc w:val="both"/>
        <w:rPr>
          <w:color w:val="000000"/>
          <w:sz w:val="28"/>
        </w:rPr>
      </w:pPr>
      <w:r w:rsidRPr="001E614B">
        <w:rPr>
          <w:color w:val="000000"/>
          <w:sz w:val="28"/>
        </w:rPr>
        <w:t xml:space="preserve">«Развитие здравоохранения» (в 2023 году на 204,7 </w:t>
      </w:r>
      <w:proofErr w:type="gramStart"/>
      <w:r w:rsidR="009C4461">
        <w:rPr>
          <w:color w:val="000000"/>
          <w:sz w:val="28"/>
        </w:rPr>
        <w:t>млрд</w:t>
      </w:r>
      <w:proofErr w:type="gramEnd"/>
      <w:r w:rsidRPr="001E614B">
        <w:rPr>
          <w:color w:val="000000"/>
          <w:sz w:val="28"/>
        </w:rPr>
        <w:t xml:space="preserve"> руб., или на 20,7%, в 2024 году на 212,9 </w:t>
      </w:r>
      <w:r w:rsidR="009C4461">
        <w:rPr>
          <w:color w:val="000000"/>
          <w:sz w:val="28"/>
        </w:rPr>
        <w:t>млрд</w:t>
      </w:r>
      <w:r w:rsidRPr="001E614B">
        <w:rPr>
          <w:color w:val="000000"/>
          <w:sz w:val="28"/>
        </w:rPr>
        <w:t xml:space="preserve"> руб., или на 21,1%, относительно утвержденных Федеральным законом № 390-</w:t>
      </w:r>
      <w:r w:rsidRPr="00B13B36">
        <w:rPr>
          <w:sz w:val="28"/>
        </w:rPr>
        <w:t>Ф</w:t>
      </w:r>
      <w:r w:rsidR="00B13B36" w:rsidRPr="00B13B36">
        <w:rPr>
          <w:sz w:val="28"/>
        </w:rPr>
        <w:t>З</w:t>
      </w:r>
      <w:r w:rsidRPr="001E614B">
        <w:rPr>
          <w:color w:val="000000"/>
          <w:sz w:val="28"/>
        </w:rPr>
        <w:t xml:space="preserve"> на 2023-2024 годы и в 2025 году на 197,8 </w:t>
      </w:r>
      <w:r w:rsidR="009C4461">
        <w:rPr>
          <w:color w:val="000000"/>
          <w:sz w:val="28"/>
        </w:rPr>
        <w:t>млрд</w:t>
      </w:r>
      <w:r w:rsidRPr="001E614B">
        <w:rPr>
          <w:color w:val="000000"/>
          <w:sz w:val="28"/>
        </w:rPr>
        <w:t xml:space="preserve"> руб., или на 19,1%, относительно показателей Бюджета).</w:t>
      </w:r>
    </w:p>
    <w:p w14:paraId="675EF168" w14:textId="77777777" w:rsidR="004A457A" w:rsidRDefault="004A457A" w:rsidP="004E568C">
      <w:pPr>
        <w:spacing w:line="360" w:lineRule="auto"/>
        <w:ind w:firstLine="360"/>
        <w:jc w:val="both"/>
        <w:rPr>
          <w:i/>
          <w:iCs/>
          <w:sz w:val="28"/>
          <w:szCs w:val="28"/>
        </w:rPr>
      </w:pPr>
    </w:p>
    <w:p w14:paraId="1952E59E" w14:textId="40600D41" w:rsidR="004A457A" w:rsidRDefault="004A457A" w:rsidP="004E568C">
      <w:pPr>
        <w:spacing w:line="360" w:lineRule="auto"/>
        <w:ind w:left="360"/>
        <w:jc w:val="both"/>
        <w:rPr>
          <w:i/>
          <w:iCs/>
          <w:sz w:val="28"/>
          <w:szCs w:val="28"/>
        </w:rPr>
      </w:pPr>
      <w:r w:rsidRPr="004A457A">
        <w:rPr>
          <w:i/>
          <w:iCs/>
          <w:sz w:val="28"/>
          <w:szCs w:val="28"/>
        </w:rPr>
        <w:t>Расходы федерального бюджета в 2023</w:t>
      </w:r>
      <w:r w:rsidRPr="004A457A">
        <w:rPr>
          <w:i/>
          <w:iCs/>
          <w:sz w:val="28"/>
          <w:szCs w:val="28"/>
        </w:rPr>
        <w:noBreakHyphen/>
        <w:t>2025 годах по разделам классификации расходов бюджетов.</w:t>
      </w:r>
    </w:p>
    <w:p w14:paraId="37104F82" w14:textId="0A887F23" w:rsidR="004A457A" w:rsidRPr="008C2626" w:rsidRDefault="004A457A" w:rsidP="004E568C">
      <w:pPr>
        <w:pStyle w:val="Style1"/>
        <w:spacing w:line="360" w:lineRule="auto"/>
      </w:pPr>
      <w:r>
        <w:t xml:space="preserve">Согласно данным пояснительной записки </w:t>
      </w:r>
      <w:r w:rsidRPr="00DD3EB1">
        <w:t xml:space="preserve">к проекту федерального закона «О федеральном </w:t>
      </w:r>
      <w:proofErr w:type="gramStart"/>
      <w:r w:rsidRPr="00DD3EB1">
        <w:t>бюджете</w:t>
      </w:r>
      <w:proofErr w:type="gramEnd"/>
      <w:r w:rsidRPr="00DD3EB1">
        <w:t xml:space="preserve"> на 2023 год и на плановый период 2024 и 2025 годов»</w:t>
      </w:r>
      <w:r>
        <w:t>, среднегодовые расходы федерального бюджета за 2023</w:t>
      </w:r>
      <w:r>
        <w:noBreakHyphen/>
        <w:t>2025 г</w:t>
      </w:r>
      <w:r w:rsidR="00B13B36">
        <w:t>оды</w:t>
      </w:r>
      <w:r>
        <w:t xml:space="preserve"> будут больше оценочной величины расходов 2022 г</w:t>
      </w:r>
      <w:r w:rsidR="00B13B36">
        <w:t>ода</w:t>
      </w:r>
      <w:r>
        <w:t xml:space="preserve"> на 5,9% (расходы без </w:t>
      </w:r>
      <w:r w:rsidRPr="0021442C">
        <w:t>учёта условно утверждённых</w:t>
      </w:r>
      <w:r>
        <w:t xml:space="preserve"> – на 3,2%)</w:t>
      </w:r>
      <w:r>
        <w:rPr>
          <w:rStyle w:val="aa"/>
        </w:rPr>
        <w:footnoteReference w:id="14"/>
      </w:r>
      <w:r>
        <w:t>.</w:t>
      </w:r>
    </w:p>
    <w:p w14:paraId="07C70AC4" w14:textId="1F534DEA" w:rsidR="004A457A" w:rsidRDefault="004A457A" w:rsidP="004E568C">
      <w:pPr>
        <w:pStyle w:val="Style1"/>
        <w:spacing w:line="360" w:lineRule="auto"/>
      </w:pPr>
      <w:r>
        <w:t xml:space="preserve">При этом структура среднегодовых расходов федерального бюджета </w:t>
      </w:r>
      <w:r w:rsidRPr="0021442C">
        <w:t>по разделам классификации расходов бюджетов</w:t>
      </w:r>
      <w:r>
        <w:t xml:space="preserve"> за 2023</w:t>
      </w:r>
      <w:r>
        <w:noBreakHyphen/>
        <w:t>2025 г</w:t>
      </w:r>
      <w:r w:rsidR="00C571A0">
        <w:t>оды</w:t>
      </w:r>
      <w:r>
        <w:t xml:space="preserve"> статистически не отличается от структуры 2022 г</w:t>
      </w:r>
      <w:r w:rsidR="00732BB1">
        <w:t>ода</w:t>
      </w:r>
      <w:r>
        <w:t xml:space="preserve">: коэффициент линейной корреляции рассматриваемых структур </w:t>
      </w:r>
      <w:r>
        <w:rPr>
          <w:lang w:val="en-US"/>
        </w:rPr>
        <w:t>R</w:t>
      </w:r>
      <w:r w:rsidRPr="00620415">
        <w:rPr>
          <w:vertAlign w:val="superscript"/>
        </w:rPr>
        <w:t>2</w:t>
      </w:r>
      <w:r w:rsidRPr="00620415">
        <w:t xml:space="preserve"> = 0,9</w:t>
      </w:r>
      <w:r>
        <w:t>651</w:t>
      </w:r>
      <w:r w:rsidRPr="00620415">
        <w:t xml:space="preserve"> </w:t>
      </w:r>
      <w:r>
        <w:t>значим с двусторонним уровнем существенности α = 0,01 (</w:t>
      </w:r>
      <w:proofErr w:type="gramStart"/>
      <w:r>
        <w:t>т.е. вероятность</w:t>
      </w:r>
      <w:proofErr w:type="gramEnd"/>
      <w:r>
        <w:t xml:space="preserve"> ошибки = 1%)</w:t>
      </w:r>
      <w:r>
        <w:rPr>
          <w:rStyle w:val="aa"/>
        </w:rPr>
        <w:footnoteReference w:id="15"/>
      </w:r>
      <w:r>
        <w:t>. Это означает, что в 2023</w:t>
      </w:r>
      <w:r>
        <w:noBreakHyphen/>
        <w:t>2025 г</w:t>
      </w:r>
      <w:r w:rsidR="00C571A0">
        <w:t>одах</w:t>
      </w:r>
      <w:r>
        <w:t xml:space="preserve"> сохранены сложившиеся к 2022 г</w:t>
      </w:r>
      <w:r w:rsidR="00732BB1">
        <w:t>оду</w:t>
      </w:r>
      <w:r>
        <w:t xml:space="preserve"> приоритеты расходов (табл</w:t>
      </w:r>
      <w:r w:rsidR="00732BB1">
        <w:t>ица</w:t>
      </w:r>
      <w:r>
        <w:t xml:space="preserve"> </w:t>
      </w:r>
      <w:r w:rsidR="00901ACF">
        <w:t>8</w:t>
      </w:r>
      <w:r>
        <w:t>).</w:t>
      </w:r>
    </w:p>
    <w:p w14:paraId="79F4C130" w14:textId="77777777" w:rsidR="004A457A" w:rsidRPr="00023A6B" w:rsidRDefault="004A457A" w:rsidP="004A457A">
      <w:pPr>
        <w:pStyle w:val="Style1"/>
        <w:ind w:firstLine="0"/>
        <w:rPr>
          <w:b/>
          <w:sz w:val="16"/>
          <w:szCs w:val="16"/>
        </w:rPr>
      </w:pPr>
    </w:p>
    <w:p w14:paraId="3DA45349" w14:textId="1E8447B4" w:rsidR="004A457A" w:rsidRPr="00732BB1" w:rsidRDefault="004A457A" w:rsidP="00732BB1">
      <w:pPr>
        <w:pStyle w:val="Style1"/>
        <w:ind w:firstLine="0"/>
        <w:rPr>
          <w:bCs/>
          <w:szCs w:val="28"/>
        </w:rPr>
      </w:pPr>
      <w:r w:rsidRPr="00732BB1">
        <w:rPr>
          <w:bCs/>
          <w:szCs w:val="28"/>
        </w:rPr>
        <w:t xml:space="preserve">Таблица </w:t>
      </w:r>
      <w:r w:rsidR="00901ACF">
        <w:rPr>
          <w:bCs/>
          <w:szCs w:val="28"/>
        </w:rPr>
        <w:t>8</w:t>
      </w:r>
      <w:r w:rsidR="00732BB1" w:rsidRPr="00732BB1">
        <w:rPr>
          <w:bCs/>
          <w:szCs w:val="28"/>
        </w:rPr>
        <w:t xml:space="preserve"> -</w:t>
      </w:r>
      <w:r w:rsidRPr="00732BB1">
        <w:rPr>
          <w:bCs/>
          <w:szCs w:val="28"/>
        </w:rPr>
        <w:t xml:space="preserve"> Структура расходов федерального бюджета по разделам классификации расходов бюджетов в 2022 г</w:t>
      </w:r>
      <w:r w:rsidR="00732BB1">
        <w:rPr>
          <w:bCs/>
          <w:szCs w:val="28"/>
        </w:rPr>
        <w:t xml:space="preserve">оду </w:t>
      </w:r>
      <w:r w:rsidRPr="00732BB1">
        <w:rPr>
          <w:bCs/>
          <w:szCs w:val="28"/>
        </w:rPr>
        <w:t>и в среднем в 2023</w:t>
      </w:r>
      <w:r w:rsidRPr="00732BB1">
        <w:rPr>
          <w:bCs/>
          <w:szCs w:val="28"/>
        </w:rPr>
        <w:noBreakHyphen/>
        <w:t>2025 г</w:t>
      </w:r>
      <w:r w:rsidR="00732BB1">
        <w:rPr>
          <w:bCs/>
          <w:szCs w:val="28"/>
        </w:rPr>
        <w:t>одах</w:t>
      </w:r>
      <w:r w:rsidRPr="00732BB1">
        <w:rPr>
          <w:bCs/>
          <w:szCs w:val="28"/>
        </w:rPr>
        <w:t>, %</w:t>
      </w:r>
    </w:p>
    <w:tbl>
      <w:tblPr>
        <w:tblStyle w:val="ae"/>
        <w:tblW w:w="0" w:type="auto"/>
        <w:tblLook w:val="04A0" w:firstRow="1" w:lastRow="0" w:firstColumn="1" w:lastColumn="0" w:noHBand="0" w:noVBand="1"/>
      </w:tblPr>
      <w:tblGrid>
        <w:gridCol w:w="894"/>
        <w:gridCol w:w="5511"/>
        <w:gridCol w:w="1134"/>
        <w:gridCol w:w="1950"/>
      </w:tblGrid>
      <w:tr w:rsidR="004A457A" w:rsidRPr="004A457A" w14:paraId="3F163E67" w14:textId="77777777">
        <w:tc>
          <w:tcPr>
            <w:tcW w:w="0" w:type="auto"/>
          </w:tcPr>
          <w:p w14:paraId="641BF34E" w14:textId="77777777" w:rsidR="004A457A" w:rsidRPr="004A457A" w:rsidRDefault="004A457A" w:rsidP="00023A6B">
            <w:pPr>
              <w:pStyle w:val="11"/>
              <w:jc w:val="center"/>
              <w:rPr>
                <w:rFonts w:cs="Times New Roman"/>
                <w:b/>
                <w:sz w:val="24"/>
                <w:szCs w:val="24"/>
              </w:rPr>
            </w:pPr>
            <w:r w:rsidRPr="004A457A">
              <w:rPr>
                <w:rFonts w:cs="Times New Roman"/>
                <w:b/>
                <w:sz w:val="24"/>
                <w:szCs w:val="24"/>
              </w:rPr>
              <w:t>Место</w:t>
            </w:r>
          </w:p>
        </w:tc>
        <w:tc>
          <w:tcPr>
            <w:tcW w:w="5511" w:type="dxa"/>
          </w:tcPr>
          <w:p w14:paraId="1F51E4BC" w14:textId="77777777" w:rsidR="004A457A" w:rsidRPr="004A457A" w:rsidRDefault="004A457A" w:rsidP="00023A6B">
            <w:pPr>
              <w:pStyle w:val="11"/>
              <w:jc w:val="center"/>
              <w:rPr>
                <w:rFonts w:cs="Times New Roman"/>
                <w:b/>
                <w:sz w:val="24"/>
                <w:szCs w:val="24"/>
              </w:rPr>
            </w:pPr>
            <w:r w:rsidRPr="004A457A">
              <w:rPr>
                <w:rFonts w:cs="Times New Roman"/>
                <w:b/>
                <w:sz w:val="24"/>
                <w:szCs w:val="24"/>
              </w:rPr>
              <w:t>Раздел классификации расходов</w:t>
            </w:r>
          </w:p>
        </w:tc>
        <w:tc>
          <w:tcPr>
            <w:tcW w:w="1134" w:type="dxa"/>
          </w:tcPr>
          <w:p w14:paraId="23C0BB44" w14:textId="65906DAB" w:rsidR="004A457A" w:rsidRPr="004A457A" w:rsidRDefault="004A457A" w:rsidP="00023A6B">
            <w:pPr>
              <w:pStyle w:val="11"/>
              <w:jc w:val="center"/>
              <w:rPr>
                <w:rFonts w:cs="Times New Roman"/>
                <w:b/>
                <w:sz w:val="24"/>
                <w:szCs w:val="24"/>
              </w:rPr>
            </w:pPr>
            <w:r w:rsidRPr="004A457A">
              <w:rPr>
                <w:rFonts w:cs="Times New Roman"/>
                <w:b/>
                <w:sz w:val="24"/>
                <w:szCs w:val="24"/>
              </w:rPr>
              <w:t xml:space="preserve">2022 </w:t>
            </w:r>
          </w:p>
        </w:tc>
        <w:tc>
          <w:tcPr>
            <w:tcW w:w="1950" w:type="dxa"/>
          </w:tcPr>
          <w:p w14:paraId="33DCF7AC" w14:textId="0EE1A76C" w:rsidR="004A457A" w:rsidRPr="004A457A" w:rsidRDefault="004A457A" w:rsidP="00023A6B">
            <w:pPr>
              <w:pStyle w:val="11"/>
              <w:jc w:val="center"/>
              <w:rPr>
                <w:rFonts w:cs="Times New Roman"/>
                <w:b/>
                <w:sz w:val="24"/>
                <w:szCs w:val="24"/>
              </w:rPr>
            </w:pPr>
            <w:r w:rsidRPr="004A457A">
              <w:rPr>
                <w:rFonts w:cs="Times New Roman"/>
                <w:b/>
                <w:sz w:val="24"/>
                <w:szCs w:val="24"/>
              </w:rPr>
              <w:t>2023</w:t>
            </w:r>
            <w:r w:rsidRPr="004A457A">
              <w:rPr>
                <w:rFonts w:cs="Times New Roman"/>
                <w:b/>
                <w:sz w:val="24"/>
                <w:szCs w:val="24"/>
              </w:rPr>
              <w:noBreakHyphen/>
              <w:t>2025</w:t>
            </w:r>
          </w:p>
        </w:tc>
      </w:tr>
      <w:tr w:rsidR="004A457A" w:rsidRPr="004A457A" w14:paraId="2B5892F6" w14:textId="77777777">
        <w:tc>
          <w:tcPr>
            <w:tcW w:w="0" w:type="auto"/>
          </w:tcPr>
          <w:p w14:paraId="5364C2BE" w14:textId="77777777" w:rsidR="004A457A" w:rsidRPr="004A457A" w:rsidRDefault="004A457A">
            <w:pPr>
              <w:pStyle w:val="11"/>
              <w:rPr>
                <w:rFonts w:cs="Times New Roman"/>
                <w:sz w:val="24"/>
                <w:szCs w:val="24"/>
              </w:rPr>
            </w:pPr>
            <w:r w:rsidRPr="004A457A">
              <w:rPr>
                <w:rFonts w:cs="Times New Roman"/>
                <w:sz w:val="24"/>
                <w:szCs w:val="24"/>
              </w:rPr>
              <w:t>1</w:t>
            </w:r>
          </w:p>
        </w:tc>
        <w:tc>
          <w:tcPr>
            <w:tcW w:w="5511" w:type="dxa"/>
          </w:tcPr>
          <w:p w14:paraId="5B8FDE3F" w14:textId="77777777" w:rsidR="004A457A" w:rsidRPr="004A457A" w:rsidRDefault="004A457A" w:rsidP="00023A6B">
            <w:pPr>
              <w:pStyle w:val="11"/>
              <w:jc w:val="left"/>
              <w:rPr>
                <w:rFonts w:cs="Times New Roman"/>
                <w:sz w:val="24"/>
                <w:szCs w:val="24"/>
              </w:rPr>
            </w:pPr>
            <w:r w:rsidRPr="004A457A">
              <w:rPr>
                <w:rFonts w:cs="Times New Roman"/>
                <w:sz w:val="24"/>
                <w:szCs w:val="24"/>
              </w:rPr>
              <w:t>Социальная политика</w:t>
            </w:r>
          </w:p>
        </w:tc>
        <w:tc>
          <w:tcPr>
            <w:tcW w:w="1134" w:type="dxa"/>
          </w:tcPr>
          <w:p w14:paraId="394DEDF4" w14:textId="77777777" w:rsidR="004A457A" w:rsidRPr="004A457A" w:rsidRDefault="004A457A">
            <w:pPr>
              <w:pStyle w:val="11"/>
              <w:jc w:val="center"/>
              <w:rPr>
                <w:rFonts w:cs="Times New Roman"/>
                <w:sz w:val="24"/>
                <w:szCs w:val="24"/>
              </w:rPr>
            </w:pPr>
            <w:r w:rsidRPr="004A457A">
              <w:rPr>
                <w:rFonts w:cs="Times New Roman"/>
                <w:sz w:val="24"/>
                <w:szCs w:val="24"/>
              </w:rPr>
              <w:t>23,4</w:t>
            </w:r>
          </w:p>
        </w:tc>
        <w:tc>
          <w:tcPr>
            <w:tcW w:w="1950" w:type="dxa"/>
          </w:tcPr>
          <w:p w14:paraId="7DAE8606" w14:textId="77777777" w:rsidR="004A457A" w:rsidRPr="004A457A" w:rsidRDefault="004A457A">
            <w:pPr>
              <w:pStyle w:val="11"/>
              <w:jc w:val="center"/>
              <w:rPr>
                <w:rFonts w:cs="Times New Roman"/>
                <w:sz w:val="24"/>
                <w:szCs w:val="24"/>
              </w:rPr>
            </w:pPr>
            <w:r w:rsidRPr="004A457A">
              <w:rPr>
                <w:rFonts w:cs="Times New Roman"/>
                <w:sz w:val="24"/>
                <w:szCs w:val="24"/>
              </w:rPr>
              <w:t>25,5</w:t>
            </w:r>
          </w:p>
        </w:tc>
      </w:tr>
      <w:tr w:rsidR="004A457A" w:rsidRPr="004A457A" w14:paraId="6A657CF8" w14:textId="77777777">
        <w:tc>
          <w:tcPr>
            <w:tcW w:w="0" w:type="auto"/>
          </w:tcPr>
          <w:p w14:paraId="000AA7BC" w14:textId="77777777" w:rsidR="004A457A" w:rsidRPr="004A457A" w:rsidRDefault="004A457A">
            <w:pPr>
              <w:pStyle w:val="11"/>
              <w:rPr>
                <w:rFonts w:cs="Times New Roman"/>
                <w:sz w:val="24"/>
                <w:szCs w:val="24"/>
              </w:rPr>
            </w:pPr>
            <w:r w:rsidRPr="004A457A">
              <w:rPr>
                <w:rFonts w:cs="Times New Roman"/>
                <w:sz w:val="24"/>
                <w:szCs w:val="24"/>
              </w:rPr>
              <w:t>2</w:t>
            </w:r>
          </w:p>
        </w:tc>
        <w:tc>
          <w:tcPr>
            <w:tcW w:w="5511" w:type="dxa"/>
          </w:tcPr>
          <w:p w14:paraId="33D18BE6" w14:textId="77777777" w:rsidR="004A457A" w:rsidRPr="004A457A" w:rsidRDefault="004A457A" w:rsidP="00023A6B">
            <w:pPr>
              <w:pStyle w:val="11"/>
              <w:jc w:val="left"/>
              <w:rPr>
                <w:rFonts w:cs="Times New Roman"/>
                <w:sz w:val="24"/>
                <w:szCs w:val="24"/>
              </w:rPr>
            </w:pPr>
            <w:r w:rsidRPr="004A457A">
              <w:rPr>
                <w:rFonts w:cs="Times New Roman"/>
                <w:sz w:val="24"/>
                <w:szCs w:val="24"/>
              </w:rPr>
              <w:t>Национальная оборона</w:t>
            </w:r>
          </w:p>
        </w:tc>
        <w:tc>
          <w:tcPr>
            <w:tcW w:w="1134" w:type="dxa"/>
          </w:tcPr>
          <w:p w14:paraId="08F0BDAB" w14:textId="77777777" w:rsidR="004A457A" w:rsidRPr="004A457A" w:rsidRDefault="004A457A">
            <w:pPr>
              <w:pStyle w:val="11"/>
              <w:jc w:val="center"/>
              <w:rPr>
                <w:rFonts w:cs="Times New Roman"/>
                <w:sz w:val="24"/>
                <w:szCs w:val="24"/>
              </w:rPr>
            </w:pPr>
            <w:r w:rsidRPr="004A457A">
              <w:rPr>
                <w:rFonts w:cs="Times New Roman"/>
                <w:sz w:val="24"/>
                <w:szCs w:val="24"/>
              </w:rPr>
              <w:t>17,0</w:t>
            </w:r>
          </w:p>
        </w:tc>
        <w:tc>
          <w:tcPr>
            <w:tcW w:w="1950" w:type="dxa"/>
          </w:tcPr>
          <w:p w14:paraId="16A8F256" w14:textId="77777777" w:rsidR="004A457A" w:rsidRPr="004A457A" w:rsidRDefault="004A457A">
            <w:pPr>
              <w:pStyle w:val="11"/>
              <w:jc w:val="center"/>
              <w:rPr>
                <w:rFonts w:cs="Times New Roman"/>
                <w:sz w:val="24"/>
                <w:szCs w:val="24"/>
              </w:rPr>
            </w:pPr>
            <w:r w:rsidRPr="004A457A">
              <w:rPr>
                <w:rFonts w:cs="Times New Roman"/>
                <w:sz w:val="24"/>
                <w:szCs w:val="24"/>
              </w:rPr>
              <w:t>16,2</w:t>
            </w:r>
          </w:p>
        </w:tc>
      </w:tr>
      <w:tr w:rsidR="004A457A" w:rsidRPr="004A457A" w14:paraId="78F22E06" w14:textId="77777777">
        <w:tc>
          <w:tcPr>
            <w:tcW w:w="0" w:type="auto"/>
          </w:tcPr>
          <w:p w14:paraId="52782AFB" w14:textId="77777777" w:rsidR="004A457A" w:rsidRPr="004A457A" w:rsidRDefault="004A457A">
            <w:pPr>
              <w:pStyle w:val="11"/>
              <w:rPr>
                <w:rFonts w:cs="Times New Roman"/>
                <w:sz w:val="24"/>
                <w:szCs w:val="24"/>
              </w:rPr>
            </w:pPr>
            <w:r w:rsidRPr="004A457A">
              <w:rPr>
                <w:rFonts w:cs="Times New Roman"/>
                <w:sz w:val="24"/>
                <w:szCs w:val="24"/>
              </w:rPr>
              <w:t>3</w:t>
            </w:r>
          </w:p>
        </w:tc>
        <w:tc>
          <w:tcPr>
            <w:tcW w:w="5511" w:type="dxa"/>
          </w:tcPr>
          <w:p w14:paraId="6715C6CF" w14:textId="77777777" w:rsidR="004A457A" w:rsidRPr="004A457A" w:rsidRDefault="004A457A" w:rsidP="00023A6B">
            <w:pPr>
              <w:pStyle w:val="11"/>
              <w:jc w:val="left"/>
              <w:rPr>
                <w:rFonts w:cs="Times New Roman"/>
                <w:sz w:val="24"/>
                <w:szCs w:val="24"/>
              </w:rPr>
            </w:pPr>
            <w:r w:rsidRPr="004A457A">
              <w:rPr>
                <w:rFonts w:cs="Times New Roman"/>
                <w:sz w:val="24"/>
                <w:szCs w:val="24"/>
              </w:rPr>
              <w:t>Национальная экономика</w:t>
            </w:r>
          </w:p>
        </w:tc>
        <w:tc>
          <w:tcPr>
            <w:tcW w:w="1134" w:type="dxa"/>
          </w:tcPr>
          <w:p w14:paraId="4978D50E" w14:textId="77777777" w:rsidR="004A457A" w:rsidRPr="004A457A" w:rsidRDefault="004A457A">
            <w:pPr>
              <w:pStyle w:val="11"/>
              <w:jc w:val="center"/>
              <w:rPr>
                <w:rFonts w:cs="Times New Roman"/>
                <w:sz w:val="24"/>
                <w:szCs w:val="24"/>
              </w:rPr>
            </w:pPr>
            <w:r w:rsidRPr="004A457A">
              <w:rPr>
                <w:rFonts w:cs="Times New Roman"/>
                <w:sz w:val="24"/>
                <w:szCs w:val="24"/>
              </w:rPr>
              <w:t>15,6</w:t>
            </w:r>
          </w:p>
        </w:tc>
        <w:tc>
          <w:tcPr>
            <w:tcW w:w="1950" w:type="dxa"/>
          </w:tcPr>
          <w:p w14:paraId="3B925C78" w14:textId="77777777" w:rsidR="004A457A" w:rsidRPr="004A457A" w:rsidRDefault="004A457A">
            <w:pPr>
              <w:pStyle w:val="11"/>
              <w:jc w:val="center"/>
              <w:rPr>
                <w:rFonts w:cs="Times New Roman"/>
                <w:sz w:val="24"/>
                <w:szCs w:val="24"/>
              </w:rPr>
            </w:pPr>
            <w:r w:rsidRPr="004A457A">
              <w:rPr>
                <w:rFonts w:cs="Times New Roman"/>
                <w:sz w:val="24"/>
                <w:szCs w:val="24"/>
              </w:rPr>
              <w:t>12,4</w:t>
            </w:r>
          </w:p>
        </w:tc>
      </w:tr>
      <w:tr w:rsidR="004A457A" w:rsidRPr="004A457A" w14:paraId="183F1618" w14:textId="77777777">
        <w:tc>
          <w:tcPr>
            <w:tcW w:w="0" w:type="auto"/>
          </w:tcPr>
          <w:p w14:paraId="7DDC927D" w14:textId="77777777" w:rsidR="004A457A" w:rsidRPr="004A457A" w:rsidRDefault="004A457A">
            <w:pPr>
              <w:pStyle w:val="11"/>
              <w:rPr>
                <w:rFonts w:cs="Times New Roman"/>
                <w:sz w:val="24"/>
                <w:szCs w:val="24"/>
              </w:rPr>
            </w:pPr>
            <w:r w:rsidRPr="004A457A">
              <w:rPr>
                <w:rFonts w:cs="Times New Roman"/>
                <w:sz w:val="24"/>
                <w:szCs w:val="24"/>
              </w:rPr>
              <w:t>4</w:t>
            </w:r>
          </w:p>
        </w:tc>
        <w:tc>
          <w:tcPr>
            <w:tcW w:w="5511" w:type="dxa"/>
          </w:tcPr>
          <w:p w14:paraId="11ECBE6C" w14:textId="77777777" w:rsidR="004A457A" w:rsidRPr="004A457A" w:rsidRDefault="004A457A" w:rsidP="00023A6B">
            <w:pPr>
              <w:pStyle w:val="11"/>
              <w:jc w:val="left"/>
              <w:rPr>
                <w:rFonts w:cs="Times New Roman"/>
                <w:sz w:val="24"/>
                <w:szCs w:val="24"/>
              </w:rPr>
            </w:pPr>
            <w:r w:rsidRPr="004A457A">
              <w:rPr>
                <w:rFonts w:cs="Times New Roman"/>
                <w:sz w:val="24"/>
                <w:szCs w:val="24"/>
              </w:rPr>
              <w:t>Национальная безопасность и правоохранительная деятельность</w:t>
            </w:r>
          </w:p>
        </w:tc>
        <w:tc>
          <w:tcPr>
            <w:tcW w:w="1134" w:type="dxa"/>
          </w:tcPr>
          <w:p w14:paraId="4251F633" w14:textId="77777777" w:rsidR="004A457A" w:rsidRPr="004A457A" w:rsidRDefault="004A457A">
            <w:pPr>
              <w:pStyle w:val="11"/>
              <w:jc w:val="center"/>
              <w:rPr>
                <w:rFonts w:cs="Times New Roman"/>
                <w:sz w:val="24"/>
                <w:szCs w:val="24"/>
              </w:rPr>
            </w:pPr>
            <w:r w:rsidRPr="004A457A">
              <w:rPr>
                <w:rFonts w:cs="Times New Roman"/>
                <w:sz w:val="24"/>
                <w:szCs w:val="24"/>
              </w:rPr>
              <w:t>10,1</w:t>
            </w:r>
          </w:p>
        </w:tc>
        <w:tc>
          <w:tcPr>
            <w:tcW w:w="1950" w:type="dxa"/>
          </w:tcPr>
          <w:p w14:paraId="5D5EC882" w14:textId="77777777" w:rsidR="004A457A" w:rsidRPr="004A457A" w:rsidRDefault="004A457A">
            <w:pPr>
              <w:pStyle w:val="11"/>
              <w:jc w:val="center"/>
              <w:rPr>
                <w:rFonts w:cs="Times New Roman"/>
                <w:sz w:val="24"/>
                <w:szCs w:val="24"/>
              </w:rPr>
            </w:pPr>
            <w:r w:rsidRPr="004A457A">
              <w:rPr>
                <w:rFonts w:cs="Times New Roman"/>
                <w:sz w:val="24"/>
                <w:szCs w:val="24"/>
              </w:rPr>
              <w:t>15,3</w:t>
            </w:r>
          </w:p>
        </w:tc>
      </w:tr>
      <w:tr w:rsidR="004A457A" w:rsidRPr="004A457A" w14:paraId="597E047E" w14:textId="77777777">
        <w:tc>
          <w:tcPr>
            <w:tcW w:w="0" w:type="auto"/>
          </w:tcPr>
          <w:p w14:paraId="473F5BA7" w14:textId="77777777" w:rsidR="004A457A" w:rsidRPr="004A457A" w:rsidRDefault="004A457A">
            <w:pPr>
              <w:pStyle w:val="11"/>
              <w:rPr>
                <w:rFonts w:cs="Times New Roman"/>
                <w:sz w:val="24"/>
                <w:szCs w:val="24"/>
              </w:rPr>
            </w:pPr>
            <w:r w:rsidRPr="004A457A">
              <w:rPr>
                <w:rFonts w:cs="Times New Roman"/>
                <w:sz w:val="24"/>
                <w:szCs w:val="24"/>
              </w:rPr>
              <w:t>5</w:t>
            </w:r>
          </w:p>
        </w:tc>
        <w:tc>
          <w:tcPr>
            <w:tcW w:w="5511" w:type="dxa"/>
          </w:tcPr>
          <w:p w14:paraId="64ABF3B3" w14:textId="77777777" w:rsidR="004A457A" w:rsidRPr="004A457A" w:rsidRDefault="004A457A" w:rsidP="00023A6B">
            <w:pPr>
              <w:pStyle w:val="11"/>
              <w:jc w:val="left"/>
              <w:rPr>
                <w:rFonts w:cs="Times New Roman"/>
                <w:sz w:val="24"/>
                <w:szCs w:val="24"/>
              </w:rPr>
            </w:pPr>
            <w:r w:rsidRPr="004A457A">
              <w:rPr>
                <w:rFonts w:cs="Times New Roman"/>
                <w:sz w:val="24"/>
                <w:szCs w:val="24"/>
              </w:rPr>
              <w:t>Общегосударственные вопросы</w:t>
            </w:r>
          </w:p>
        </w:tc>
        <w:tc>
          <w:tcPr>
            <w:tcW w:w="1134" w:type="dxa"/>
          </w:tcPr>
          <w:p w14:paraId="33B118A8" w14:textId="77777777" w:rsidR="004A457A" w:rsidRPr="004A457A" w:rsidRDefault="004A457A">
            <w:pPr>
              <w:pStyle w:val="11"/>
              <w:jc w:val="center"/>
              <w:rPr>
                <w:rFonts w:cs="Times New Roman"/>
                <w:sz w:val="24"/>
                <w:szCs w:val="24"/>
              </w:rPr>
            </w:pPr>
            <w:r w:rsidRPr="004A457A">
              <w:rPr>
                <w:rFonts w:cs="Times New Roman"/>
                <w:sz w:val="24"/>
                <w:szCs w:val="24"/>
              </w:rPr>
              <w:t>9,5</w:t>
            </w:r>
          </w:p>
        </w:tc>
        <w:tc>
          <w:tcPr>
            <w:tcW w:w="1950" w:type="dxa"/>
          </w:tcPr>
          <w:p w14:paraId="2C0BBDD3" w14:textId="77777777" w:rsidR="004A457A" w:rsidRPr="004A457A" w:rsidRDefault="004A457A">
            <w:pPr>
              <w:pStyle w:val="11"/>
              <w:jc w:val="center"/>
              <w:rPr>
                <w:rFonts w:cs="Times New Roman"/>
                <w:sz w:val="24"/>
                <w:szCs w:val="24"/>
              </w:rPr>
            </w:pPr>
            <w:r w:rsidRPr="004A457A">
              <w:rPr>
                <w:rFonts w:cs="Times New Roman"/>
                <w:sz w:val="24"/>
                <w:szCs w:val="24"/>
              </w:rPr>
              <w:t>6,8</w:t>
            </w:r>
          </w:p>
        </w:tc>
      </w:tr>
      <w:tr w:rsidR="004A457A" w:rsidRPr="004A457A" w14:paraId="26C939BC" w14:textId="77777777">
        <w:tc>
          <w:tcPr>
            <w:tcW w:w="0" w:type="auto"/>
          </w:tcPr>
          <w:p w14:paraId="527F427E" w14:textId="77777777" w:rsidR="004A457A" w:rsidRPr="004A457A" w:rsidRDefault="004A457A">
            <w:pPr>
              <w:pStyle w:val="11"/>
              <w:rPr>
                <w:rFonts w:cs="Times New Roman"/>
                <w:sz w:val="24"/>
                <w:szCs w:val="24"/>
              </w:rPr>
            </w:pPr>
            <w:r w:rsidRPr="004A457A">
              <w:rPr>
                <w:rFonts w:cs="Times New Roman"/>
                <w:sz w:val="24"/>
                <w:szCs w:val="24"/>
              </w:rPr>
              <w:t>6</w:t>
            </w:r>
          </w:p>
        </w:tc>
        <w:tc>
          <w:tcPr>
            <w:tcW w:w="5511" w:type="dxa"/>
          </w:tcPr>
          <w:p w14:paraId="7726CB1D" w14:textId="77777777" w:rsidR="004A457A" w:rsidRPr="004A457A" w:rsidRDefault="004A457A" w:rsidP="00023A6B">
            <w:pPr>
              <w:pStyle w:val="11"/>
              <w:jc w:val="left"/>
              <w:rPr>
                <w:rFonts w:cs="Times New Roman"/>
                <w:sz w:val="24"/>
                <w:szCs w:val="24"/>
              </w:rPr>
            </w:pPr>
            <w:r w:rsidRPr="004A457A">
              <w:rPr>
                <w:rFonts w:cs="Times New Roman"/>
                <w:sz w:val="24"/>
                <w:szCs w:val="24"/>
              </w:rPr>
              <w:t>Здравоохранение</w:t>
            </w:r>
          </w:p>
        </w:tc>
        <w:tc>
          <w:tcPr>
            <w:tcW w:w="1134" w:type="dxa"/>
          </w:tcPr>
          <w:p w14:paraId="264B1498" w14:textId="77777777" w:rsidR="004A457A" w:rsidRPr="004A457A" w:rsidRDefault="004A457A">
            <w:pPr>
              <w:pStyle w:val="11"/>
              <w:jc w:val="center"/>
              <w:rPr>
                <w:rFonts w:cs="Times New Roman"/>
                <w:sz w:val="24"/>
                <w:szCs w:val="24"/>
              </w:rPr>
            </w:pPr>
            <w:r w:rsidRPr="004A457A">
              <w:rPr>
                <w:rFonts w:cs="Times New Roman"/>
                <w:sz w:val="24"/>
                <w:szCs w:val="24"/>
              </w:rPr>
              <w:t>5,5</w:t>
            </w:r>
          </w:p>
        </w:tc>
        <w:tc>
          <w:tcPr>
            <w:tcW w:w="1950" w:type="dxa"/>
          </w:tcPr>
          <w:p w14:paraId="2961C4D7" w14:textId="77777777" w:rsidR="004A457A" w:rsidRPr="004A457A" w:rsidRDefault="004A457A">
            <w:pPr>
              <w:pStyle w:val="11"/>
              <w:jc w:val="center"/>
              <w:rPr>
                <w:rFonts w:cs="Times New Roman"/>
                <w:sz w:val="24"/>
                <w:szCs w:val="24"/>
              </w:rPr>
            </w:pPr>
            <w:r w:rsidRPr="004A457A">
              <w:rPr>
                <w:rFonts w:cs="Times New Roman"/>
                <w:sz w:val="24"/>
                <w:szCs w:val="24"/>
              </w:rPr>
              <w:t>5,2</w:t>
            </w:r>
          </w:p>
        </w:tc>
      </w:tr>
      <w:tr w:rsidR="004A457A" w:rsidRPr="004A457A" w14:paraId="786ED44A" w14:textId="77777777">
        <w:tc>
          <w:tcPr>
            <w:tcW w:w="0" w:type="auto"/>
          </w:tcPr>
          <w:p w14:paraId="10B89BAB" w14:textId="77777777" w:rsidR="004A457A" w:rsidRPr="004A457A" w:rsidRDefault="004A457A">
            <w:pPr>
              <w:pStyle w:val="11"/>
              <w:rPr>
                <w:rFonts w:cs="Times New Roman"/>
                <w:sz w:val="24"/>
                <w:szCs w:val="24"/>
              </w:rPr>
            </w:pPr>
            <w:r w:rsidRPr="004A457A">
              <w:rPr>
                <w:rFonts w:cs="Times New Roman"/>
                <w:sz w:val="24"/>
                <w:szCs w:val="24"/>
              </w:rPr>
              <w:t>7</w:t>
            </w:r>
          </w:p>
        </w:tc>
        <w:tc>
          <w:tcPr>
            <w:tcW w:w="5511" w:type="dxa"/>
          </w:tcPr>
          <w:p w14:paraId="1538B5B5" w14:textId="77777777" w:rsidR="004A457A" w:rsidRPr="004A457A" w:rsidRDefault="004A457A" w:rsidP="00023A6B">
            <w:pPr>
              <w:pStyle w:val="11"/>
              <w:jc w:val="left"/>
              <w:rPr>
                <w:rFonts w:cs="Times New Roman"/>
                <w:sz w:val="24"/>
                <w:szCs w:val="24"/>
              </w:rPr>
            </w:pPr>
            <w:r w:rsidRPr="004A457A">
              <w:rPr>
                <w:rFonts w:cs="Times New Roman"/>
                <w:sz w:val="24"/>
                <w:szCs w:val="24"/>
              </w:rPr>
              <w:t>Обслуживание государственного (муниципального) долга</w:t>
            </w:r>
          </w:p>
        </w:tc>
        <w:tc>
          <w:tcPr>
            <w:tcW w:w="1134" w:type="dxa"/>
          </w:tcPr>
          <w:p w14:paraId="3B9F9847" w14:textId="77777777" w:rsidR="004A457A" w:rsidRPr="004A457A" w:rsidRDefault="004A457A">
            <w:pPr>
              <w:pStyle w:val="11"/>
              <w:jc w:val="center"/>
              <w:rPr>
                <w:rFonts w:cs="Times New Roman"/>
                <w:sz w:val="24"/>
                <w:szCs w:val="24"/>
              </w:rPr>
            </w:pPr>
            <w:r w:rsidRPr="004A457A">
              <w:rPr>
                <w:rFonts w:cs="Times New Roman"/>
                <w:sz w:val="24"/>
                <w:szCs w:val="24"/>
              </w:rPr>
              <w:t>5,1</w:t>
            </w:r>
          </w:p>
        </w:tc>
        <w:tc>
          <w:tcPr>
            <w:tcW w:w="1950" w:type="dxa"/>
          </w:tcPr>
          <w:p w14:paraId="74A1A61E" w14:textId="77777777" w:rsidR="004A457A" w:rsidRPr="004A457A" w:rsidRDefault="004A457A">
            <w:pPr>
              <w:pStyle w:val="11"/>
              <w:jc w:val="center"/>
              <w:rPr>
                <w:rFonts w:cs="Times New Roman"/>
                <w:sz w:val="24"/>
                <w:szCs w:val="24"/>
              </w:rPr>
            </w:pPr>
            <w:r w:rsidRPr="004A457A">
              <w:rPr>
                <w:rFonts w:cs="Times New Roman"/>
                <w:sz w:val="24"/>
                <w:szCs w:val="24"/>
              </w:rPr>
              <w:t>5,9</w:t>
            </w:r>
          </w:p>
        </w:tc>
      </w:tr>
      <w:tr w:rsidR="004A457A" w:rsidRPr="004A457A" w14:paraId="6C812CAA" w14:textId="77777777">
        <w:tc>
          <w:tcPr>
            <w:tcW w:w="0" w:type="auto"/>
          </w:tcPr>
          <w:p w14:paraId="4ED323C7" w14:textId="77777777" w:rsidR="004A457A" w:rsidRPr="004A457A" w:rsidRDefault="004A457A">
            <w:pPr>
              <w:pStyle w:val="11"/>
              <w:rPr>
                <w:rFonts w:cs="Times New Roman"/>
                <w:sz w:val="24"/>
                <w:szCs w:val="24"/>
              </w:rPr>
            </w:pPr>
            <w:r w:rsidRPr="004A457A">
              <w:rPr>
                <w:rFonts w:cs="Times New Roman"/>
                <w:sz w:val="24"/>
                <w:szCs w:val="24"/>
              </w:rPr>
              <w:t>8</w:t>
            </w:r>
          </w:p>
        </w:tc>
        <w:tc>
          <w:tcPr>
            <w:tcW w:w="5511" w:type="dxa"/>
          </w:tcPr>
          <w:p w14:paraId="15105DBD" w14:textId="77777777" w:rsidR="004A457A" w:rsidRPr="004A457A" w:rsidRDefault="004A457A" w:rsidP="00023A6B">
            <w:pPr>
              <w:pStyle w:val="11"/>
              <w:jc w:val="left"/>
              <w:rPr>
                <w:rFonts w:cs="Times New Roman"/>
                <w:sz w:val="24"/>
                <w:szCs w:val="24"/>
              </w:rPr>
            </w:pPr>
            <w:r w:rsidRPr="004A457A">
              <w:rPr>
                <w:rFonts w:cs="Times New Roman"/>
                <w:sz w:val="24"/>
                <w:szCs w:val="24"/>
              </w:rPr>
              <w:t>Образование</w:t>
            </w:r>
          </w:p>
        </w:tc>
        <w:tc>
          <w:tcPr>
            <w:tcW w:w="1134" w:type="dxa"/>
          </w:tcPr>
          <w:p w14:paraId="2FE8EA56" w14:textId="77777777" w:rsidR="004A457A" w:rsidRPr="004A457A" w:rsidRDefault="004A457A">
            <w:pPr>
              <w:pStyle w:val="11"/>
              <w:jc w:val="center"/>
              <w:rPr>
                <w:rFonts w:cs="Times New Roman"/>
                <w:sz w:val="24"/>
                <w:szCs w:val="24"/>
              </w:rPr>
            </w:pPr>
            <w:r w:rsidRPr="004A457A">
              <w:rPr>
                <w:rFonts w:cs="Times New Roman"/>
                <w:sz w:val="24"/>
                <w:szCs w:val="24"/>
              </w:rPr>
              <w:t>4,8</w:t>
            </w:r>
          </w:p>
        </w:tc>
        <w:tc>
          <w:tcPr>
            <w:tcW w:w="1950" w:type="dxa"/>
          </w:tcPr>
          <w:p w14:paraId="1572B472" w14:textId="77777777" w:rsidR="004A457A" w:rsidRPr="004A457A" w:rsidRDefault="004A457A">
            <w:pPr>
              <w:pStyle w:val="11"/>
              <w:jc w:val="center"/>
              <w:rPr>
                <w:rFonts w:cs="Times New Roman"/>
                <w:sz w:val="24"/>
                <w:szCs w:val="24"/>
              </w:rPr>
            </w:pPr>
            <w:r w:rsidRPr="004A457A">
              <w:rPr>
                <w:rFonts w:cs="Times New Roman"/>
                <w:sz w:val="24"/>
                <w:szCs w:val="24"/>
              </w:rPr>
              <w:t>4,7</w:t>
            </w:r>
          </w:p>
        </w:tc>
      </w:tr>
      <w:tr w:rsidR="004A457A" w:rsidRPr="004A457A" w14:paraId="3EFB7B91" w14:textId="77777777">
        <w:tc>
          <w:tcPr>
            <w:tcW w:w="0" w:type="auto"/>
          </w:tcPr>
          <w:p w14:paraId="329B58E4" w14:textId="77777777" w:rsidR="004A457A" w:rsidRPr="004A457A" w:rsidRDefault="004A457A">
            <w:pPr>
              <w:pStyle w:val="11"/>
              <w:rPr>
                <w:rFonts w:cs="Times New Roman"/>
                <w:sz w:val="24"/>
                <w:szCs w:val="24"/>
              </w:rPr>
            </w:pPr>
            <w:r w:rsidRPr="004A457A">
              <w:rPr>
                <w:rFonts w:cs="Times New Roman"/>
                <w:sz w:val="24"/>
                <w:szCs w:val="24"/>
              </w:rPr>
              <w:t>9</w:t>
            </w:r>
          </w:p>
        </w:tc>
        <w:tc>
          <w:tcPr>
            <w:tcW w:w="5511" w:type="dxa"/>
          </w:tcPr>
          <w:p w14:paraId="0CADE24C" w14:textId="77777777" w:rsidR="004A457A" w:rsidRPr="004A457A" w:rsidRDefault="004A457A" w:rsidP="00023A6B">
            <w:pPr>
              <w:pStyle w:val="11"/>
              <w:jc w:val="left"/>
              <w:rPr>
                <w:rFonts w:cs="Times New Roman"/>
                <w:sz w:val="24"/>
                <w:szCs w:val="24"/>
              </w:rPr>
            </w:pPr>
            <w:r w:rsidRPr="004A457A">
              <w:rPr>
                <w:rFonts w:cs="Times New Roman"/>
                <w:sz w:val="24"/>
                <w:szCs w:val="24"/>
              </w:rPr>
              <w:t>Межбюджетные трансферты общего характера бюджетам бюджетной системы РФ</w:t>
            </w:r>
          </w:p>
        </w:tc>
        <w:tc>
          <w:tcPr>
            <w:tcW w:w="1134" w:type="dxa"/>
          </w:tcPr>
          <w:p w14:paraId="05CF2B52" w14:textId="77777777" w:rsidR="004A457A" w:rsidRPr="004A457A" w:rsidRDefault="004A457A">
            <w:pPr>
              <w:pStyle w:val="11"/>
              <w:jc w:val="center"/>
              <w:rPr>
                <w:rFonts w:cs="Times New Roman"/>
                <w:sz w:val="24"/>
                <w:szCs w:val="24"/>
              </w:rPr>
            </w:pPr>
            <w:r w:rsidRPr="004A457A">
              <w:rPr>
                <w:rFonts w:cs="Times New Roman"/>
                <w:sz w:val="24"/>
                <w:szCs w:val="24"/>
              </w:rPr>
              <w:t>3,9</w:t>
            </w:r>
          </w:p>
        </w:tc>
        <w:tc>
          <w:tcPr>
            <w:tcW w:w="1950" w:type="dxa"/>
          </w:tcPr>
          <w:p w14:paraId="77BD949E" w14:textId="77777777" w:rsidR="004A457A" w:rsidRPr="004A457A" w:rsidRDefault="004A457A">
            <w:pPr>
              <w:pStyle w:val="11"/>
              <w:jc w:val="center"/>
              <w:rPr>
                <w:rFonts w:cs="Times New Roman"/>
                <w:sz w:val="24"/>
                <w:szCs w:val="24"/>
              </w:rPr>
            </w:pPr>
            <w:r w:rsidRPr="004A457A">
              <w:rPr>
                <w:rFonts w:cs="Times New Roman"/>
                <w:sz w:val="24"/>
                <w:szCs w:val="24"/>
              </w:rPr>
              <w:t>3,9</w:t>
            </w:r>
          </w:p>
        </w:tc>
      </w:tr>
      <w:tr w:rsidR="004A457A" w:rsidRPr="004A457A" w14:paraId="4160DB01" w14:textId="77777777">
        <w:tc>
          <w:tcPr>
            <w:tcW w:w="0" w:type="auto"/>
          </w:tcPr>
          <w:p w14:paraId="50C0416B" w14:textId="77777777" w:rsidR="004A457A" w:rsidRPr="004A457A" w:rsidRDefault="004A457A">
            <w:pPr>
              <w:pStyle w:val="11"/>
              <w:rPr>
                <w:rFonts w:cs="Times New Roman"/>
                <w:sz w:val="24"/>
                <w:szCs w:val="24"/>
              </w:rPr>
            </w:pPr>
            <w:r w:rsidRPr="004A457A">
              <w:rPr>
                <w:rFonts w:cs="Times New Roman"/>
                <w:sz w:val="24"/>
                <w:szCs w:val="24"/>
              </w:rPr>
              <w:t>10</w:t>
            </w:r>
          </w:p>
        </w:tc>
        <w:tc>
          <w:tcPr>
            <w:tcW w:w="5511" w:type="dxa"/>
          </w:tcPr>
          <w:p w14:paraId="7A9A743E" w14:textId="77777777" w:rsidR="004A457A" w:rsidRPr="004A457A" w:rsidRDefault="004A457A">
            <w:pPr>
              <w:pStyle w:val="11"/>
              <w:rPr>
                <w:rFonts w:cs="Times New Roman"/>
                <w:sz w:val="24"/>
                <w:szCs w:val="24"/>
              </w:rPr>
            </w:pPr>
            <w:r w:rsidRPr="004A457A">
              <w:rPr>
                <w:rFonts w:cs="Times New Roman"/>
                <w:sz w:val="24"/>
                <w:szCs w:val="24"/>
              </w:rPr>
              <w:t>Жилищно-коммунальное хозяйство</w:t>
            </w:r>
          </w:p>
        </w:tc>
        <w:tc>
          <w:tcPr>
            <w:tcW w:w="1134" w:type="dxa"/>
          </w:tcPr>
          <w:p w14:paraId="126A6E94" w14:textId="77777777" w:rsidR="004A457A" w:rsidRPr="004A457A" w:rsidRDefault="004A457A">
            <w:pPr>
              <w:pStyle w:val="11"/>
              <w:jc w:val="center"/>
              <w:rPr>
                <w:rFonts w:cs="Times New Roman"/>
                <w:sz w:val="24"/>
                <w:szCs w:val="24"/>
              </w:rPr>
            </w:pPr>
            <w:r w:rsidRPr="004A457A">
              <w:rPr>
                <w:rFonts w:cs="Times New Roman"/>
                <w:sz w:val="24"/>
                <w:szCs w:val="24"/>
              </w:rPr>
              <w:t>2,3</w:t>
            </w:r>
          </w:p>
        </w:tc>
        <w:tc>
          <w:tcPr>
            <w:tcW w:w="1950" w:type="dxa"/>
          </w:tcPr>
          <w:p w14:paraId="1820E794" w14:textId="77777777" w:rsidR="004A457A" w:rsidRPr="004A457A" w:rsidRDefault="004A457A">
            <w:pPr>
              <w:pStyle w:val="11"/>
              <w:jc w:val="center"/>
              <w:rPr>
                <w:rFonts w:cs="Times New Roman"/>
                <w:sz w:val="24"/>
                <w:szCs w:val="24"/>
              </w:rPr>
            </w:pPr>
            <w:r w:rsidRPr="004A457A">
              <w:rPr>
                <w:rFonts w:cs="Times New Roman"/>
                <w:sz w:val="24"/>
                <w:szCs w:val="24"/>
              </w:rPr>
              <w:t>1,7</w:t>
            </w:r>
          </w:p>
        </w:tc>
      </w:tr>
      <w:tr w:rsidR="004A457A" w:rsidRPr="004A457A" w14:paraId="40CC0EF9" w14:textId="77777777">
        <w:tc>
          <w:tcPr>
            <w:tcW w:w="0" w:type="auto"/>
          </w:tcPr>
          <w:p w14:paraId="3BBE7EB8" w14:textId="77777777" w:rsidR="004A457A" w:rsidRPr="004A457A" w:rsidRDefault="004A457A">
            <w:pPr>
              <w:pStyle w:val="11"/>
              <w:rPr>
                <w:rFonts w:cs="Times New Roman"/>
                <w:sz w:val="24"/>
                <w:szCs w:val="24"/>
              </w:rPr>
            </w:pPr>
            <w:r w:rsidRPr="004A457A">
              <w:rPr>
                <w:rFonts w:cs="Times New Roman"/>
                <w:sz w:val="24"/>
                <w:szCs w:val="24"/>
              </w:rPr>
              <w:t>11</w:t>
            </w:r>
          </w:p>
        </w:tc>
        <w:tc>
          <w:tcPr>
            <w:tcW w:w="5511" w:type="dxa"/>
          </w:tcPr>
          <w:p w14:paraId="16102C04" w14:textId="77777777" w:rsidR="004A457A" w:rsidRPr="004A457A" w:rsidRDefault="004A457A">
            <w:pPr>
              <w:pStyle w:val="11"/>
              <w:rPr>
                <w:rFonts w:cs="Times New Roman"/>
                <w:sz w:val="24"/>
                <w:szCs w:val="24"/>
              </w:rPr>
            </w:pPr>
            <w:r w:rsidRPr="004A457A">
              <w:rPr>
                <w:rFonts w:cs="Times New Roman"/>
                <w:sz w:val="24"/>
                <w:szCs w:val="24"/>
              </w:rPr>
              <w:t>Охрана окружающей среды</w:t>
            </w:r>
          </w:p>
        </w:tc>
        <w:tc>
          <w:tcPr>
            <w:tcW w:w="1134" w:type="dxa"/>
          </w:tcPr>
          <w:p w14:paraId="057560C3" w14:textId="77777777" w:rsidR="004A457A" w:rsidRPr="004A457A" w:rsidRDefault="004A457A">
            <w:pPr>
              <w:pStyle w:val="11"/>
              <w:jc w:val="center"/>
              <w:rPr>
                <w:rFonts w:cs="Times New Roman"/>
                <w:sz w:val="24"/>
                <w:szCs w:val="24"/>
              </w:rPr>
            </w:pPr>
            <w:r w:rsidRPr="004A457A">
              <w:rPr>
                <w:rFonts w:cs="Times New Roman"/>
                <w:sz w:val="24"/>
                <w:szCs w:val="24"/>
              </w:rPr>
              <w:t>1,3</w:t>
            </w:r>
          </w:p>
        </w:tc>
        <w:tc>
          <w:tcPr>
            <w:tcW w:w="1950" w:type="dxa"/>
          </w:tcPr>
          <w:p w14:paraId="030DBB03" w14:textId="77777777" w:rsidR="004A457A" w:rsidRPr="004A457A" w:rsidRDefault="004A457A">
            <w:pPr>
              <w:pStyle w:val="11"/>
              <w:jc w:val="center"/>
              <w:rPr>
                <w:rFonts w:cs="Times New Roman"/>
                <w:sz w:val="24"/>
                <w:szCs w:val="24"/>
              </w:rPr>
            </w:pPr>
            <w:r w:rsidRPr="004A457A">
              <w:rPr>
                <w:rFonts w:cs="Times New Roman"/>
                <w:sz w:val="24"/>
                <w:szCs w:val="24"/>
              </w:rPr>
              <w:t>1,1</w:t>
            </w:r>
          </w:p>
        </w:tc>
      </w:tr>
      <w:tr w:rsidR="004A457A" w:rsidRPr="004A457A" w14:paraId="450D96E0" w14:textId="77777777">
        <w:tc>
          <w:tcPr>
            <w:tcW w:w="0" w:type="auto"/>
          </w:tcPr>
          <w:p w14:paraId="6F6738BA" w14:textId="77777777" w:rsidR="004A457A" w:rsidRPr="004A457A" w:rsidRDefault="004A457A">
            <w:pPr>
              <w:pStyle w:val="11"/>
              <w:rPr>
                <w:rFonts w:cs="Times New Roman"/>
                <w:sz w:val="24"/>
                <w:szCs w:val="24"/>
              </w:rPr>
            </w:pPr>
            <w:r w:rsidRPr="004A457A">
              <w:rPr>
                <w:rFonts w:cs="Times New Roman"/>
                <w:sz w:val="24"/>
                <w:szCs w:val="24"/>
              </w:rPr>
              <w:t>12</w:t>
            </w:r>
          </w:p>
        </w:tc>
        <w:tc>
          <w:tcPr>
            <w:tcW w:w="5511" w:type="dxa"/>
          </w:tcPr>
          <w:p w14:paraId="65F83958" w14:textId="77777777" w:rsidR="004A457A" w:rsidRPr="004A457A" w:rsidRDefault="004A457A">
            <w:pPr>
              <w:pStyle w:val="11"/>
              <w:rPr>
                <w:rFonts w:cs="Times New Roman"/>
                <w:sz w:val="24"/>
                <w:szCs w:val="24"/>
              </w:rPr>
            </w:pPr>
            <w:r w:rsidRPr="004A457A">
              <w:rPr>
                <w:rFonts w:cs="Times New Roman"/>
                <w:sz w:val="24"/>
                <w:szCs w:val="24"/>
              </w:rPr>
              <w:t>Культура, кинематография</w:t>
            </w:r>
          </w:p>
        </w:tc>
        <w:tc>
          <w:tcPr>
            <w:tcW w:w="1134" w:type="dxa"/>
          </w:tcPr>
          <w:p w14:paraId="7EBCD5E2" w14:textId="77777777" w:rsidR="004A457A" w:rsidRPr="004A457A" w:rsidRDefault="004A457A">
            <w:pPr>
              <w:pStyle w:val="11"/>
              <w:jc w:val="center"/>
              <w:rPr>
                <w:rFonts w:cs="Times New Roman"/>
                <w:sz w:val="24"/>
                <w:szCs w:val="24"/>
              </w:rPr>
            </w:pPr>
            <w:r w:rsidRPr="004A457A">
              <w:rPr>
                <w:rFonts w:cs="Times New Roman"/>
                <w:sz w:val="24"/>
                <w:szCs w:val="24"/>
              </w:rPr>
              <w:t>0,7</w:t>
            </w:r>
          </w:p>
        </w:tc>
        <w:tc>
          <w:tcPr>
            <w:tcW w:w="1950" w:type="dxa"/>
          </w:tcPr>
          <w:p w14:paraId="2D66350A" w14:textId="77777777" w:rsidR="004A457A" w:rsidRPr="004A457A" w:rsidRDefault="004A457A">
            <w:pPr>
              <w:pStyle w:val="11"/>
              <w:jc w:val="center"/>
              <w:rPr>
                <w:rFonts w:cs="Times New Roman"/>
                <w:sz w:val="24"/>
                <w:szCs w:val="24"/>
              </w:rPr>
            </w:pPr>
            <w:r w:rsidRPr="004A457A">
              <w:rPr>
                <w:rFonts w:cs="Times New Roman"/>
                <w:sz w:val="24"/>
                <w:szCs w:val="24"/>
              </w:rPr>
              <w:t>0,7</w:t>
            </w:r>
          </w:p>
        </w:tc>
      </w:tr>
      <w:tr w:rsidR="004A457A" w:rsidRPr="004A457A" w14:paraId="6C764783" w14:textId="77777777">
        <w:tc>
          <w:tcPr>
            <w:tcW w:w="0" w:type="auto"/>
          </w:tcPr>
          <w:p w14:paraId="3561EBD6" w14:textId="77777777" w:rsidR="004A457A" w:rsidRPr="004A457A" w:rsidRDefault="004A457A">
            <w:pPr>
              <w:pStyle w:val="11"/>
              <w:rPr>
                <w:rFonts w:cs="Times New Roman"/>
                <w:sz w:val="24"/>
                <w:szCs w:val="24"/>
              </w:rPr>
            </w:pPr>
            <w:r w:rsidRPr="004A457A">
              <w:rPr>
                <w:rFonts w:cs="Times New Roman"/>
                <w:sz w:val="24"/>
                <w:szCs w:val="24"/>
              </w:rPr>
              <w:t>13</w:t>
            </w:r>
          </w:p>
        </w:tc>
        <w:tc>
          <w:tcPr>
            <w:tcW w:w="5511" w:type="dxa"/>
          </w:tcPr>
          <w:p w14:paraId="08A15021" w14:textId="77777777" w:rsidR="004A457A" w:rsidRPr="004A457A" w:rsidRDefault="004A457A">
            <w:pPr>
              <w:pStyle w:val="11"/>
              <w:rPr>
                <w:rFonts w:cs="Times New Roman"/>
                <w:sz w:val="24"/>
                <w:szCs w:val="24"/>
              </w:rPr>
            </w:pPr>
            <w:r w:rsidRPr="004A457A">
              <w:rPr>
                <w:rFonts w:cs="Times New Roman"/>
                <w:sz w:val="24"/>
                <w:szCs w:val="24"/>
              </w:rPr>
              <w:t>Средства массовой информации</w:t>
            </w:r>
          </w:p>
        </w:tc>
        <w:tc>
          <w:tcPr>
            <w:tcW w:w="1134" w:type="dxa"/>
          </w:tcPr>
          <w:p w14:paraId="2F8BBE3B" w14:textId="77777777" w:rsidR="004A457A" w:rsidRPr="004A457A" w:rsidRDefault="004A457A">
            <w:pPr>
              <w:pStyle w:val="11"/>
              <w:jc w:val="center"/>
              <w:rPr>
                <w:rFonts w:cs="Times New Roman"/>
                <w:sz w:val="24"/>
                <w:szCs w:val="24"/>
              </w:rPr>
            </w:pPr>
            <w:r w:rsidRPr="004A457A">
              <w:rPr>
                <w:rFonts w:cs="Times New Roman"/>
                <w:sz w:val="24"/>
                <w:szCs w:val="24"/>
              </w:rPr>
              <w:t>0,5</w:t>
            </w:r>
          </w:p>
        </w:tc>
        <w:tc>
          <w:tcPr>
            <w:tcW w:w="1950" w:type="dxa"/>
          </w:tcPr>
          <w:p w14:paraId="1F0DB8C6" w14:textId="77777777" w:rsidR="004A457A" w:rsidRPr="004A457A" w:rsidRDefault="004A457A">
            <w:pPr>
              <w:pStyle w:val="11"/>
              <w:jc w:val="center"/>
              <w:rPr>
                <w:rFonts w:cs="Times New Roman"/>
                <w:sz w:val="24"/>
                <w:szCs w:val="24"/>
              </w:rPr>
            </w:pPr>
            <w:r w:rsidRPr="004A457A">
              <w:rPr>
                <w:rFonts w:cs="Times New Roman"/>
                <w:sz w:val="24"/>
                <w:szCs w:val="24"/>
              </w:rPr>
              <w:t>0,4</w:t>
            </w:r>
          </w:p>
        </w:tc>
      </w:tr>
      <w:tr w:rsidR="004A457A" w:rsidRPr="004A457A" w14:paraId="795C215F" w14:textId="77777777">
        <w:tc>
          <w:tcPr>
            <w:tcW w:w="0" w:type="auto"/>
          </w:tcPr>
          <w:p w14:paraId="10A266A7" w14:textId="77777777" w:rsidR="004A457A" w:rsidRPr="004A457A" w:rsidRDefault="004A457A">
            <w:pPr>
              <w:pStyle w:val="11"/>
              <w:rPr>
                <w:rFonts w:cs="Times New Roman"/>
                <w:sz w:val="24"/>
                <w:szCs w:val="24"/>
              </w:rPr>
            </w:pPr>
            <w:r w:rsidRPr="004A457A">
              <w:rPr>
                <w:rFonts w:cs="Times New Roman"/>
                <w:sz w:val="24"/>
                <w:szCs w:val="24"/>
              </w:rPr>
              <w:t>14</w:t>
            </w:r>
          </w:p>
        </w:tc>
        <w:tc>
          <w:tcPr>
            <w:tcW w:w="5511" w:type="dxa"/>
          </w:tcPr>
          <w:p w14:paraId="4148C419" w14:textId="77777777" w:rsidR="004A457A" w:rsidRPr="004A457A" w:rsidRDefault="004A457A">
            <w:pPr>
              <w:pStyle w:val="11"/>
              <w:rPr>
                <w:rFonts w:cs="Times New Roman"/>
                <w:sz w:val="24"/>
                <w:szCs w:val="24"/>
              </w:rPr>
            </w:pPr>
            <w:r w:rsidRPr="004A457A">
              <w:rPr>
                <w:rFonts w:cs="Times New Roman"/>
                <w:sz w:val="24"/>
                <w:szCs w:val="24"/>
              </w:rPr>
              <w:t>Физическая культура и спорт</w:t>
            </w:r>
          </w:p>
        </w:tc>
        <w:tc>
          <w:tcPr>
            <w:tcW w:w="1134" w:type="dxa"/>
          </w:tcPr>
          <w:p w14:paraId="1F97CC19" w14:textId="77777777" w:rsidR="004A457A" w:rsidRPr="004A457A" w:rsidRDefault="004A457A">
            <w:pPr>
              <w:pStyle w:val="11"/>
              <w:jc w:val="center"/>
              <w:rPr>
                <w:rFonts w:cs="Times New Roman"/>
                <w:sz w:val="24"/>
                <w:szCs w:val="24"/>
              </w:rPr>
            </w:pPr>
            <w:r w:rsidRPr="004A457A">
              <w:rPr>
                <w:rFonts w:cs="Times New Roman"/>
                <w:sz w:val="24"/>
                <w:szCs w:val="24"/>
              </w:rPr>
              <w:t>0,3</w:t>
            </w:r>
          </w:p>
        </w:tc>
        <w:tc>
          <w:tcPr>
            <w:tcW w:w="1950" w:type="dxa"/>
          </w:tcPr>
          <w:p w14:paraId="1D7DACD5" w14:textId="77777777" w:rsidR="004A457A" w:rsidRPr="004A457A" w:rsidRDefault="004A457A">
            <w:pPr>
              <w:pStyle w:val="11"/>
              <w:jc w:val="center"/>
              <w:rPr>
                <w:rFonts w:cs="Times New Roman"/>
                <w:sz w:val="24"/>
                <w:szCs w:val="24"/>
              </w:rPr>
            </w:pPr>
            <w:r w:rsidRPr="004A457A">
              <w:rPr>
                <w:rFonts w:cs="Times New Roman"/>
                <w:sz w:val="24"/>
                <w:szCs w:val="24"/>
              </w:rPr>
              <w:t>0,3</w:t>
            </w:r>
          </w:p>
        </w:tc>
      </w:tr>
      <w:tr w:rsidR="004A457A" w:rsidRPr="004A457A" w14:paraId="5540B2D0" w14:textId="77777777">
        <w:tc>
          <w:tcPr>
            <w:tcW w:w="0" w:type="auto"/>
          </w:tcPr>
          <w:p w14:paraId="5E7929FA" w14:textId="77777777" w:rsidR="004A457A" w:rsidRPr="004A457A" w:rsidRDefault="004A457A">
            <w:pPr>
              <w:pStyle w:val="11"/>
              <w:rPr>
                <w:rFonts w:cs="Times New Roman"/>
                <w:sz w:val="24"/>
                <w:szCs w:val="24"/>
              </w:rPr>
            </w:pPr>
            <w:r w:rsidRPr="004A457A">
              <w:rPr>
                <w:rFonts w:cs="Times New Roman"/>
                <w:sz w:val="24"/>
                <w:szCs w:val="24"/>
              </w:rPr>
              <w:t>Итого</w:t>
            </w:r>
          </w:p>
        </w:tc>
        <w:tc>
          <w:tcPr>
            <w:tcW w:w="5511" w:type="dxa"/>
          </w:tcPr>
          <w:p w14:paraId="694C4E62" w14:textId="77777777" w:rsidR="004A457A" w:rsidRPr="004A457A" w:rsidRDefault="004A457A">
            <w:pPr>
              <w:pStyle w:val="11"/>
              <w:rPr>
                <w:rFonts w:cs="Times New Roman"/>
                <w:sz w:val="24"/>
                <w:szCs w:val="24"/>
              </w:rPr>
            </w:pPr>
          </w:p>
        </w:tc>
        <w:tc>
          <w:tcPr>
            <w:tcW w:w="1134" w:type="dxa"/>
          </w:tcPr>
          <w:p w14:paraId="2F67FB64" w14:textId="77777777" w:rsidR="004A457A" w:rsidRPr="004A457A" w:rsidRDefault="004A457A">
            <w:pPr>
              <w:pStyle w:val="11"/>
              <w:jc w:val="center"/>
              <w:rPr>
                <w:rFonts w:cs="Times New Roman"/>
                <w:sz w:val="24"/>
                <w:szCs w:val="24"/>
              </w:rPr>
            </w:pPr>
            <w:r w:rsidRPr="004A457A">
              <w:rPr>
                <w:rFonts w:cs="Times New Roman"/>
                <w:sz w:val="24"/>
                <w:szCs w:val="24"/>
              </w:rPr>
              <w:t>100,0</w:t>
            </w:r>
          </w:p>
        </w:tc>
        <w:tc>
          <w:tcPr>
            <w:tcW w:w="1950" w:type="dxa"/>
          </w:tcPr>
          <w:p w14:paraId="4323F37C" w14:textId="77777777" w:rsidR="004A457A" w:rsidRPr="004A457A" w:rsidRDefault="004A457A">
            <w:pPr>
              <w:pStyle w:val="11"/>
              <w:jc w:val="center"/>
              <w:rPr>
                <w:rFonts w:cs="Times New Roman"/>
                <w:sz w:val="24"/>
                <w:szCs w:val="24"/>
              </w:rPr>
            </w:pPr>
            <w:r w:rsidRPr="004A457A">
              <w:rPr>
                <w:rFonts w:cs="Times New Roman"/>
                <w:sz w:val="24"/>
                <w:szCs w:val="24"/>
              </w:rPr>
              <w:t>100,0</w:t>
            </w:r>
          </w:p>
        </w:tc>
      </w:tr>
    </w:tbl>
    <w:p w14:paraId="2E18BC71" w14:textId="77777777" w:rsidR="004A457A" w:rsidRPr="009645F9" w:rsidRDefault="004A457A" w:rsidP="004A457A">
      <w:pPr>
        <w:pStyle w:val="11"/>
        <w:rPr>
          <w:rFonts w:cs="Times New Roman"/>
          <w:sz w:val="16"/>
          <w:szCs w:val="16"/>
        </w:rPr>
      </w:pPr>
    </w:p>
    <w:p w14:paraId="0601FD97" w14:textId="77777777" w:rsidR="004A457A" w:rsidRPr="00732BB1" w:rsidRDefault="004A457A" w:rsidP="004A457A">
      <w:pPr>
        <w:pStyle w:val="11"/>
        <w:rPr>
          <w:rFonts w:cs="Times New Roman"/>
          <w:sz w:val="20"/>
          <w:szCs w:val="20"/>
        </w:rPr>
      </w:pPr>
      <w:r w:rsidRPr="00732BB1">
        <w:rPr>
          <w:rFonts w:cs="Times New Roman"/>
          <w:i/>
          <w:sz w:val="20"/>
          <w:szCs w:val="20"/>
        </w:rPr>
        <w:t>Источник</w:t>
      </w:r>
      <w:r w:rsidRPr="00732BB1">
        <w:rPr>
          <w:rFonts w:cs="Times New Roman"/>
          <w:sz w:val="20"/>
          <w:szCs w:val="20"/>
        </w:rPr>
        <w:t xml:space="preserve">: составлено по данным табл. 4.4 Пояснительной записки </w:t>
      </w:r>
      <w:r w:rsidRPr="00732BB1">
        <w:rPr>
          <w:sz w:val="20"/>
          <w:szCs w:val="20"/>
        </w:rPr>
        <w:t xml:space="preserve">к проекту федерального закона «О федеральном </w:t>
      </w:r>
      <w:proofErr w:type="gramStart"/>
      <w:r w:rsidRPr="00732BB1">
        <w:rPr>
          <w:sz w:val="20"/>
          <w:szCs w:val="20"/>
        </w:rPr>
        <w:t>бюджете</w:t>
      </w:r>
      <w:proofErr w:type="gramEnd"/>
      <w:r w:rsidRPr="00732BB1">
        <w:rPr>
          <w:sz w:val="20"/>
          <w:szCs w:val="20"/>
        </w:rPr>
        <w:t xml:space="preserve"> на 2023 год и на плановый </w:t>
      </w:r>
      <w:r w:rsidRPr="00732BB1">
        <w:rPr>
          <w:rFonts w:cs="Times New Roman"/>
          <w:sz w:val="20"/>
          <w:szCs w:val="20"/>
        </w:rPr>
        <w:t>период 2024 и 2025 годов».</w:t>
      </w:r>
    </w:p>
    <w:p w14:paraId="156A48B9" w14:textId="77777777" w:rsidR="004A457A" w:rsidRPr="007B14DF" w:rsidRDefault="004A457A" w:rsidP="004A457A">
      <w:pPr>
        <w:pStyle w:val="11"/>
        <w:rPr>
          <w:rFonts w:cs="Times New Roman"/>
          <w:sz w:val="16"/>
          <w:szCs w:val="16"/>
        </w:rPr>
      </w:pPr>
    </w:p>
    <w:p w14:paraId="2974A3E5" w14:textId="75493B97" w:rsidR="004A457A" w:rsidRDefault="004A457A" w:rsidP="00742EF3">
      <w:pPr>
        <w:pStyle w:val="Style1"/>
        <w:spacing w:line="360" w:lineRule="auto"/>
      </w:pPr>
      <w:r>
        <w:t xml:space="preserve">Думается, основные приоритеты </w:t>
      </w:r>
      <w:proofErr w:type="gramStart"/>
      <w:r>
        <w:t>расставлены</w:t>
      </w:r>
      <w:proofErr w:type="gramEnd"/>
      <w:r>
        <w:t xml:space="preserve"> верно: социальная политика, национальная оборона, национальная экономика. А вот динамика расходов вызывает вопросы (табл</w:t>
      </w:r>
      <w:r w:rsidR="00732BB1">
        <w:t xml:space="preserve">ица </w:t>
      </w:r>
      <w:r w:rsidR="00901ACF">
        <w:t>9</w:t>
      </w:r>
      <w:r>
        <w:t xml:space="preserve">). </w:t>
      </w:r>
    </w:p>
    <w:p w14:paraId="7AC054FD" w14:textId="77777777" w:rsidR="004A457A" w:rsidRPr="009842AC" w:rsidRDefault="004A457A" w:rsidP="004A457A">
      <w:pPr>
        <w:pStyle w:val="Style1"/>
        <w:rPr>
          <w:sz w:val="16"/>
          <w:szCs w:val="16"/>
        </w:rPr>
      </w:pPr>
    </w:p>
    <w:p w14:paraId="3F897515" w14:textId="6C9EA513" w:rsidR="004A457A" w:rsidRDefault="004A457A" w:rsidP="00732BB1">
      <w:pPr>
        <w:pStyle w:val="Style1"/>
        <w:spacing w:line="240" w:lineRule="auto"/>
        <w:ind w:firstLine="0"/>
        <w:rPr>
          <w:bCs/>
          <w:szCs w:val="28"/>
        </w:rPr>
      </w:pPr>
      <w:r w:rsidRPr="00732BB1">
        <w:rPr>
          <w:bCs/>
          <w:szCs w:val="28"/>
        </w:rPr>
        <w:t xml:space="preserve">Таблица </w:t>
      </w:r>
      <w:r w:rsidR="00901ACF">
        <w:rPr>
          <w:bCs/>
          <w:szCs w:val="28"/>
        </w:rPr>
        <w:t>9</w:t>
      </w:r>
      <w:r w:rsidR="00732BB1">
        <w:rPr>
          <w:bCs/>
          <w:szCs w:val="28"/>
        </w:rPr>
        <w:t xml:space="preserve"> - </w:t>
      </w:r>
      <w:r w:rsidRPr="00732BB1">
        <w:rPr>
          <w:bCs/>
          <w:szCs w:val="28"/>
        </w:rPr>
        <w:t>Ранжирование статей расходов федерального бюджета в порядке убывания отношения среднегодовой величины расходов в 2023</w:t>
      </w:r>
      <w:r w:rsidRPr="00732BB1">
        <w:rPr>
          <w:bCs/>
          <w:szCs w:val="28"/>
        </w:rPr>
        <w:noBreakHyphen/>
        <w:t>2024 г</w:t>
      </w:r>
      <w:r w:rsidR="00732BB1">
        <w:rPr>
          <w:bCs/>
          <w:szCs w:val="28"/>
        </w:rPr>
        <w:t>одах</w:t>
      </w:r>
      <w:r w:rsidRPr="00732BB1">
        <w:rPr>
          <w:bCs/>
          <w:szCs w:val="28"/>
        </w:rPr>
        <w:t xml:space="preserve"> к величине расходов 2022 г</w:t>
      </w:r>
      <w:r w:rsidR="00732BB1">
        <w:rPr>
          <w:bCs/>
          <w:szCs w:val="28"/>
        </w:rPr>
        <w:t>ода</w:t>
      </w:r>
      <w:r w:rsidRPr="00732BB1">
        <w:rPr>
          <w:bCs/>
          <w:szCs w:val="28"/>
        </w:rPr>
        <w:t>, %</w:t>
      </w:r>
    </w:p>
    <w:p w14:paraId="19A303B5" w14:textId="77777777" w:rsidR="00732BB1" w:rsidRPr="00732BB1" w:rsidRDefault="00732BB1" w:rsidP="00732BB1">
      <w:pPr>
        <w:pStyle w:val="Style1"/>
        <w:spacing w:line="240" w:lineRule="auto"/>
        <w:ind w:firstLine="0"/>
        <w:jc w:val="left"/>
        <w:rPr>
          <w:bCs/>
          <w:szCs w:val="28"/>
        </w:rPr>
      </w:pPr>
    </w:p>
    <w:tbl>
      <w:tblPr>
        <w:tblStyle w:val="ae"/>
        <w:tblW w:w="0" w:type="auto"/>
        <w:tblLook w:val="04A0" w:firstRow="1" w:lastRow="0" w:firstColumn="1" w:lastColumn="0" w:noHBand="0" w:noVBand="1"/>
      </w:tblPr>
      <w:tblGrid>
        <w:gridCol w:w="1101"/>
        <w:gridCol w:w="6378"/>
        <w:gridCol w:w="2092"/>
      </w:tblGrid>
      <w:tr w:rsidR="004A457A" w:rsidRPr="004A457A" w14:paraId="3D631CC4" w14:textId="77777777">
        <w:tc>
          <w:tcPr>
            <w:tcW w:w="1101" w:type="dxa"/>
          </w:tcPr>
          <w:p w14:paraId="175D742F" w14:textId="77777777" w:rsidR="004A457A" w:rsidRPr="004A457A" w:rsidRDefault="004A457A">
            <w:pPr>
              <w:pStyle w:val="Style1"/>
              <w:ind w:firstLine="0"/>
              <w:rPr>
                <w:b/>
                <w:sz w:val="24"/>
                <w:szCs w:val="24"/>
              </w:rPr>
            </w:pPr>
            <w:r w:rsidRPr="004A457A">
              <w:rPr>
                <w:b/>
                <w:sz w:val="24"/>
                <w:szCs w:val="24"/>
              </w:rPr>
              <w:t>Место</w:t>
            </w:r>
          </w:p>
        </w:tc>
        <w:tc>
          <w:tcPr>
            <w:tcW w:w="6378" w:type="dxa"/>
          </w:tcPr>
          <w:p w14:paraId="773EE279" w14:textId="77777777" w:rsidR="004A457A" w:rsidRPr="004A457A" w:rsidRDefault="004A457A">
            <w:pPr>
              <w:pStyle w:val="Style1"/>
              <w:ind w:firstLine="0"/>
              <w:rPr>
                <w:b/>
                <w:sz w:val="24"/>
                <w:szCs w:val="24"/>
              </w:rPr>
            </w:pPr>
            <w:r w:rsidRPr="004A457A">
              <w:rPr>
                <w:b/>
                <w:sz w:val="24"/>
                <w:szCs w:val="24"/>
              </w:rPr>
              <w:t>Раздел классификации расходов</w:t>
            </w:r>
          </w:p>
        </w:tc>
        <w:tc>
          <w:tcPr>
            <w:tcW w:w="2092" w:type="dxa"/>
          </w:tcPr>
          <w:p w14:paraId="42832D06" w14:textId="77777777" w:rsidR="004A457A" w:rsidRPr="004A457A" w:rsidRDefault="004A457A">
            <w:pPr>
              <w:pStyle w:val="Style1"/>
              <w:ind w:firstLine="0"/>
              <w:rPr>
                <w:b/>
                <w:sz w:val="24"/>
                <w:szCs w:val="24"/>
              </w:rPr>
            </w:pPr>
            <w:r w:rsidRPr="004A457A">
              <w:rPr>
                <w:b/>
                <w:sz w:val="24"/>
                <w:szCs w:val="24"/>
              </w:rPr>
              <w:t>Отношение, %</w:t>
            </w:r>
          </w:p>
        </w:tc>
      </w:tr>
      <w:tr w:rsidR="004A457A" w:rsidRPr="004A457A" w14:paraId="03D6CF62" w14:textId="77777777">
        <w:tc>
          <w:tcPr>
            <w:tcW w:w="1101" w:type="dxa"/>
          </w:tcPr>
          <w:p w14:paraId="1E536006" w14:textId="77777777" w:rsidR="004A457A" w:rsidRPr="004A457A" w:rsidRDefault="004A457A">
            <w:pPr>
              <w:pStyle w:val="Style1"/>
              <w:ind w:firstLine="0"/>
              <w:rPr>
                <w:sz w:val="24"/>
                <w:szCs w:val="24"/>
              </w:rPr>
            </w:pPr>
            <w:r w:rsidRPr="004A457A">
              <w:rPr>
                <w:sz w:val="24"/>
                <w:szCs w:val="24"/>
              </w:rPr>
              <w:t>1</w:t>
            </w:r>
          </w:p>
        </w:tc>
        <w:tc>
          <w:tcPr>
            <w:tcW w:w="6378" w:type="dxa"/>
          </w:tcPr>
          <w:p w14:paraId="7F979154" w14:textId="77777777" w:rsidR="004A457A" w:rsidRPr="004A457A" w:rsidRDefault="004A457A">
            <w:pPr>
              <w:pStyle w:val="Style1"/>
              <w:ind w:firstLine="0"/>
              <w:rPr>
                <w:sz w:val="24"/>
                <w:szCs w:val="24"/>
              </w:rPr>
            </w:pPr>
            <w:r w:rsidRPr="004A457A">
              <w:rPr>
                <w:sz w:val="24"/>
                <w:szCs w:val="24"/>
              </w:rPr>
              <w:t>Национальная безопасность и правоохранительная деятельность</w:t>
            </w:r>
          </w:p>
        </w:tc>
        <w:tc>
          <w:tcPr>
            <w:tcW w:w="2092" w:type="dxa"/>
          </w:tcPr>
          <w:p w14:paraId="74AF4AD5" w14:textId="77777777" w:rsidR="004A457A" w:rsidRPr="004A457A" w:rsidRDefault="004A457A">
            <w:pPr>
              <w:pStyle w:val="Style1"/>
              <w:ind w:firstLine="0"/>
              <w:jc w:val="center"/>
              <w:rPr>
                <w:sz w:val="24"/>
                <w:szCs w:val="24"/>
              </w:rPr>
            </w:pPr>
            <w:r w:rsidRPr="004A457A">
              <w:rPr>
                <w:sz w:val="24"/>
                <w:szCs w:val="24"/>
              </w:rPr>
              <w:t>156,5</w:t>
            </w:r>
          </w:p>
        </w:tc>
      </w:tr>
      <w:tr w:rsidR="004A457A" w:rsidRPr="004A457A" w14:paraId="46E99967" w14:textId="77777777">
        <w:tc>
          <w:tcPr>
            <w:tcW w:w="1101" w:type="dxa"/>
          </w:tcPr>
          <w:p w14:paraId="62DE9BC5" w14:textId="77777777" w:rsidR="004A457A" w:rsidRPr="004A457A" w:rsidRDefault="004A457A">
            <w:pPr>
              <w:pStyle w:val="Style1"/>
              <w:ind w:firstLine="0"/>
              <w:rPr>
                <w:sz w:val="24"/>
                <w:szCs w:val="24"/>
              </w:rPr>
            </w:pPr>
            <w:r w:rsidRPr="004A457A">
              <w:rPr>
                <w:sz w:val="24"/>
                <w:szCs w:val="24"/>
              </w:rPr>
              <w:t>2</w:t>
            </w:r>
          </w:p>
        </w:tc>
        <w:tc>
          <w:tcPr>
            <w:tcW w:w="6378" w:type="dxa"/>
          </w:tcPr>
          <w:p w14:paraId="110AC51D" w14:textId="77777777" w:rsidR="004A457A" w:rsidRPr="004A457A" w:rsidRDefault="004A457A">
            <w:pPr>
              <w:pStyle w:val="Style1"/>
              <w:ind w:firstLine="0"/>
              <w:rPr>
                <w:sz w:val="24"/>
                <w:szCs w:val="24"/>
              </w:rPr>
            </w:pPr>
            <w:r w:rsidRPr="004A457A">
              <w:rPr>
                <w:sz w:val="24"/>
                <w:szCs w:val="24"/>
              </w:rPr>
              <w:t>Обслуживание государственного (муниципального) долга</w:t>
            </w:r>
          </w:p>
        </w:tc>
        <w:tc>
          <w:tcPr>
            <w:tcW w:w="2092" w:type="dxa"/>
          </w:tcPr>
          <w:p w14:paraId="65389644" w14:textId="77777777" w:rsidR="004A457A" w:rsidRPr="004A457A" w:rsidRDefault="004A457A">
            <w:pPr>
              <w:pStyle w:val="Style1"/>
              <w:ind w:firstLine="0"/>
              <w:jc w:val="center"/>
              <w:rPr>
                <w:sz w:val="24"/>
                <w:szCs w:val="24"/>
              </w:rPr>
            </w:pPr>
            <w:r w:rsidRPr="004A457A">
              <w:rPr>
                <w:sz w:val="24"/>
                <w:szCs w:val="24"/>
              </w:rPr>
              <w:t>119,3</w:t>
            </w:r>
          </w:p>
        </w:tc>
      </w:tr>
      <w:tr w:rsidR="004A457A" w:rsidRPr="004A457A" w14:paraId="2D29FF47" w14:textId="77777777">
        <w:tc>
          <w:tcPr>
            <w:tcW w:w="1101" w:type="dxa"/>
          </w:tcPr>
          <w:p w14:paraId="0AAED113" w14:textId="77777777" w:rsidR="004A457A" w:rsidRPr="004A457A" w:rsidRDefault="004A457A">
            <w:pPr>
              <w:pStyle w:val="Style1"/>
              <w:ind w:firstLine="0"/>
              <w:rPr>
                <w:sz w:val="24"/>
                <w:szCs w:val="24"/>
              </w:rPr>
            </w:pPr>
            <w:r w:rsidRPr="004A457A">
              <w:rPr>
                <w:sz w:val="24"/>
                <w:szCs w:val="24"/>
              </w:rPr>
              <w:t>3</w:t>
            </w:r>
          </w:p>
        </w:tc>
        <w:tc>
          <w:tcPr>
            <w:tcW w:w="6378" w:type="dxa"/>
          </w:tcPr>
          <w:p w14:paraId="6F977268" w14:textId="77777777" w:rsidR="004A457A" w:rsidRPr="004A457A" w:rsidRDefault="004A457A">
            <w:pPr>
              <w:pStyle w:val="Style1"/>
              <w:ind w:firstLine="0"/>
              <w:rPr>
                <w:sz w:val="24"/>
                <w:szCs w:val="24"/>
              </w:rPr>
            </w:pPr>
            <w:r w:rsidRPr="004A457A">
              <w:rPr>
                <w:sz w:val="24"/>
                <w:szCs w:val="24"/>
              </w:rPr>
              <w:t>Социальная политика</w:t>
            </w:r>
          </w:p>
        </w:tc>
        <w:tc>
          <w:tcPr>
            <w:tcW w:w="2092" w:type="dxa"/>
          </w:tcPr>
          <w:p w14:paraId="200CFBF1" w14:textId="77777777" w:rsidR="004A457A" w:rsidRPr="004A457A" w:rsidRDefault="004A457A">
            <w:pPr>
              <w:pStyle w:val="Style1"/>
              <w:ind w:firstLine="0"/>
              <w:jc w:val="center"/>
              <w:rPr>
                <w:sz w:val="24"/>
                <w:szCs w:val="24"/>
              </w:rPr>
            </w:pPr>
            <w:r w:rsidRPr="004A457A">
              <w:rPr>
                <w:sz w:val="24"/>
                <w:szCs w:val="24"/>
              </w:rPr>
              <w:t>112,6</w:t>
            </w:r>
          </w:p>
        </w:tc>
      </w:tr>
      <w:tr w:rsidR="004A457A" w:rsidRPr="004A457A" w14:paraId="4FB8BBB9" w14:textId="77777777">
        <w:tc>
          <w:tcPr>
            <w:tcW w:w="1101" w:type="dxa"/>
          </w:tcPr>
          <w:p w14:paraId="3F331F82" w14:textId="77777777" w:rsidR="004A457A" w:rsidRPr="004A457A" w:rsidRDefault="004A457A">
            <w:pPr>
              <w:pStyle w:val="Style1"/>
              <w:ind w:firstLine="0"/>
              <w:rPr>
                <w:sz w:val="24"/>
                <w:szCs w:val="24"/>
              </w:rPr>
            </w:pPr>
            <w:r w:rsidRPr="004A457A">
              <w:rPr>
                <w:sz w:val="24"/>
                <w:szCs w:val="24"/>
              </w:rPr>
              <w:t>4</w:t>
            </w:r>
          </w:p>
        </w:tc>
        <w:tc>
          <w:tcPr>
            <w:tcW w:w="6378" w:type="dxa"/>
          </w:tcPr>
          <w:p w14:paraId="274C9A77" w14:textId="77777777" w:rsidR="004A457A" w:rsidRPr="004A457A" w:rsidRDefault="004A457A">
            <w:pPr>
              <w:pStyle w:val="Style1"/>
              <w:ind w:firstLine="0"/>
              <w:rPr>
                <w:sz w:val="24"/>
                <w:szCs w:val="24"/>
              </w:rPr>
            </w:pPr>
            <w:r w:rsidRPr="004A457A">
              <w:rPr>
                <w:sz w:val="24"/>
                <w:szCs w:val="24"/>
              </w:rPr>
              <w:t>Межбюджетные трансферты общего характера бюджетам бюджетной системы РФ</w:t>
            </w:r>
          </w:p>
        </w:tc>
        <w:tc>
          <w:tcPr>
            <w:tcW w:w="2092" w:type="dxa"/>
          </w:tcPr>
          <w:p w14:paraId="40CE91B6" w14:textId="77777777" w:rsidR="004A457A" w:rsidRPr="004A457A" w:rsidRDefault="004A457A">
            <w:pPr>
              <w:pStyle w:val="Style1"/>
              <w:ind w:firstLine="0"/>
              <w:jc w:val="center"/>
              <w:rPr>
                <w:sz w:val="24"/>
                <w:szCs w:val="24"/>
              </w:rPr>
            </w:pPr>
            <w:r w:rsidRPr="004A457A">
              <w:rPr>
                <w:sz w:val="24"/>
                <w:szCs w:val="24"/>
              </w:rPr>
              <w:t>103,5</w:t>
            </w:r>
          </w:p>
        </w:tc>
      </w:tr>
      <w:tr w:rsidR="004A457A" w:rsidRPr="004A457A" w14:paraId="2D4B96CC" w14:textId="77777777">
        <w:tc>
          <w:tcPr>
            <w:tcW w:w="1101" w:type="dxa"/>
          </w:tcPr>
          <w:p w14:paraId="7D06826B" w14:textId="77777777" w:rsidR="004A457A" w:rsidRPr="004A457A" w:rsidRDefault="004A457A">
            <w:pPr>
              <w:pStyle w:val="Style1"/>
              <w:ind w:firstLine="0"/>
              <w:rPr>
                <w:sz w:val="24"/>
                <w:szCs w:val="24"/>
              </w:rPr>
            </w:pPr>
            <w:r w:rsidRPr="004A457A">
              <w:rPr>
                <w:sz w:val="24"/>
                <w:szCs w:val="24"/>
              </w:rPr>
              <w:t>5</w:t>
            </w:r>
          </w:p>
        </w:tc>
        <w:tc>
          <w:tcPr>
            <w:tcW w:w="6378" w:type="dxa"/>
          </w:tcPr>
          <w:p w14:paraId="7DC63762" w14:textId="77777777" w:rsidR="004A457A" w:rsidRPr="004A457A" w:rsidRDefault="004A457A">
            <w:pPr>
              <w:pStyle w:val="Style1"/>
              <w:ind w:firstLine="0"/>
              <w:rPr>
                <w:sz w:val="24"/>
                <w:szCs w:val="24"/>
              </w:rPr>
            </w:pPr>
            <w:r w:rsidRPr="004A457A">
              <w:rPr>
                <w:sz w:val="24"/>
                <w:szCs w:val="24"/>
              </w:rPr>
              <w:t>Образование</w:t>
            </w:r>
          </w:p>
        </w:tc>
        <w:tc>
          <w:tcPr>
            <w:tcW w:w="2092" w:type="dxa"/>
          </w:tcPr>
          <w:p w14:paraId="384795D3" w14:textId="77777777" w:rsidR="004A457A" w:rsidRPr="004A457A" w:rsidRDefault="004A457A">
            <w:pPr>
              <w:pStyle w:val="Style1"/>
              <w:ind w:firstLine="0"/>
              <w:jc w:val="center"/>
              <w:rPr>
                <w:sz w:val="24"/>
                <w:szCs w:val="24"/>
              </w:rPr>
            </w:pPr>
            <w:r w:rsidRPr="004A457A">
              <w:rPr>
                <w:sz w:val="24"/>
                <w:szCs w:val="24"/>
              </w:rPr>
              <w:t>101,7</w:t>
            </w:r>
          </w:p>
        </w:tc>
      </w:tr>
      <w:tr w:rsidR="004A457A" w:rsidRPr="004A457A" w14:paraId="55F00748" w14:textId="77777777">
        <w:tc>
          <w:tcPr>
            <w:tcW w:w="1101" w:type="dxa"/>
          </w:tcPr>
          <w:p w14:paraId="47E4CD1A" w14:textId="77777777" w:rsidR="004A457A" w:rsidRPr="004A457A" w:rsidRDefault="004A457A">
            <w:pPr>
              <w:pStyle w:val="Style1"/>
              <w:ind w:firstLine="0"/>
              <w:rPr>
                <w:sz w:val="24"/>
                <w:szCs w:val="24"/>
              </w:rPr>
            </w:pPr>
            <w:r w:rsidRPr="004A457A">
              <w:rPr>
                <w:sz w:val="24"/>
                <w:szCs w:val="24"/>
              </w:rPr>
              <w:t>6</w:t>
            </w:r>
          </w:p>
        </w:tc>
        <w:tc>
          <w:tcPr>
            <w:tcW w:w="6378" w:type="dxa"/>
          </w:tcPr>
          <w:p w14:paraId="2F9D32BE" w14:textId="77777777" w:rsidR="004A457A" w:rsidRPr="004A457A" w:rsidRDefault="004A457A">
            <w:pPr>
              <w:pStyle w:val="Style1"/>
              <w:ind w:firstLine="0"/>
              <w:rPr>
                <w:sz w:val="24"/>
                <w:szCs w:val="24"/>
              </w:rPr>
            </w:pPr>
            <w:r w:rsidRPr="004A457A">
              <w:rPr>
                <w:sz w:val="24"/>
                <w:szCs w:val="24"/>
              </w:rPr>
              <w:t>Национальная оборона</w:t>
            </w:r>
          </w:p>
        </w:tc>
        <w:tc>
          <w:tcPr>
            <w:tcW w:w="2092" w:type="dxa"/>
          </w:tcPr>
          <w:p w14:paraId="3CB063C3" w14:textId="77777777" w:rsidR="004A457A" w:rsidRPr="004A457A" w:rsidRDefault="004A457A">
            <w:pPr>
              <w:pStyle w:val="Style1"/>
              <w:ind w:firstLine="0"/>
              <w:jc w:val="center"/>
              <w:rPr>
                <w:sz w:val="24"/>
                <w:szCs w:val="24"/>
              </w:rPr>
            </w:pPr>
            <w:r w:rsidRPr="004A457A">
              <w:rPr>
                <w:sz w:val="24"/>
                <w:szCs w:val="24"/>
              </w:rPr>
              <w:t>98,6</w:t>
            </w:r>
          </w:p>
        </w:tc>
      </w:tr>
      <w:tr w:rsidR="004A457A" w:rsidRPr="004A457A" w14:paraId="65D92BD0" w14:textId="77777777">
        <w:tc>
          <w:tcPr>
            <w:tcW w:w="1101" w:type="dxa"/>
          </w:tcPr>
          <w:p w14:paraId="74542E05" w14:textId="77777777" w:rsidR="004A457A" w:rsidRPr="004A457A" w:rsidRDefault="004A457A">
            <w:pPr>
              <w:pStyle w:val="Style1"/>
              <w:ind w:firstLine="0"/>
              <w:rPr>
                <w:sz w:val="24"/>
                <w:szCs w:val="24"/>
              </w:rPr>
            </w:pPr>
            <w:r w:rsidRPr="004A457A">
              <w:rPr>
                <w:sz w:val="24"/>
                <w:szCs w:val="24"/>
              </w:rPr>
              <w:t>7</w:t>
            </w:r>
          </w:p>
        </w:tc>
        <w:tc>
          <w:tcPr>
            <w:tcW w:w="6378" w:type="dxa"/>
          </w:tcPr>
          <w:p w14:paraId="5C765FFD" w14:textId="77777777" w:rsidR="004A457A" w:rsidRPr="004A457A" w:rsidRDefault="004A457A">
            <w:pPr>
              <w:pStyle w:val="Style1"/>
              <w:ind w:firstLine="0"/>
              <w:rPr>
                <w:sz w:val="24"/>
                <w:szCs w:val="24"/>
              </w:rPr>
            </w:pPr>
            <w:r w:rsidRPr="004A457A">
              <w:rPr>
                <w:sz w:val="24"/>
                <w:szCs w:val="24"/>
              </w:rPr>
              <w:t>Здравоохранение</w:t>
            </w:r>
          </w:p>
        </w:tc>
        <w:tc>
          <w:tcPr>
            <w:tcW w:w="2092" w:type="dxa"/>
          </w:tcPr>
          <w:p w14:paraId="444D5596" w14:textId="77777777" w:rsidR="004A457A" w:rsidRPr="004A457A" w:rsidRDefault="004A457A">
            <w:pPr>
              <w:pStyle w:val="Style1"/>
              <w:ind w:firstLine="0"/>
              <w:jc w:val="center"/>
              <w:rPr>
                <w:sz w:val="24"/>
                <w:szCs w:val="24"/>
              </w:rPr>
            </w:pPr>
            <w:r w:rsidRPr="004A457A">
              <w:rPr>
                <w:sz w:val="24"/>
                <w:szCs w:val="24"/>
              </w:rPr>
              <w:t>97,3</w:t>
            </w:r>
          </w:p>
        </w:tc>
      </w:tr>
      <w:tr w:rsidR="004A457A" w:rsidRPr="004A457A" w14:paraId="2E73343B" w14:textId="77777777">
        <w:tc>
          <w:tcPr>
            <w:tcW w:w="1101" w:type="dxa"/>
          </w:tcPr>
          <w:p w14:paraId="5772BFF9" w14:textId="77777777" w:rsidR="004A457A" w:rsidRPr="004A457A" w:rsidRDefault="004A457A">
            <w:pPr>
              <w:pStyle w:val="Style1"/>
              <w:ind w:firstLine="0"/>
              <w:rPr>
                <w:sz w:val="24"/>
                <w:szCs w:val="24"/>
              </w:rPr>
            </w:pPr>
            <w:r w:rsidRPr="004A457A">
              <w:rPr>
                <w:sz w:val="24"/>
                <w:szCs w:val="24"/>
              </w:rPr>
              <w:t>8</w:t>
            </w:r>
          </w:p>
        </w:tc>
        <w:tc>
          <w:tcPr>
            <w:tcW w:w="6378" w:type="dxa"/>
          </w:tcPr>
          <w:p w14:paraId="683BA57F" w14:textId="77777777" w:rsidR="004A457A" w:rsidRPr="004A457A" w:rsidRDefault="004A457A">
            <w:pPr>
              <w:pStyle w:val="Style1"/>
              <w:ind w:firstLine="0"/>
              <w:rPr>
                <w:sz w:val="24"/>
                <w:szCs w:val="24"/>
              </w:rPr>
            </w:pPr>
            <w:r w:rsidRPr="004A457A">
              <w:rPr>
                <w:sz w:val="24"/>
                <w:szCs w:val="24"/>
              </w:rPr>
              <w:t>Здравоохранение</w:t>
            </w:r>
          </w:p>
        </w:tc>
        <w:tc>
          <w:tcPr>
            <w:tcW w:w="2092" w:type="dxa"/>
          </w:tcPr>
          <w:p w14:paraId="5348E482" w14:textId="77777777" w:rsidR="004A457A" w:rsidRPr="004A457A" w:rsidRDefault="004A457A">
            <w:pPr>
              <w:pStyle w:val="Style1"/>
              <w:ind w:firstLine="0"/>
              <w:jc w:val="center"/>
              <w:rPr>
                <w:sz w:val="24"/>
                <w:szCs w:val="24"/>
              </w:rPr>
            </w:pPr>
            <w:r w:rsidRPr="004A457A">
              <w:rPr>
                <w:sz w:val="24"/>
                <w:szCs w:val="24"/>
              </w:rPr>
              <w:t>93,0</w:t>
            </w:r>
          </w:p>
        </w:tc>
      </w:tr>
      <w:tr w:rsidR="004A457A" w:rsidRPr="004A457A" w14:paraId="001C06A3" w14:textId="77777777">
        <w:tc>
          <w:tcPr>
            <w:tcW w:w="1101" w:type="dxa"/>
          </w:tcPr>
          <w:p w14:paraId="14A78F95" w14:textId="77777777" w:rsidR="004A457A" w:rsidRPr="004A457A" w:rsidRDefault="004A457A">
            <w:pPr>
              <w:pStyle w:val="Style1"/>
              <w:ind w:firstLine="0"/>
              <w:rPr>
                <w:sz w:val="24"/>
                <w:szCs w:val="24"/>
              </w:rPr>
            </w:pPr>
            <w:r w:rsidRPr="004A457A">
              <w:rPr>
                <w:sz w:val="24"/>
                <w:szCs w:val="24"/>
              </w:rPr>
              <w:t>9</w:t>
            </w:r>
          </w:p>
        </w:tc>
        <w:tc>
          <w:tcPr>
            <w:tcW w:w="6378" w:type="dxa"/>
          </w:tcPr>
          <w:p w14:paraId="7B3BF9ED" w14:textId="77777777" w:rsidR="004A457A" w:rsidRPr="004A457A" w:rsidRDefault="004A457A">
            <w:pPr>
              <w:pStyle w:val="Style1"/>
              <w:ind w:firstLine="0"/>
              <w:rPr>
                <w:sz w:val="24"/>
                <w:szCs w:val="24"/>
              </w:rPr>
            </w:pPr>
            <w:r w:rsidRPr="004A457A">
              <w:rPr>
                <w:sz w:val="24"/>
                <w:szCs w:val="24"/>
              </w:rPr>
              <w:t>Средства массовой информации</w:t>
            </w:r>
          </w:p>
        </w:tc>
        <w:tc>
          <w:tcPr>
            <w:tcW w:w="2092" w:type="dxa"/>
          </w:tcPr>
          <w:p w14:paraId="46EFFF25" w14:textId="77777777" w:rsidR="004A457A" w:rsidRPr="004A457A" w:rsidRDefault="004A457A">
            <w:pPr>
              <w:pStyle w:val="Style1"/>
              <w:ind w:firstLine="0"/>
              <w:jc w:val="center"/>
              <w:rPr>
                <w:sz w:val="24"/>
                <w:szCs w:val="24"/>
              </w:rPr>
            </w:pPr>
            <w:r w:rsidRPr="004A457A">
              <w:rPr>
                <w:sz w:val="24"/>
                <w:szCs w:val="24"/>
              </w:rPr>
              <w:t>87,3</w:t>
            </w:r>
          </w:p>
        </w:tc>
      </w:tr>
      <w:tr w:rsidR="004A457A" w:rsidRPr="004A457A" w14:paraId="5BE16E87" w14:textId="77777777">
        <w:tc>
          <w:tcPr>
            <w:tcW w:w="1101" w:type="dxa"/>
          </w:tcPr>
          <w:p w14:paraId="4E3746AC" w14:textId="77777777" w:rsidR="004A457A" w:rsidRPr="004A457A" w:rsidRDefault="004A457A">
            <w:pPr>
              <w:pStyle w:val="Style1"/>
              <w:ind w:firstLine="0"/>
              <w:rPr>
                <w:sz w:val="24"/>
                <w:szCs w:val="24"/>
              </w:rPr>
            </w:pPr>
            <w:r w:rsidRPr="004A457A">
              <w:rPr>
                <w:sz w:val="24"/>
                <w:szCs w:val="24"/>
              </w:rPr>
              <w:t>10</w:t>
            </w:r>
          </w:p>
        </w:tc>
        <w:tc>
          <w:tcPr>
            <w:tcW w:w="6378" w:type="dxa"/>
          </w:tcPr>
          <w:p w14:paraId="399F1BD0" w14:textId="77777777" w:rsidR="004A457A" w:rsidRPr="004A457A" w:rsidRDefault="004A457A">
            <w:pPr>
              <w:pStyle w:val="Style1"/>
              <w:ind w:firstLine="0"/>
              <w:rPr>
                <w:sz w:val="24"/>
                <w:szCs w:val="24"/>
              </w:rPr>
            </w:pPr>
            <w:r w:rsidRPr="004A457A">
              <w:rPr>
                <w:sz w:val="24"/>
                <w:szCs w:val="24"/>
              </w:rPr>
              <w:t>Охрана окружающей среды</w:t>
            </w:r>
          </w:p>
        </w:tc>
        <w:tc>
          <w:tcPr>
            <w:tcW w:w="2092" w:type="dxa"/>
          </w:tcPr>
          <w:p w14:paraId="27FACEEF" w14:textId="77777777" w:rsidR="004A457A" w:rsidRPr="004A457A" w:rsidRDefault="004A457A">
            <w:pPr>
              <w:pStyle w:val="Style1"/>
              <w:ind w:firstLine="0"/>
              <w:jc w:val="center"/>
              <w:rPr>
                <w:sz w:val="24"/>
                <w:szCs w:val="24"/>
              </w:rPr>
            </w:pPr>
            <w:r w:rsidRPr="004A457A">
              <w:rPr>
                <w:sz w:val="24"/>
                <w:szCs w:val="24"/>
              </w:rPr>
              <w:t>86,6</w:t>
            </w:r>
          </w:p>
        </w:tc>
      </w:tr>
      <w:tr w:rsidR="004A457A" w:rsidRPr="004A457A" w14:paraId="746A080F" w14:textId="77777777">
        <w:tc>
          <w:tcPr>
            <w:tcW w:w="1101" w:type="dxa"/>
          </w:tcPr>
          <w:p w14:paraId="725A2AB9" w14:textId="77777777" w:rsidR="004A457A" w:rsidRPr="004A457A" w:rsidRDefault="004A457A">
            <w:pPr>
              <w:pStyle w:val="Style1"/>
              <w:ind w:firstLine="0"/>
              <w:rPr>
                <w:sz w:val="24"/>
                <w:szCs w:val="24"/>
              </w:rPr>
            </w:pPr>
            <w:r w:rsidRPr="004A457A">
              <w:rPr>
                <w:sz w:val="24"/>
                <w:szCs w:val="24"/>
              </w:rPr>
              <w:t>11</w:t>
            </w:r>
          </w:p>
        </w:tc>
        <w:tc>
          <w:tcPr>
            <w:tcW w:w="6378" w:type="dxa"/>
          </w:tcPr>
          <w:p w14:paraId="0825FAD0" w14:textId="77777777" w:rsidR="004A457A" w:rsidRPr="004A457A" w:rsidRDefault="004A457A">
            <w:pPr>
              <w:pStyle w:val="Style1"/>
              <w:ind w:firstLine="0"/>
              <w:rPr>
                <w:sz w:val="24"/>
                <w:szCs w:val="24"/>
              </w:rPr>
            </w:pPr>
            <w:r w:rsidRPr="004A457A">
              <w:rPr>
                <w:sz w:val="24"/>
                <w:szCs w:val="24"/>
              </w:rPr>
              <w:t>Национальная экономика</w:t>
            </w:r>
          </w:p>
        </w:tc>
        <w:tc>
          <w:tcPr>
            <w:tcW w:w="2092" w:type="dxa"/>
          </w:tcPr>
          <w:p w14:paraId="3413BDED" w14:textId="77777777" w:rsidR="004A457A" w:rsidRPr="004A457A" w:rsidRDefault="004A457A">
            <w:pPr>
              <w:pStyle w:val="Style1"/>
              <w:ind w:firstLine="0"/>
              <w:jc w:val="center"/>
              <w:rPr>
                <w:sz w:val="24"/>
                <w:szCs w:val="24"/>
              </w:rPr>
            </w:pPr>
            <w:r w:rsidRPr="004A457A">
              <w:rPr>
                <w:sz w:val="24"/>
                <w:szCs w:val="24"/>
              </w:rPr>
              <w:t>82,3</w:t>
            </w:r>
          </w:p>
        </w:tc>
      </w:tr>
      <w:tr w:rsidR="004A457A" w:rsidRPr="004A457A" w14:paraId="7B61910F" w14:textId="77777777">
        <w:tc>
          <w:tcPr>
            <w:tcW w:w="1101" w:type="dxa"/>
          </w:tcPr>
          <w:p w14:paraId="22C414EC" w14:textId="77777777" w:rsidR="004A457A" w:rsidRPr="004A457A" w:rsidRDefault="004A457A">
            <w:pPr>
              <w:pStyle w:val="Style1"/>
              <w:ind w:firstLine="0"/>
              <w:rPr>
                <w:sz w:val="24"/>
                <w:szCs w:val="24"/>
              </w:rPr>
            </w:pPr>
            <w:r w:rsidRPr="004A457A">
              <w:rPr>
                <w:sz w:val="24"/>
                <w:szCs w:val="24"/>
              </w:rPr>
              <w:t>12</w:t>
            </w:r>
          </w:p>
        </w:tc>
        <w:tc>
          <w:tcPr>
            <w:tcW w:w="6378" w:type="dxa"/>
          </w:tcPr>
          <w:p w14:paraId="576363BF" w14:textId="77777777" w:rsidR="004A457A" w:rsidRPr="004A457A" w:rsidRDefault="004A457A">
            <w:pPr>
              <w:pStyle w:val="Style1"/>
              <w:ind w:firstLine="0"/>
              <w:rPr>
                <w:sz w:val="24"/>
                <w:szCs w:val="24"/>
              </w:rPr>
            </w:pPr>
            <w:r w:rsidRPr="004A457A">
              <w:rPr>
                <w:sz w:val="24"/>
                <w:szCs w:val="24"/>
              </w:rPr>
              <w:t>Жилищно-коммунальное хозяйство</w:t>
            </w:r>
          </w:p>
        </w:tc>
        <w:tc>
          <w:tcPr>
            <w:tcW w:w="2092" w:type="dxa"/>
          </w:tcPr>
          <w:p w14:paraId="1AF67134" w14:textId="77777777" w:rsidR="004A457A" w:rsidRPr="004A457A" w:rsidRDefault="004A457A">
            <w:pPr>
              <w:pStyle w:val="Style1"/>
              <w:ind w:firstLine="0"/>
              <w:jc w:val="center"/>
              <w:rPr>
                <w:sz w:val="24"/>
                <w:szCs w:val="24"/>
              </w:rPr>
            </w:pPr>
            <w:r w:rsidRPr="004A457A">
              <w:rPr>
                <w:sz w:val="24"/>
                <w:szCs w:val="24"/>
              </w:rPr>
              <w:t>74,3</w:t>
            </w:r>
          </w:p>
        </w:tc>
      </w:tr>
      <w:tr w:rsidR="004A457A" w:rsidRPr="004A457A" w14:paraId="5916AC44" w14:textId="77777777">
        <w:tc>
          <w:tcPr>
            <w:tcW w:w="1101" w:type="dxa"/>
          </w:tcPr>
          <w:p w14:paraId="6906DCFD" w14:textId="77777777" w:rsidR="004A457A" w:rsidRPr="004A457A" w:rsidRDefault="004A457A">
            <w:pPr>
              <w:pStyle w:val="Style1"/>
              <w:ind w:firstLine="0"/>
              <w:rPr>
                <w:sz w:val="24"/>
                <w:szCs w:val="24"/>
              </w:rPr>
            </w:pPr>
            <w:r w:rsidRPr="004A457A">
              <w:rPr>
                <w:sz w:val="24"/>
                <w:szCs w:val="24"/>
              </w:rPr>
              <w:t>13</w:t>
            </w:r>
          </w:p>
        </w:tc>
        <w:tc>
          <w:tcPr>
            <w:tcW w:w="6378" w:type="dxa"/>
          </w:tcPr>
          <w:p w14:paraId="4758CF85" w14:textId="77777777" w:rsidR="004A457A" w:rsidRPr="004A457A" w:rsidRDefault="004A457A">
            <w:pPr>
              <w:pStyle w:val="Style1"/>
              <w:ind w:firstLine="0"/>
              <w:rPr>
                <w:sz w:val="24"/>
                <w:szCs w:val="24"/>
              </w:rPr>
            </w:pPr>
            <w:r w:rsidRPr="004A457A">
              <w:rPr>
                <w:sz w:val="24"/>
                <w:szCs w:val="24"/>
              </w:rPr>
              <w:t>Общегосударственные вопросы</w:t>
            </w:r>
          </w:p>
        </w:tc>
        <w:tc>
          <w:tcPr>
            <w:tcW w:w="2092" w:type="dxa"/>
          </w:tcPr>
          <w:p w14:paraId="351DF397" w14:textId="77777777" w:rsidR="004A457A" w:rsidRPr="004A457A" w:rsidRDefault="004A457A">
            <w:pPr>
              <w:pStyle w:val="Style1"/>
              <w:ind w:firstLine="0"/>
              <w:jc w:val="center"/>
              <w:rPr>
                <w:sz w:val="24"/>
                <w:szCs w:val="24"/>
              </w:rPr>
            </w:pPr>
            <w:r w:rsidRPr="004A457A">
              <w:rPr>
                <w:sz w:val="24"/>
                <w:szCs w:val="24"/>
              </w:rPr>
              <w:t>73,8</w:t>
            </w:r>
          </w:p>
        </w:tc>
      </w:tr>
      <w:tr w:rsidR="004A457A" w:rsidRPr="004A457A" w14:paraId="5B66737C" w14:textId="77777777">
        <w:tc>
          <w:tcPr>
            <w:tcW w:w="1101" w:type="dxa"/>
          </w:tcPr>
          <w:p w14:paraId="55DB8052" w14:textId="77777777" w:rsidR="004A457A" w:rsidRPr="004A457A" w:rsidRDefault="004A457A">
            <w:pPr>
              <w:pStyle w:val="Style1"/>
              <w:ind w:firstLine="0"/>
              <w:rPr>
                <w:sz w:val="24"/>
                <w:szCs w:val="24"/>
              </w:rPr>
            </w:pPr>
            <w:r w:rsidRPr="004A457A">
              <w:rPr>
                <w:sz w:val="24"/>
                <w:szCs w:val="24"/>
              </w:rPr>
              <w:t>14</w:t>
            </w:r>
          </w:p>
        </w:tc>
        <w:tc>
          <w:tcPr>
            <w:tcW w:w="6378" w:type="dxa"/>
          </w:tcPr>
          <w:p w14:paraId="60D6BEE6" w14:textId="77777777" w:rsidR="004A457A" w:rsidRPr="004A457A" w:rsidRDefault="004A457A">
            <w:pPr>
              <w:pStyle w:val="Style1"/>
              <w:ind w:firstLine="0"/>
              <w:rPr>
                <w:sz w:val="24"/>
                <w:szCs w:val="24"/>
              </w:rPr>
            </w:pPr>
            <w:r w:rsidRPr="004A457A">
              <w:rPr>
                <w:sz w:val="24"/>
                <w:szCs w:val="24"/>
              </w:rPr>
              <w:t>Физическая культура и спорт</w:t>
            </w:r>
          </w:p>
        </w:tc>
        <w:tc>
          <w:tcPr>
            <w:tcW w:w="2092" w:type="dxa"/>
          </w:tcPr>
          <w:p w14:paraId="29667A16" w14:textId="77777777" w:rsidR="004A457A" w:rsidRPr="004A457A" w:rsidRDefault="004A457A">
            <w:pPr>
              <w:pStyle w:val="Style1"/>
              <w:ind w:firstLine="0"/>
              <w:jc w:val="center"/>
              <w:rPr>
                <w:sz w:val="24"/>
                <w:szCs w:val="24"/>
              </w:rPr>
            </w:pPr>
            <w:r w:rsidRPr="004A457A">
              <w:rPr>
                <w:sz w:val="24"/>
                <w:szCs w:val="24"/>
              </w:rPr>
              <w:t>68,6</w:t>
            </w:r>
          </w:p>
        </w:tc>
      </w:tr>
    </w:tbl>
    <w:p w14:paraId="54B7E674" w14:textId="77777777" w:rsidR="004A457A" w:rsidRPr="00732BB1" w:rsidRDefault="004A457A" w:rsidP="00732BB1">
      <w:pPr>
        <w:pStyle w:val="11"/>
        <w:spacing w:line="240" w:lineRule="auto"/>
        <w:rPr>
          <w:rFonts w:cs="Times New Roman"/>
          <w:sz w:val="20"/>
          <w:szCs w:val="20"/>
        </w:rPr>
      </w:pPr>
      <w:r w:rsidRPr="00732BB1">
        <w:rPr>
          <w:rFonts w:cs="Times New Roman"/>
          <w:i/>
          <w:sz w:val="20"/>
          <w:szCs w:val="20"/>
        </w:rPr>
        <w:t>Источник</w:t>
      </w:r>
      <w:r w:rsidRPr="00732BB1">
        <w:rPr>
          <w:rFonts w:cs="Times New Roman"/>
          <w:sz w:val="20"/>
          <w:szCs w:val="20"/>
        </w:rPr>
        <w:t xml:space="preserve">: составлено по данным табл. 4.4 Пояснительной записки </w:t>
      </w:r>
      <w:r w:rsidRPr="00732BB1">
        <w:rPr>
          <w:sz w:val="20"/>
          <w:szCs w:val="20"/>
        </w:rPr>
        <w:t xml:space="preserve">к проекту федерального закона «О федеральном </w:t>
      </w:r>
      <w:proofErr w:type="gramStart"/>
      <w:r w:rsidRPr="00732BB1">
        <w:rPr>
          <w:sz w:val="20"/>
          <w:szCs w:val="20"/>
        </w:rPr>
        <w:t>бюджете</w:t>
      </w:r>
      <w:proofErr w:type="gramEnd"/>
      <w:r w:rsidRPr="00732BB1">
        <w:rPr>
          <w:sz w:val="20"/>
          <w:szCs w:val="20"/>
        </w:rPr>
        <w:t xml:space="preserve"> на 2023 год и на плановый </w:t>
      </w:r>
      <w:r w:rsidRPr="00732BB1">
        <w:rPr>
          <w:rFonts w:cs="Times New Roman"/>
          <w:sz w:val="20"/>
          <w:szCs w:val="20"/>
        </w:rPr>
        <w:t>период 2024 и 2025 годов».</w:t>
      </w:r>
    </w:p>
    <w:p w14:paraId="2E10CF00" w14:textId="77777777" w:rsidR="004A457A" w:rsidRPr="007B14DF" w:rsidRDefault="004A457A" w:rsidP="004A457A">
      <w:pPr>
        <w:pStyle w:val="11"/>
        <w:rPr>
          <w:rFonts w:cs="Times New Roman"/>
          <w:sz w:val="16"/>
          <w:szCs w:val="16"/>
        </w:rPr>
      </w:pPr>
    </w:p>
    <w:p w14:paraId="55E20B31" w14:textId="49EB47B3" w:rsidR="004A457A" w:rsidRDefault="00742EF3" w:rsidP="00742EF3">
      <w:pPr>
        <w:pStyle w:val="Style1"/>
        <w:spacing w:line="360" w:lineRule="auto"/>
      </w:pPr>
      <w:r>
        <w:t xml:space="preserve">Из таблицы </w:t>
      </w:r>
      <w:r w:rsidR="00901ACF">
        <w:t>9</w:t>
      </w:r>
      <w:r>
        <w:t xml:space="preserve"> следует, что </w:t>
      </w:r>
      <w:r w:rsidR="004A457A">
        <w:t>о</w:t>
      </w:r>
      <w:r w:rsidR="004A457A" w:rsidRPr="009842AC">
        <w:t>бслуживание государственного (муниципального) долга</w:t>
      </w:r>
      <w:r w:rsidR="004A457A">
        <w:t xml:space="preserve"> </w:t>
      </w:r>
      <w:r>
        <w:t>располагается рангом выше</w:t>
      </w:r>
      <w:r w:rsidR="004A457A">
        <w:t xml:space="preserve"> социальной политики</w:t>
      </w:r>
      <w:r>
        <w:t>.</w:t>
      </w:r>
      <w:r w:rsidR="004A457A">
        <w:t xml:space="preserve"> </w:t>
      </w:r>
      <w:r>
        <w:t>Вызывает вопрос тот факт, что в</w:t>
      </w:r>
      <w:r w:rsidR="004A457A">
        <w:t xml:space="preserve"> условиях расширяющейся скрытой и открытой гибридной войны, ведущейся «недружественными государствами» против Р</w:t>
      </w:r>
      <w:r w:rsidR="001564BB">
        <w:t>оссии,</w:t>
      </w:r>
      <w:r w:rsidR="004A457A">
        <w:t xml:space="preserve"> сокращаются расходы федерального бюджета на национальную оборону и национальную экономику</w:t>
      </w:r>
      <w:r>
        <w:t>.</w:t>
      </w:r>
      <w:r w:rsidR="004A457A">
        <w:t xml:space="preserve"> </w:t>
      </w:r>
      <w:r>
        <w:t>При этом</w:t>
      </w:r>
      <w:r w:rsidR="004A457A">
        <w:t xml:space="preserve"> расходы на национальную экономику и жилищно-коммунальное хозяйство </w:t>
      </w:r>
      <w:r>
        <w:t>снижаются сильнее</w:t>
      </w:r>
      <w:r w:rsidR="004A457A">
        <w:t>, чем на средства массовой информации и охрану окружающей среды</w:t>
      </w:r>
      <w:r>
        <w:t>.</w:t>
      </w:r>
      <w:r w:rsidR="004A457A">
        <w:t xml:space="preserve"> </w:t>
      </w:r>
    </w:p>
    <w:p w14:paraId="4E88C479" w14:textId="77777777" w:rsidR="00BE26B1" w:rsidRDefault="00BE26B1" w:rsidP="00742EF3">
      <w:pPr>
        <w:pStyle w:val="Style1"/>
        <w:spacing w:line="360" w:lineRule="auto"/>
      </w:pPr>
      <w:r>
        <w:t xml:space="preserve">Аналогичное </w:t>
      </w:r>
      <w:proofErr w:type="gramStart"/>
      <w:r>
        <w:t>описанному</w:t>
      </w:r>
      <w:proofErr w:type="gramEnd"/>
      <w:r>
        <w:t xml:space="preserve"> выше рассмотрение данных применимо и к расходам федерального бюджета на финансирование государственных программ (43 программы), представленных в таблицах 4.2.2</w:t>
      </w:r>
      <w:r>
        <w:noBreakHyphen/>
        <w:t>4.2.44 Пояснительной записки.</w:t>
      </w:r>
    </w:p>
    <w:p w14:paraId="6FE6350A" w14:textId="148CD712" w:rsidR="00BE26B1" w:rsidRPr="008C2626" w:rsidRDefault="00BE26B1" w:rsidP="00742EF3">
      <w:pPr>
        <w:pStyle w:val="Style1"/>
        <w:spacing w:line="360" w:lineRule="auto"/>
      </w:pPr>
      <w:r>
        <w:t>Структуры расходов федерального бюджета на финансирование государственных программ в 2022 г</w:t>
      </w:r>
      <w:r w:rsidR="00742EF3">
        <w:t>оду</w:t>
      </w:r>
      <w:r>
        <w:t xml:space="preserve"> и в среднем в 2023</w:t>
      </w:r>
      <w:r>
        <w:noBreakHyphen/>
        <w:t>2025 г</w:t>
      </w:r>
      <w:r w:rsidR="00742EF3">
        <w:t>одах</w:t>
      </w:r>
      <w:r>
        <w:t xml:space="preserve"> близки: коэффициент линейной корреляции значений рассматриваемых структур </w:t>
      </w:r>
      <w:r>
        <w:rPr>
          <w:lang w:val="en-US"/>
        </w:rPr>
        <w:t>R</w:t>
      </w:r>
      <w:r w:rsidRPr="00620415">
        <w:rPr>
          <w:vertAlign w:val="superscript"/>
        </w:rPr>
        <w:t>2</w:t>
      </w:r>
      <w:r w:rsidRPr="00620415">
        <w:t xml:space="preserve"> = 0,9</w:t>
      </w:r>
      <w:r>
        <w:t>856</w:t>
      </w:r>
      <w:r w:rsidRPr="00620415">
        <w:t xml:space="preserve"> </w:t>
      </w:r>
      <w:r>
        <w:t>с двусторонним уровнем существенности α = 0,01. Первые пять по доле в расходах программ приведены в табл</w:t>
      </w:r>
      <w:r w:rsidR="00742EF3">
        <w:t>ице 1</w:t>
      </w:r>
      <w:r w:rsidR="00901ACF">
        <w:t>0</w:t>
      </w:r>
      <w:r>
        <w:t>. На них приходится больше половины всех расходов федерального бюджета, идущих на финансирование государственных программ.</w:t>
      </w:r>
    </w:p>
    <w:p w14:paraId="6D8DADBA" w14:textId="77777777" w:rsidR="00BE26B1" w:rsidRPr="00023A6B" w:rsidRDefault="00BE26B1" w:rsidP="00023A6B">
      <w:pPr>
        <w:pStyle w:val="11"/>
        <w:jc w:val="center"/>
        <w:rPr>
          <w:rFonts w:cs="Times New Roman"/>
          <w:b/>
          <w:sz w:val="16"/>
          <w:szCs w:val="16"/>
        </w:rPr>
      </w:pPr>
    </w:p>
    <w:p w14:paraId="6F4EA464" w14:textId="40249C19" w:rsidR="00BE26B1" w:rsidRDefault="00BE26B1" w:rsidP="00742EF3">
      <w:pPr>
        <w:pStyle w:val="11"/>
        <w:spacing w:line="240" w:lineRule="auto"/>
        <w:rPr>
          <w:rFonts w:cs="Times New Roman"/>
          <w:bCs/>
          <w:szCs w:val="28"/>
        </w:rPr>
      </w:pPr>
      <w:r w:rsidRPr="00742EF3">
        <w:rPr>
          <w:rFonts w:cs="Times New Roman"/>
          <w:bCs/>
          <w:szCs w:val="28"/>
        </w:rPr>
        <w:t xml:space="preserve">Таблица </w:t>
      </w:r>
      <w:r w:rsidR="00A72021" w:rsidRPr="00742EF3">
        <w:rPr>
          <w:rFonts w:cs="Times New Roman"/>
          <w:bCs/>
          <w:szCs w:val="28"/>
        </w:rPr>
        <w:t>1</w:t>
      </w:r>
      <w:r w:rsidR="00901ACF">
        <w:rPr>
          <w:rFonts w:cs="Times New Roman"/>
          <w:bCs/>
          <w:szCs w:val="28"/>
        </w:rPr>
        <w:t>0</w:t>
      </w:r>
      <w:r w:rsidR="00742EF3">
        <w:rPr>
          <w:rFonts w:cs="Times New Roman"/>
          <w:bCs/>
          <w:szCs w:val="28"/>
        </w:rPr>
        <w:t xml:space="preserve"> - </w:t>
      </w:r>
      <w:r w:rsidRPr="00742EF3">
        <w:rPr>
          <w:rFonts w:cs="Times New Roman"/>
          <w:bCs/>
          <w:szCs w:val="28"/>
        </w:rPr>
        <w:t>Доли программ в расходах федерального бюджета на реализацию государственных программ в 2022 г</w:t>
      </w:r>
      <w:r w:rsidR="00742EF3">
        <w:rPr>
          <w:rFonts w:cs="Times New Roman"/>
          <w:bCs/>
          <w:szCs w:val="28"/>
        </w:rPr>
        <w:t>оду</w:t>
      </w:r>
      <w:r w:rsidRPr="00742EF3">
        <w:rPr>
          <w:rFonts w:cs="Times New Roman"/>
          <w:bCs/>
          <w:szCs w:val="28"/>
        </w:rPr>
        <w:t xml:space="preserve"> и в 2023</w:t>
      </w:r>
      <w:r w:rsidRPr="00742EF3">
        <w:rPr>
          <w:rFonts w:cs="Times New Roman"/>
          <w:bCs/>
          <w:szCs w:val="28"/>
        </w:rPr>
        <w:noBreakHyphen/>
        <w:t>2025 г</w:t>
      </w:r>
      <w:r w:rsidR="00742EF3">
        <w:rPr>
          <w:rFonts w:cs="Times New Roman"/>
          <w:bCs/>
          <w:szCs w:val="28"/>
        </w:rPr>
        <w:t>одах</w:t>
      </w:r>
      <w:r w:rsidRPr="00742EF3">
        <w:rPr>
          <w:rFonts w:cs="Times New Roman"/>
          <w:bCs/>
          <w:szCs w:val="28"/>
        </w:rPr>
        <w:t>, %</w:t>
      </w:r>
    </w:p>
    <w:p w14:paraId="2EAE5923" w14:textId="77777777" w:rsidR="00742EF3" w:rsidRPr="00742EF3" w:rsidRDefault="00742EF3" w:rsidP="00742EF3">
      <w:pPr>
        <w:pStyle w:val="11"/>
        <w:spacing w:line="240" w:lineRule="auto"/>
        <w:rPr>
          <w:rFonts w:cs="Times New Roman"/>
          <w:bCs/>
          <w:szCs w:val="28"/>
        </w:rPr>
      </w:pPr>
    </w:p>
    <w:tbl>
      <w:tblPr>
        <w:tblStyle w:val="ae"/>
        <w:tblW w:w="0" w:type="auto"/>
        <w:tblLook w:val="04A0" w:firstRow="1" w:lastRow="0" w:firstColumn="1" w:lastColumn="0" w:noHBand="0" w:noVBand="1"/>
      </w:tblPr>
      <w:tblGrid>
        <w:gridCol w:w="894"/>
        <w:gridCol w:w="5487"/>
        <w:gridCol w:w="1131"/>
        <w:gridCol w:w="1946"/>
      </w:tblGrid>
      <w:tr w:rsidR="00BE26B1" w:rsidRPr="00023A6B" w14:paraId="32C87D55" w14:textId="77777777">
        <w:tc>
          <w:tcPr>
            <w:tcW w:w="0" w:type="auto"/>
          </w:tcPr>
          <w:p w14:paraId="370578DB" w14:textId="77777777" w:rsidR="00BE26B1" w:rsidRPr="00023A6B" w:rsidRDefault="00BE26B1" w:rsidP="00023A6B">
            <w:pPr>
              <w:pStyle w:val="11"/>
              <w:jc w:val="center"/>
              <w:rPr>
                <w:rFonts w:cs="Times New Roman"/>
                <w:b/>
                <w:sz w:val="24"/>
                <w:szCs w:val="24"/>
              </w:rPr>
            </w:pPr>
            <w:r w:rsidRPr="00023A6B">
              <w:rPr>
                <w:rFonts w:cs="Times New Roman"/>
                <w:b/>
                <w:sz w:val="24"/>
                <w:szCs w:val="24"/>
              </w:rPr>
              <w:t>Место</w:t>
            </w:r>
          </w:p>
        </w:tc>
        <w:tc>
          <w:tcPr>
            <w:tcW w:w="5487" w:type="dxa"/>
          </w:tcPr>
          <w:p w14:paraId="67FA2C05" w14:textId="77777777" w:rsidR="00BE26B1" w:rsidRPr="00023A6B" w:rsidRDefault="00BE26B1" w:rsidP="00023A6B">
            <w:pPr>
              <w:pStyle w:val="11"/>
              <w:jc w:val="center"/>
              <w:rPr>
                <w:rFonts w:cs="Times New Roman"/>
                <w:b/>
                <w:sz w:val="24"/>
                <w:szCs w:val="24"/>
              </w:rPr>
            </w:pPr>
            <w:r w:rsidRPr="00023A6B">
              <w:rPr>
                <w:rFonts w:cs="Times New Roman"/>
                <w:b/>
                <w:sz w:val="24"/>
                <w:szCs w:val="24"/>
              </w:rPr>
              <w:t>Государственная программа</w:t>
            </w:r>
          </w:p>
        </w:tc>
        <w:tc>
          <w:tcPr>
            <w:tcW w:w="1131" w:type="dxa"/>
          </w:tcPr>
          <w:p w14:paraId="03779A15" w14:textId="77777777" w:rsidR="00BE26B1" w:rsidRPr="00023A6B" w:rsidRDefault="00BE26B1" w:rsidP="00023A6B">
            <w:pPr>
              <w:pStyle w:val="11"/>
              <w:jc w:val="center"/>
              <w:rPr>
                <w:rFonts w:cs="Times New Roman"/>
                <w:b/>
                <w:sz w:val="24"/>
                <w:szCs w:val="24"/>
              </w:rPr>
            </w:pPr>
            <w:r w:rsidRPr="00023A6B">
              <w:rPr>
                <w:rFonts w:cs="Times New Roman"/>
                <w:b/>
                <w:sz w:val="24"/>
                <w:szCs w:val="24"/>
              </w:rPr>
              <w:t>2022 г.</w:t>
            </w:r>
          </w:p>
        </w:tc>
        <w:tc>
          <w:tcPr>
            <w:tcW w:w="1946" w:type="dxa"/>
          </w:tcPr>
          <w:p w14:paraId="1E5EB813" w14:textId="77777777" w:rsidR="00BE26B1" w:rsidRPr="00023A6B" w:rsidRDefault="00BE26B1" w:rsidP="00023A6B">
            <w:pPr>
              <w:pStyle w:val="11"/>
              <w:jc w:val="center"/>
              <w:rPr>
                <w:rFonts w:cs="Times New Roman"/>
                <w:b/>
                <w:sz w:val="24"/>
                <w:szCs w:val="24"/>
              </w:rPr>
            </w:pPr>
            <w:r w:rsidRPr="00023A6B">
              <w:rPr>
                <w:rFonts w:cs="Times New Roman"/>
                <w:b/>
                <w:sz w:val="24"/>
                <w:szCs w:val="24"/>
              </w:rPr>
              <w:t>2023</w:t>
            </w:r>
            <w:r w:rsidRPr="00023A6B">
              <w:rPr>
                <w:rFonts w:cs="Times New Roman"/>
                <w:b/>
                <w:sz w:val="24"/>
                <w:szCs w:val="24"/>
              </w:rPr>
              <w:noBreakHyphen/>
              <w:t>2025 гг.</w:t>
            </w:r>
          </w:p>
        </w:tc>
      </w:tr>
      <w:tr w:rsidR="00BE26B1" w:rsidRPr="00023A6B" w14:paraId="128B26A7" w14:textId="77777777">
        <w:tc>
          <w:tcPr>
            <w:tcW w:w="0" w:type="auto"/>
          </w:tcPr>
          <w:p w14:paraId="507CE3D8" w14:textId="77777777" w:rsidR="00BE26B1" w:rsidRPr="00023A6B" w:rsidRDefault="00BE26B1">
            <w:pPr>
              <w:pStyle w:val="11"/>
              <w:rPr>
                <w:rFonts w:cs="Times New Roman"/>
                <w:sz w:val="24"/>
                <w:szCs w:val="24"/>
              </w:rPr>
            </w:pPr>
            <w:r w:rsidRPr="00023A6B">
              <w:rPr>
                <w:rFonts w:cs="Times New Roman"/>
                <w:sz w:val="24"/>
                <w:szCs w:val="24"/>
              </w:rPr>
              <w:t>1</w:t>
            </w:r>
          </w:p>
        </w:tc>
        <w:tc>
          <w:tcPr>
            <w:tcW w:w="5487" w:type="dxa"/>
          </w:tcPr>
          <w:p w14:paraId="623DB7A0" w14:textId="77777777" w:rsidR="00BE26B1" w:rsidRPr="00023A6B" w:rsidRDefault="00BE26B1">
            <w:pPr>
              <w:pStyle w:val="11"/>
              <w:rPr>
                <w:rFonts w:cs="Times New Roman"/>
                <w:sz w:val="24"/>
                <w:szCs w:val="24"/>
              </w:rPr>
            </w:pPr>
            <w:r w:rsidRPr="00023A6B">
              <w:rPr>
                <w:rFonts w:cs="Times New Roman"/>
                <w:sz w:val="24"/>
                <w:szCs w:val="24"/>
              </w:rPr>
              <w:t>Социальная поддержка граждан</w:t>
            </w:r>
          </w:p>
        </w:tc>
        <w:tc>
          <w:tcPr>
            <w:tcW w:w="1131" w:type="dxa"/>
          </w:tcPr>
          <w:p w14:paraId="74BA4D03" w14:textId="77777777" w:rsidR="00BE26B1" w:rsidRPr="00023A6B" w:rsidRDefault="00BE26B1">
            <w:pPr>
              <w:pStyle w:val="11"/>
              <w:jc w:val="center"/>
              <w:rPr>
                <w:rFonts w:cs="Times New Roman"/>
                <w:sz w:val="24"/>
                <w:szCs w:val="24"/>
              </w:rPr>
            </w:pPr>
            <w:r w:rsidRPr="00023A6B">
              <w:rPr>
                <w:rFonts w:cs="Times New Roman"/>
                <w:sz w:val="24"/>
                <w:szCs w:val="24"/>
              </w:rPr>
              <w:t>17,4</w:t>
            </w:r>
          </w:p>
        </w:tc>
        <w:tc>
          <w:tcPr>
            <w:tcW w:w="1946" w:type="dxa"/>
          </w:tcPr>
          <w:p w14:paraId="2A296EC4" w14:textId="77777777" w:rsidR="00BE26B1" w:rsidRPr="00023A6B" w:rsidRDefault="00BE26B1">
            <w:pPr>
              <w:pStyle w:val="11"/>
              <w:jc w:val="center"/>
              <w:rPr>
                <w:rFonts w:cs="Times New Roman"/>
                <w:sz w:val="24"/>
                <w:szCs w:val="24"/>
              </w:rPr>
            </w:pPr>
            <w:r w:rsidRPr="00023A6B">
              <w:rPr>
                <w:rFonts w:cs="Times New Roman"/>
                <w:sz w:val="24"/>
                <w:szCs w:val="24"/>
              </w:rPr>
              <w:t>21,0</w:t>
            </w:r>
          </w:p>
        </w:tc>
      </w:tr>
      <w:tr w:rsidR="00BE26B1" w:rsidRPr="00023A6B" w14:paraId="44C5BA8F" w14:textId="77777777">
        <w:tc>
          <w:tcPr>
            <w:tcW w:w="0" w:type="auto"/>
          </w:tcPr>
          <w:p w14:paraId="7F569926" w14:textId="77777777" w:rsidR="00BE26B1" w:rsidRPr="00023A6B" w:rsidRDefault="00BE26B1">
            <w:pPr>
              <w:pStyle w:val="11"/>
              <w:rPr>
                <w:rFonts w:cs="Times New Roman"/>
                <w:sz w:val="24"/>
                <w:szCs w:val="24"/>
              </w:rPr>
            </w:pPr>
            <w:r w:rsidRPr="00023A6B">
              <w:rPr>
                <w:rFonts w:cs="Times New Roman"/>
                <w:sz w:val="24"/>
                <w:szCs w:val="24"/>
              </w:rPr>
              <w:t>2</w:t>
            </w:r>
          </w:p>
        </w:tc>
        <w:tc>
          <w:tcPr>
            <w:tcW w:w="5487" w:type="dxa"/>
          </w:tcPr>
          <w:p w14:paraId="383E47C2" w14:textId="77777777" w:rsidR="00BE26B1" w:rsidRPr="00023A6B" w:rsidRDefault="00BE26B1">
            <w:pPr>
              <w:pStyle w:val="11"/>
              <w:rPr>
                <w:rFonts w:cs="Times New Roman"/>
                <w:sz w:val="24"/>
                <w:szCs w:val="24"/>
              </w:rPr>
            </w:pPr>
            <w:r w:rsidRPr="00023A6B">
              <w:rPr>
                <w:rFonts w:cs="Times New Roman"/>
                <w:sz w:val="24"/>
                <w:szCs w:val="24"/>
              </w:rPr>
              <w:t>Управление государственными финансами и регулирование финансовых рынков</w:t>
            </w:r>
          </w:p>
        </w:tc>
        <w:tc>
          <w:tcPr>
            <w:tcW w:w="1131" w:type="dxa"/>
          </w:tcPr>
          <w:p w14:paraId="4853A82E" w14:textId="77777777" w:rsidR="00BE26B1" w:rsidRPr="00023A6B" w:rsidRDefault="00BE26B1">
            <w:pPr>
              <w:pStyle w:val="11"/>
              <w:jc w:val="center"/>
              <w:rPr>
                <w:rFonts w:cs="Times New Roman"/>
                <w:sz w:val="24"/>
                <w:szCs w:val="24"/>
              </w:rPr>
            </w:pPr>
            <w:r w:rsidRPr="00023A6B">
              <w:rPr>
                <w:rFonts w:cs="Times New Roman"/>
                <w:sz w:val="24"/>
                <w:szCs w:val="24"/>
              </w:rPr>
              <w:t>15,3</w:t>
            </w:r>
          </w:p>
        </w:tc>
        <w:tc>
          <w:tcPr>
            <w:tcW w:w="1946" w:type="dxa"/>
          </w:tcPr>
          <w:p w14:paraId="4C67CA39" w14:textId="77777777" w:rsidR="00BE26B1" w:rsidRPr="00023A6B" w:rsidRDefault="00BE26B1">
            <w:pPr>
              <w:pStyle w:val="11"/>
              <w:jc w:val="center"/>
              <w:rPr>
                <w:rFonts w:cs="Times New Roman"/>
                <w:sz w:val="24"/>
                <w:szCs w:val="24"/>
              </w:rPr>
            </w:pPr>
            <w:r w:rsidRPr="00023A6B">
              <w:rPr>
                <w:rFonts w:cs="Times New Roman"/>
                <w:sz w:val="24"/>
                <w:szCs w:val="24"/>
              </w:rPr>
              <w:t>14,7</w:t>
            </w:r>
          </w:p>
        </w:tc>
      </w:tr>
      <w:tr w:rsidR="00BE26B1" w:rsidRPr="00023A6B" w14:paraId="73C82D79" w14:textId="77777777">
        <w:tc>
          <w:tcPr>
            <w:tcW w:w="0" w:type="auto"/>
          </w:tcPr>
          <w:p w14:paraId="7092CF39" w14:textId="77777777" w:rsidR="00BE26B1" w:rsidRPr="00023A6B" w:rsidRDefault="00BE26B1">
            <w:pPr>
              <w:pStyle w:val="11"/>
              <w:rPr>
                <w:rFonts w:cs="Times New Roman"/>
                <w:sz w:val="24"/>
                <w:szCs w:val="24"/>
              </w:rPr>
            </w:pPr>
            <w:r w:rsidRPr="00023A6B">
              <w:rPr>
                <w:rFonts w:cs="Times New Roman"/>
                <w:sz w:val="24"/>
                <w:szCs w:val="24"/>
              </w:rPr>
              <w:t>3</w:t>
            </w:r>
          </w:p>
        </w:tc>
        <w:tc>
          <w:tcPr>
            <w:tcW w:w="5487" w:type="dxa"/>
          </w:tcPr>
          <w:p w14:paraId="4B249E4A" w14:textId="77777777" w:rsidR="00BE26B1" w:rsidRPr="00023A6B" w:rsidRDefault="00BE26B1">
            <w:pPr>
              <w:pStyle w:val="11"/>
              <w:rPr>
                <w:rFonts w:cs="Times New Roman"/>
                <w:sz w:val="24"/>
                <w:szCs w:val="24"/>
              </w:rPr>
            </w:pPr>
            <w:r w:rsidRPr="00023A6B">
              <w:rPr>
                <w:rFonts w:cs="Times New Roman"/>
                <w:sz w:val="24"/>
                <w:szCs w:val="24"/>
              </w:rPr>
              <w:t>Развитие транспортной системы</w:t>
            </w:r>
          </w:p>
        </w:tc>
        <w:tc>
          <w:tcPr>
            <w:tcW w:w="1131" w:type="dxa"/>
          </w:tcPr>
          <w:p w14:paraId="56D95BF7" w14:textId="77777777" w:rsidR="00BE26B1" w:rsidRPr="00023A6B" w:rsidRDefault="00BE26B1">
            <w:pPr>
              <w:pStyle w:val="11"/>
              <w:jc w:val="center"/>
              <w:rPr>
                <w:rFonts w:cs="Times New Roman"/>
                <w:sz w:val="24"/>
                <w:szCs w:val="24"/>
              </w:rPr>
            </w:pPr>
            <w:r w:rsidRPr="00023A6B">
              <w:rPr>
                <w:rFonts w:cs="Times New Roman"/>
                <w:sz w:val="24"/>
                <w:szCs w:val="24"/>
              </w:rPr>
              <w:t>10,2</w:t>
            </w:r>
          </w:p>
        </w:tc>
        <w:tc>
          <w:tcPr>
            <w:tcW w:w="1946" w:type="dxa"/>
          </w:tcPr>
          <w:p w14:paraId="6BA9FFD3" w14:textId="77777777" w:rsidR="00BE26B1" w:rsidRPr="00023A6B" w:rsidRDefault="00BE26B1">
            <w:pPr>
              <w:pStyle w:val="11"/>
              <w:jc w:val="center"/>
              <w:rPr>
                <w:rFonts w:cs="Times New Roman"/>
                <w:sz w:val="24"/>
                <w:szCs w:val="24"/>
              </w:rPr>
            </w:pPr>
            <w:r w:rsidRPr="00023A6B">
              <w:rPr>
                <w:rFonts w:cs="Times New Roman"/>
                <w:sz w:val="24"/>
                <w:szCs w:val="24"/>
              </w:rPr>
              <w:t>8,2</w:t>
            </w:r>
          </w:p>
        </w:tc>
      </w:tr>
      <w:tr w:rsidR="00BE26B1" w:rsidRPr="00023A6B" w14:paraId="193DD1C6" w14:textId="77777777">
        <w:tc>
          <w:tcPr>
            <w:tcW w:w="0" w:type="auto"/>
          </w:tcPr>
          <w:p w14:paraId="6185637B" w14:textId="77777777" w:rsidR="00BE26B1" w:rsidRPr="00023A6B" w:rsidRDefault="00BE26B1">
            <w:pPr>
              <w:pStyle w:val="11"/>
              <w:rPr>
                <w:rFonts w:cs="Times New Roman"/>
                <w:sz w:val="24"/>
                <w:szCs w:val="24"/>
              </w:rPr>
            </w:pPr>
            <w:r w:rsidRPr="00023A6B">
              <w:rPr>
                <w:rFonts w:cs="Times New Roman"/>
                <w:sz w:val="24"/>
                <w:szCs w:val="24"/>
              </w:rPr>
              <w:t>4</w:t>
            </w:r>
          </w:p>
        </w:tc>
        <w:tc>
          <w:tcPr>
            <w:tcW w:w="5487" w:type="dxa"/>
          </w:tcPr>
          <w:p w14:paraId="55464E82" w14:textId="77777777" w:rsidR="00BE26B1" w:rsidRPr="00023A6B" w:rsidRDefault="00BE26B1">
            <w:pPr>
              <w:pStyle w:val="11"/>
              <w:rPr>
                <w:rFonts w:cs="Times New Roman"/>
                <w:sz w:val="24"/>
                <w:szCs w:val="24"/>
              </w:rPr>
            </w:pPr>
            <w:r w:rsidRPr="00023A6B">
              <w:rPr>
                <w:rFonts w:cs="Times New Roman"/>
                <w:sz w:val="24"/>
                <w:szCs w:val="24"/>
              </w:rPr>
              <w:t>Развитие здравоохранения</w:t>
            </w:r>
          </w:p>
        </w:tc>
        <w:tc>
          <w:tcPr>
            <w:tcW w:w="1131" w:type="dxa"/>
          </w:tcPr>
          <w:p w14:paraId="053EAF7E" w14:textId="77777777" w:rsidR="00BE26B1" w:rsidRPr="00023A6B" w:rsidRDefault="00BE26B1">
            <w:pPr>
              <w:pStyle w:val="11"/>
              <w:jc w:val="center"/>
              <w:rPr>
                <w:rFonts w:cs="Times New Roman"/>
                <w:sz w:val="24"/>
                <w:szCs w:val="24"/>
              </w:rPr>
            </w:pPr>
            <w:r w:rsidRPr="00023A6B">
              <w:rPr>
                <w:rFonts w:cs="Times New Roman"/>
                <w:sz w:val="24"/>
                <w:szCs w:val="24"/>
              </w:rPr>
              <w:t>7,7</w:t>
            </w:r>
          </w:p>
        </w:tc>
        <w:tc>
          <w:tcPr>
            <w:tcW w:w="1946" w:type="dxa"/>
          </w:tcPr>
          <w:p w14:paraId="50DF1537" w14:textId="77777777" w:rsidR="00BE26B1" w:rsidRPr="00023A6B" w:rsidRDefault="00BE26B1">
            <w:pPr>
              <w:pStyle w:val="11"/>
              <w:jc w:val="center"/>
              <w:rPr>
                <w:rFonts w:cs="Times New Roman"/>
                <w:sz w:val="24"/>
                <w:szCs w:val="24"/>
              </w:rPr>
            </w:pPr>
            <w:r w:rsidRPr="00023A6B">
              <w:rPr>
                <w:rFonts w:cs="Times New Roman"/>
                <w:sz w:val="24"/>
                <w:szCs w:val="24"/>
              </w:rPr>
              <w:t>7,9</w:t>
            </w:r>
          </w:p>
        </w:tc>
      </w:tr>
      <w:tr w:rsidR="00BE26B1" w:rsidRPr="00023A6B" w14:paraId="0988230C" w14:textId="77777777">
        <w:tc>
          <w:tcPr>
            <w:tcW w:w="0" w:type="auto"/>
          </w:tcPr>
          <w:p w14:paraId="73A556E4" w14:textId="77777777" w:rsidR="00BE26B1" w:rsidRPr="00023A6B" w:rsidRDefault="00BE26B1">
            <w:pPr>
              <w:pStyle w:val="11"/>
              <w:rPr>
                <w:rFonts w:cs="Times New Roman"/>
                <w:sz w:val="24"/>
                <w:szCs w:val="24"/>
              </w:rPr>
            </w:pPr>
            <w:r w:rsidRPr="00023A6B">
              <w:rPr>
                <w:rFonts w:cs="Times New Roman"/>
                <w:sz w:val="24"/>
                <w:szCs w:val="24"/>
              </w:rPr>
              <w:t>5</w:t>
            </w:r>
          </w:p>
        </w:tc>
        <w:tc>
          <w:tcPr>
            <w:tcW w:w="5487" w:type="dxa"/>
          </w:tcPr>
          <w:p w14:paraId="29037159" w14:textId="77777777" w:rsidR="00BE26B1" w:rsidRPr="00023A6B" w:rsidRDefault="00BE26B1">
            <w:pPr>
              <w:pStyle w:val="11"/>
              <w:rPr>
                <w:rFonts w:cs="Times New Roman"/>
                <w:sz w:val="24"/>
                <w:szCs w:val="24"/>
              </w:rPr>
            </w:pPr>
            <w:r w:rsidRPr="00023A6B">
              <w:rPr>
                <w:rFonts w:cs="Times New Roman"/>
                <w:sz w:val="24"/>
                <w:szCs w:val="24"/>
              </w:rPr>
              <w:t>Научно-технологическое развитие РФ</w:t>
            </w:r>
          </w:p>
        </w:tc>
        <w:tc>
          <w:tcPr>
            <w:tcW w:w="1131" w:type="dxa"/>
          </w:tcPr>
          <w:p w14:paraId="04203B60" w14:textId="77777777" w:rsidR="00BE26B1" w:rsidRPr="00023A6B" w:rsidRDefault="00BE26B1">
            <w:pPr>
              <w:pStyle w:val="11"/>
              <w:jc w:val="center"/>
              <w:rPr>
                <w:rFonts w:cs="Times New Roman"/>
                <w:sz w:val="24"/>
                <w:szCs w:val="24"/>
              </w:rPr>
            </w:pPr>
            <w:r w:rsidRPr="00023A6B">
              <w:rPr>
                <w:rFonts w:cs="Times New Roman"/>
                <w:sz w:val="24"/>
                <w:szCs w:val="24"/>
              </w:rPr>
              <w:t>6,9</w:t>
            </w:r>
          </w:p>
        </w:tc>
        <w:tc>
          <w:tcPr>
            <w:tcW w:w="1946" w:type="dxa"/>
          </w:tcPr>
          <w:p w14:paraId="639295C2" w14:textId="77777777" w:rsidR="00BE26B1" w:rsidRPr="00023A6B" w:rsidRDefault="00BE26B1">
            <w:pPr>
              <w:pStyle w:val="11"/>
              <w:jc w:val="center"/>
              <w:rPr>
                <w:rFonts w:cs="Times New Roman"/>
                <w:sz w:val="24"/>
                <w:szCs w:val="24"/>
              </w:rPr>
            </w:pPr>
            <w:r w:rsidRPr="00023A6B">
              <w:rPr>
                <w:rFonts w:cs="Times New Roman"/>
                <w:sz w:val="24"/>
                <w:szCs w:val="24"/>
              </w:rPr>
              <w:t>7,8</w:t>
            </w:r>
          </w:p>
        </w:tc>
      </w:tr>
      <w:tr w:rsidR="00BE26B1" w:rsidRPr="00023A6B" w14:paraId="3BFD8FDC" w14:textId="77777777">
        <w:tc>
          <w:tcPr>
            <w:tcW w:w="0" w:type="auto"/>
          </w:tcPr>
          <w:p w14:paraId="46B54898" w14:textId="77777777" w:rsidR="00BE26B1" w:rsidRPr="00023A6B" w:rsidRDefault="00BE26B1">
            <w:pPr>
              <w:pStyle w:val="11"/>
              <w:rPr>
                <w:rFonts w:cs="Times New Roman"/>
                <w:i/>
                <w:sz w:val="24"/>
                <w:szCs w:val="24"/>
              </w:rPr>
            </w:pPr>
          </w:p>
        </w:tc>
        <w:tc>
          <w:tcPr>
            <w:tcW w:w="5487" w:type="dxa"/>
          </w:tcPr>
          <w:p w14:paraId="33AEC2C4" w14:textId="77777777" w:rsidR="00BE26B1" w:rsidRPr="00023A6B" w:rsidRDefault="00BE26B1">
            <w:pPr>
              <w:pStyle w:val="11"/>
              <w:rPr>
                <w:rFonts w:cs="Times New Roman"/>
                <w:sz w:val="24"/>
                <w:szCs w:val="24"/>
              </w:rPr>
            </w:pPr>
            <w:r w:rsidRPr="00023A6B">
              <w:rPr>
                <w:rFonts w:cs="Times New Roman"/>
                <w:i/>
                <w:sz w:val="24"/>
                <w:szCs w:val="24"/>
              </w:rPr>
              <w:t>Итого</w:t>
            </w:r>
          </w:p>
        </w:tc>
        <w:tc>
          <w:tcPr>
            <w:tcW w:w="1131" w:type="dxa"/>
          </w:tcPr>
          <w:p w14:paraId="5272A0FC" w14:textId="77777777" w:rsidR="00BE26B1" w:rsidRPr="00023A6B" w:rsidRDefault="00BE26B1">
            <w:pPr>
              <w:pStyle w:val="11"/>
              <w:jc w:val="center"/>
              <w:rPr>
                <w:rFonts w:cs="Times New Roman"/>
                <w:sz w:val="24"/>
                <w:szCs w:val="24"/>
              </w:rPr>
            </w:pPr>
            <w:r w:rsidRPr="00023A6B">
              <w:rPr>
                <w:rFonts w:cs="Times New Roman"/>
                <w:sz w:val="24"/>
                <w:szCs w:val="24"/>
              </w:rPr>
              <w:t>57,5</w:t>
            </w:r>
          </w:p>
        </w:tc>
        <w:tc>
          <w:tcPr>
            <w:tcW w:w="1946" w:type="dxa"/>
          </w:tcPr>
          <w:p w14:paraId="1296BDD7" w14:textId="77777777" w:rsidR="00BE26B1" w:rsidRPr="00023A6B" w:rsidRDefault="00BE26B1">
            <w:pPr>
              <w:pStyle w:val="11"/>
              <w:jc w:val="center"/>
              <w:rPr>
                <w:rFonts w:cs="Times New Roman"/>
                <w:sz w:val="24"/>
                <w:szCs w:val="24"/>
              </w:rPr>
            </w:pPr>
            <w:r w:rsidRPr="00023A6B">
              <w:rPr>
                <w:rFonts w:cs="Times New Roman"/>
                <w:sz w:val="24"/>
                <w:szCs w:val="24"/>
              </w:rPr>
              <w:t>59,6</w:t>
            </w:r>
          </w:p>
        </w:tc>
      </w:tr>
    </w:tbl>
    <w:p w14:paraId="477727C0" w14:textId="77777777" w:rsidR="00BE26B1" w:rsidRPr="00742EF3" w:rsidRDefault="00BE26B1" w:rsidP="00742EF3">
      <w:pPr>
        <w:pStyle w:val="11"/>
        <w:spacing w:line="240" w:lineRule="auto"/>
        <w:rPr>
          <w:rFonts w:cs="Times New Roman"/>
          <w:sz w:val="20"/>
          <w:szCs w:val="20"/>
        </w:rPr>
      </w:pPr>
      <w:r w:rsidRPr="00742EF3">
        <w:rPr>
          <w:rFonts w:cs="Times New Roman"/>
          <w:i/>
          <w:sz w:val="20"/>
          <w:szCs w:val="20"/>
        </w:rPr>
        <w:t>Источник</w:t>
      </w:r>
      <w:r w:rsidRPr="00742EF3">
        <w:rPr>
          <w:rFonts w:cs="Times New Roman"/>
          <w:sz w:val="20"/>
          <w:szCs w:val="20"/>
        </w:rPr>
        <w:t xml:space="preserve">: составлено по данным табл. </w:t>
      </w:r>
      <w:r w:rsidRPr="00742EF3">
        <w:rPr>
          <w:sz w:val="20"/>
          <w:szCs w:val="20"/>
        </w:rPr>
        <w:t>4.2.2</w:t>
      </w:r>
      <w:r w:rsidRPr="00742EF3">
        <w:rPr>
          <w:sz w:val="20"/>
          <w:szCs w:val="20"/>
        </w:rPr>
        <w:noBreakHyphen/>
        <w:t xml:space="preserve">4.2.44, </w:t>
      </w:r>
      <w:r w:rsidRPr="00742EF3">
        <w:rPr>
          <w:rFonts w:cs="Times New Roman"/>
          <w:sz w:val="20"/>
          <w:szCs w:val="20"/>
        </w:rPr>
        <w:t xml:space="preserve">4.4 Пояснительной записки </w:t>
      </w:r>
      <w:r w:rsidRPr="00742EF3">
        <w:rPr>
          <w:sz w:val="20"/>
          <w:szCs w:val="20"/>
        </w:rPr>
        <w:t xml:space="preserve">к проекту федерального закона «О федеральном </w:t>
      </w:r>
      <w:proofErr w:type="gramStart"/>
      <w:r w:rsidRPr="00742EF3">
        <w:rPr>
          <w:sz w:val="20"/>
          <w:szCs w:val="20"/>
        </w:rPr>
        <w:t>бюджете</w:t>
      </w:r>
      <w:proofErr w:type="gramEnd"/>
      <w:r w:rsidRPr="00742EF3">
        <w:rPr>
          <w:sz w:val="20"/>
          <w:szCs w:val="20"/>
        </w:rPr>
        <w:t xml:space="preserve"> на 2023 год и на плановый </w:t>
      </w:r>
      <w:r w:rsidRPr="00742EF3">
        <w:rPr>
          <w:rFonts w:cs="Times New Roman"/>
          <w:sz w:val="20"/>
          <w:szCs w:val="20"/>
        </w:rPr>
        <w:t>период 2024 и 2025 годов».</w:t>
      </w:r>
    </w:p>
    <w:p w14:paraId="413CCDBC" w14:textId="77777777" w:rsidR="00BE26B1" w:rsidRPr="007B14DF" w:rsidRDefault="00BE26B1" w:rsidP="00BE26B1">
      <w:pPr>
        <w:pStyle w:val="11"/>
        <w:rPr>
          <w:rFonts w:cs="Times New Roman"/>
          <w:sz w:val="16"/>
          <w:szCs w:val="16"/>
        </w:rPr>
      </w:pPr>
    </w:p>
    <w:p w14:paraId="54AD8F18" w14:textId="2EB1E368" w:rsidR="00BE26B1" w:rsidRPr="00170A5C" w:rsidRDefault="00742EF3" w:rsidP="00742EF3">
      <w:pPr>
        <w:pStyle w:val="Style1"/>
        <w:spacing w:line="360" w:lineRule="auto"/>
      </w:pPr>
      <w:r>
        <w:t>Р</w:t>
      </w:r>
      <w:r w:rsidR="00BE26B1" w:rsidRPr="00170A5C">
        <w:t>асходы на государственную программу «Управление государственными финансами и регулирование финансовых рынков» в разы превосходят расходы на группы важных для существования России в современных условиях государственных программ (см. табл</w:t>
      </w:r>
      <w:r>
        <w:t>ицу</w:t>
      </w:r>
      <w:r w:rsidR="00BE26B1" w:rsidRPr="00170A5C">
        <w:t xml:space="preserve"> </w:t>
      </w:r>
      <w:r w:rsidR="00A72021">
        <w:t>1</w:t>
      </w:r>
      <w:r w:rsidR="00901ACF">
        <w:t>1</w:t>
      </w:r>
      <w:r w:rsidR="00BE26B1" w:rsidRPr="00170A5C">
        <w:t>)</w:t>
      </w:r>
      <w:r>
        <w:t>.</w:t>
      </w:r>
    </w:p>
    <w:p w14:paraId="215777D8" w14:textId="77777777" w:rsidR="00BE26B1" w:rsidRPr="004C68E4" w:rsidRDefault="00BE26B1" w:rsidP="00BE26B1">
      <w:pPr>
        <w:pStyle w:val="11"/>
        <w:rPr>
          <w:rFonts w:cs="Times New Roman"/>
          <w:sz w:val="16"/>
          <w:szCs w:val="16"/>
        </w:rPr>
      </w:pPr>
    </w:p>
    <w:p w14:paraId="339D5111" w14:textId="0823F437" w:rsidR="00BE26B1" w:rsidRDefault="00BE26B1" w:rsidP="00742EF3">
      <w:pPr>
        <w:pStyle w:val="11"/>
        <w:rPr>
          <w:rFonts w:cs="Times New Roman"/>
          <w:bCs/>
          <w:szCs w:val="28"/>
        </w:rPr>
      </w:pPr>
      <w:r w:rsidRPr="00742EF3">
        <w:rPr>
          <w:rFonts w:cs="Times New Roman"/>
          <w:bCs/>
          <w:szCs w:val="28"/>
        </w:rPr>
        <w:t xml:space="preserve">Таблица </w:t>
      </w:r>
      <w:r w:rsidR="00A72021" w:rsidRPr="00742EF3">
        <w:rPr>
          <w:rFonts w:cs="Times New Roman"/>
          <w:bCs/>
          <w:szCs w:val="28"/>
        </w:rPr>
        <w:t>1</w:t>
      </w:r>
      <w:r w:rsidR="00901ACF">
        <w:rPr>
          <w:rFonts w:cs="Times New Roman"/>
          <w:bCs/>
          <w:szCs w:val="28"/>
        </w:rPr>
        <w:t>1</w:t>
      </w:r>
      <w:r w:rsidR="00742EF3">
        <w:rPr>
          <w:rFonts w:cs="Times New Roman"/>
          <w:bCs/>
          <w:szCs w:val="28"/>
        </w:rPr>
        <w:t xml:space="preserve"> -</w:t>
      </w:r>
      <w:r w:rsidRPr="00742EF3">
        <w:rPr>
          <w:rFonts w:cs="Times New Roman"/>
          <w:bCs/>
          <w:szCs w:val="28"/>
        </w:rPr>
        <w:t xml:space="preserve"> Отношение расходов на государственную программу «Управление государственными финансами и регулирование финансовых рынков» к расходам на две группы других программ, раз</w:t>
      </w:r>
    </w:p>
    <w:p w14:paraId="2F6AADDB" w14:textId="77777777" w:rsidR="00742EF3" w:rsidRPr="00742EF3" w:rsidRDefault="00742EF3" w:rsidP="00742EF3">
      <w:pPr>
        <w:pStyle w:val="11"/>
        <w:rPr>
          <w:rFonts w:cs="Times New Roman"/>
          <w:bCs/>
          <w:szCs w:val="28"/>
        </w:rPr>
      </w:pPr>
    </w:p>
    <w:tbl>
      <w:tblPr>
        <w:tblStyle w:val="ae"/>
        <w:tblW w:w="0" w:type="auto"/>
        <w:tblLook w:val="04A0" w:firstRow="1" w:lastRow="0" w:firstColumn="1" w:lastColumn="0" w:noHBand="0" w:noVBand="1"/>
      </w:tblPr>
      <w:tblGrid>
        <w:gridCol w:w="6487"/>
        <w:gridCol w:w="1134"/>
        <w:gridCol w:w="1950"/>
      </w:tblGrid>
      <w:tr w:rsidR="00BE26B1" w:rsidRPr="00023A6B" w14:paraId="4183C390" w14:textId="77777777">
        <w:tc>
          <w:tcPr>
            <w:tcW w:w="6487" w:type="dxa"/>
          </w:tcPr>
          <w:p w14:paraId="353BCA79" w14:textId="77777777" w:rsidR="00BE26B1" w:rsidRPr="00023A6B" w:rsidRDefault="00BE26B1">
            <w:pPr>
              <w:pStyle w:val="11"/>
              <w:rPr>
                <w:rFonts w:cs="Times New Roman"/>
                <w:b/>
                <w:sz w:val="24"/>
                <w:szCs w:val="24"/>
              </w:rPr>
            </w:pPr>
            <w:r w:rsidRPr="00023A6B">
              <w:rPr>
                <w:rFonts w:cs="Times New Roman"/>
                <w:b/>
                <w:sz w:val="24"/>
                <w:szCs w:val="24"/>
              </w:rPr>
              <w:t>Группы государственных программ</w:t>
            </w:r>
          </w:p>
        </w:tc>
        <w:tc>
          <w:tcPr>
            <w:tcW w:w="1134" w:type="dxa"/>
          </w:tcPr>
          <w:p w14:paraId="51D360DE" w14:textId="77777777" w:rsidR="00BE26B1" w:rsidRPr="00023A6B" w:rsidRDefault="00BE26B1">
            <w:pPr>
              <w:pStyle w:val="11"/>
              <w:rPr>
                <w:rFonts w:cs="Times New Roman"/>
                <w:b/>
                <w:sz w:val="24"/>
                <w:szCs w:val="24"/>
              </w:rPr>
            </w:pPr>
            <w:r w:rsidRPr="00023A6B">
              <w:rPr>
                <w:rFonts w:cs="Times New Roman"/>
                <w:b/>
                <w:sz w:val="24"/>
                <w:szCs w:val="24"/>
              </w:rPr>
              <w:t>2022 г.</w:t>
            </w:r>
          </w:p>
        </w:tc>
        <w:tc>
          <w:tcPr>
            <w:tcW w:w="1950" w:type="dxa"/>
          </w:tcPr>
          <w:p w14:paraId="3538077B" w14:textId="77777777" w:rsidR="00BE26B1" w:rsidRPr="00023A6B" w:rsidRDefault="00BE26B1">
            <w:pPr>
              <w:pStyle w:val="11"/>
              <w:rPr>
                <w:rFonts w:cs="Times New Roman"/>
                <w:b/>
                <w:sz w:val="24"/>
                <w:szCs w:val="24"/>
              </w:rPr>
            </w:pPr>
            <w:r w:rsidRPr="00023A6B">
              <w:rPr>
                <w:rFonts w:cs="Times New Roman"/>
                <w:b/>
                <w:sz w:val="24"/>
                <w:szCs w:val="24"/>
              </w:rPr>
              <w:t>2023</w:t>
            </w:r>
            <w:r w:rsidRPr="00023A6B">
              <w:rPr>
                <w:rFonts w:cs="Times New Roman"/>
                <w:b/>
                <w:sz w:val="24"/>
                <w:szCs w:val="24"/>
              </w:rPr>
              <w:noBreakHyphen/>
              <w:t>2025 гг.</w:t>
            </w:r>
          </w:p>
        </w:tc>
      </w:tr>
      <w:tr w:rsidR="00BE26B1" w:rsidRPr="00023A6B" w14:paraId="66FBB780" w14:textId="77777777">
        <w:tc>
          <w:tcPr>
            <w:tcW w:w="6487" w:type="dxa"/>
          </w:tcPr>
          <w:p w14:paraId="76F248E5" w14:textId="77777777" w:rsidR="00BE26B1" w:rsidRPr="00023A6B" w:rsidRDefault="00BE26B1">
            <w:pPr>
              <w:pStyle w:val="11"/>
              <w:rPr>
                <w:rFonts w:cs="Times New Roman"/>
                <w:sz w:val="24"/>
                <w:szCs w:val="24"/>
              </w:rPr>
            </w:pPr>
            <w:r w:rsidRPr="00023A6B">
              <w:rPr>
                <w:rFonts w:cs="Times New Roman"/>
                <w:sz w:val="24"/>
                <w:szCs w:val="24"/>
              </w:rPr>
              <w:t>«Экономическое развитие и инновационная экономика», «Содействие занятости населения»; «Развитие электронной и радиоэлектронной промышленности»; «Развитие авиационной промышленности»; «Развитие судостроения и техники для освоения шельфовых месторождений»</w:t>
            </w:r>
            <w:proofErr w:type="gramStart"/>
            <w:r w:rsidRPr="00023A6B">
              <w:rPr>
                <w:rFonts w:cs="Times New Roman"/>
                <w:sz w:val="24"/>
                <w:szCs w:val="24"/>
              </w:rPr>
              <w:t>;«</w:t>
            </w:r>
            <w:proofErr w:type="gramEnd"/>
            <w:r w:rsidRPr="00023A6B">
              <w:rPr>
                <w:sz w:val="24"/>
                <w:szCs w:val="24"/>
              </w:rPr>
              <w:t xml:space="preserve"> </w:t>
            </w:r>
            <w:r w:rsidRPr="00023A6B">
              <w:rPr>
                <w:rFonts w:cs="Times New Roman"/>
                <w:sz w:val="24"/>
                <w:szCs w:val="24"/>
              </w:rPr>
              <w:t>Обеспечение химической и биологической безопасности Российской Федерации»; «Развитие фармацевтической и медицинской промышленности»</w:t>
            </w:r>
          </w:p>
        </w:tc>
        <w:tc>
          <w:tcPr>
            <w:tcW w:w="1134" w:type="dxa"/>
          </w:tcPr>
          <w:p w14:paraId="47E37460" w14:textId="77777777" w:rsidR="00BE26B1" w:rsidRPr="00023A6B" w:rsidRDefault="00BE26B1">
            <w:pPr>
              <w:pStyle w:val="11"/>
              <w:jc w:val="center"/>
              <w:rPr>
                <w:rFonts w:cs="Times New Roman"/>
                <w:sz w:val="24"/>
                <w:szCs w:val="24"/>
              </w:rPr>
            </w:pPr>
            <w:r w:rsidRPr="00023A6B">
              <w:rPr>
                <w:rFonts w:cs="Times New Roman"/>
                <w:sz w:val="24"/>
                <w:szCs w:val="24"/>
              </w:rPr>
              <w:t>6,3</w:t>
            </w:r>
          </w:p>
        </w:tc>
        <w:tc>
          <w:tcPr>
            <w:tcW w:w="1950" w:type="dxa"/>
          </w:tcPr>
          <w:p w14:paraId="7BF45206" w14:textId="77777777" w:rsidR="00BE26B1" w:rsidRPr="00023A6B" w:rsidRDefault="00BE26B1">
            <w:pPr>
              <w:pStyle w:val="11"/>
              <w:jc w:val="center"/>
              <w:rPr>
                <w:rFonts w:cs="Times New Roman"/>
                <w:sz w:val="24"/>
                <w:szCs w:val="24"/>
              </w:rPr>
            </w:pPr>
            <w:r w:rsidRPr="00023A6B">
              <w:rPr>
                <w:rFonts w:cs="Times New Roman"/>
                <w:sz w:val="24"/>
                <w:szCs w:val="24"/>
              </w:rPr>
              <w:t>6,8</w:t>
            </w:r>
          </w:p>
        </w:tc>
      </w:tr>
      <w:tr w:rsidR="00BE26B1" w:rsidRPr="00023A6B" w14:paraId="614F493D" w14:textId="77777777">
        <w:tc>
          <w:tcPr>
            <w:tcW w:w="6487" w:type="dxa"/>
          </w:tcPr>
          <w:p w14:paraId="61BB8523" w14:textId="77777777" w:rsidR="00BE26B1" w:rsidRPr="00023A6B" w:rsidRDefault="00BE26B1">
            <w:pPr>
              <w:pStyle w:val="11"/>
              <w:rPr>
                <w:rFonts w:cs="Times New Roman"/>
                <w:sz w:val="24"/>
                <w:szCs w:val="24"/>
              </w:rPr>
            </w:pPr>
            <w:r w:rsidRPr="00023A6B">
              <w:rPr>
                <w:rFonts w:cs="Times New Roman"/>
                <w:sz w:val="24"/>
                <w:szCs w:val="24"/>
              </w:rPr>
              <w:t>«Социально-экономическое развитие Республики Крым и г. Севастополя»; «Социально-экономическое развитие Калининградской области»; «Социально-экономическое развитие Дальневосточного федерального округа»; «Социально-экономическое развитие Арктической зоны Российской Федерации»</w:t>
            </w:r>
          </w:p>
        </w:tc>
        <w:tc>
          <w:tcPr>
            <w:tcW w:w="1134" w:type="dxa"/>
          </w:tcPr>
          <w:p w14:paraId="71EF6F2C" w14:textId="77777777" w:rsidR="00BE26B1" w:rsidRPr="00023A6B" w:rsidRDefault="00BE26B1">
            <w:pPr>
              <w:pStyle w:val="11"/>
              <w:jc w:val="center"/>
              <w:rPr>
                <w:rFonts w:cs="Times New Roman"/>
                <w:sz w:val="24"/>
                <w:szCs w:val="24"/>
              </w:rPr>
            </w:pPr>
            <w:r w:rsidRPr="00023A6B">
              <w:rPr>
                <w:rFonts w:cs="Times New Roman"/>
                <w:sz w:val="24"/>
                <w:szCs w:val="24"/>
              </w:rPr>
              <w:t>10,4</w:t>
            </w:r>
          </w:p>
        </w:tc>
        <w:tc>
          <w:tcPr>
            <w:tcW w:w="1950" w:type="dxa"/>
          </w:tcPr>
          <w:p w14:paraId="0988D490" w14:textId="77777777" w:rsidR="00BE26B1" w:rsidRPr="00023A6B" w:rsidRDefault="00BE26B1">
            <w:pPr>
              <w:pStyle w:val="11"/>
              <w:jc w:val="center"/>
              <w:rPr>
                <w:rFonts w:cs="Times New Roman"/>
                <w:sz w:val="24"/>
                <w:szCs w:val="24"/>
              </w:rPr>
            </w:pPr>
            <w:r w:rsidRPr="00023A6B">
              <w:rPr>
                <w:rFonts w:cs="Times New Roman"/>
                <w:sz w:val="24"/>
                <w:szCs w:val="24"/>
              </w:rPr>
              <w:t>11,0</w:t>
            </w:r>
          </w:p>
        </w:tc>
      </w:tr>
    </w:tbl>
    <w:p w14:paraId="20672032" w14:textId="77777777" w:rsidR="00BE26B1" w:rsidRPr="00742EF3" w:rsidRDefault="00BE26B1" w:rsidP="00742EF3">
      <w:pPr>
        <w:pStyle w:val="11"/>
        <w:spacing w:line="240" w:lineRule="auto"/>
        <w:rPr>
          <w:rFonts w:cs="Times New Roman"/>
          <w:sz w:val="20"/>
          <w:szCs w:val="20"/>
        </w:rPr>
      </w:pPr>
      <w:r w:rsidRPr="00742EF3">
        <w:rPr>
          <w:rFonts w:cs="Times New Roman"/>
          <w:i/>
          <w:sz w:val="20"/>
          <w:szCs w:val="20"/>
        </w:rPr>
        <w:t>Источник</w:t>
      </w:r>
      <w:r w:rsidRPr="00742EF3">
        <w:rPr>
          <w:rFonts w:cs="Times New Roman"/>
          <w:sz w:val="20"/>
          <w:szCs w:val="20"/>
        </w:rPr>
        <w:t xml:space="preserve">: составлено по данным табл. </w:t>
      </w:r>
      <w:r w:rsidRPr="00742EF3">
        <w:rPr>
          <w:sz w:val="20"/>
          <w:szCs w:val="20"/>
        </w:rPr>
        <w:t>4.2.2</w:t>
      </w:r>
      <w:r w:rsidRPr="00742EF3">
        <w:rPr>
          <w:sz w:val="20"/>
          <w:szCs w:val="20"/>
        </w:rPr>
        <w:noBreakHyphen/>
        <w:t xml:space="preserve">4.2.44, </w:t>
      </w:r>
      <w:r w:rsidRPr="00742EF3">
        <w:rPr>
          <w:rFonts w:cs="Times New Roman"/>
          <w:sz w:val="20"/>
          <w:szCs w:val="20"/>
        </w:rPr>
        <w:t xml:space="preserve">4.4 Пояснительной записки </w:t>
      </w:r>
      <w:r w:rsidRPr="00742EF3">
        <w:rPr>
          <w:sz w:val="20"/>
          <w:szCs w:val="20"/>
        </w:rPr>
        <w:t xml:space="preserve">к проекту федерального закона «О федеральном </w:t>
      </w:r>
      <w:proofErr w:type="gramStart"/>
      <w:r w:rsidRPr="00742EF3">
        <w:rPr>
          <w:sz w:val="20"/>
          <w:szCs w:val="20"/>
        </w:rPr>
        <w:t>бюджете</w:t>
      </w:r>
      <w:proofErr w:type="gramEnd"/>
      <w:r w:rsidRPr="00742EF3">
        <w:rPr>
          <w:sz w:val="20"/>
          <w:szCs w:val="20"/>
        </w:rPr>
        <w:t xml:space="preserve"> на 2023 год и на плановый </w:t>
      </w:r>
      <w:r w:rsidRPr="00742EF3">
        <w:rPr>
          <w:rFonts w:cs="Times New Roman"/>
          <w:sz w:val="20"/>
          <w:szCs w:val="20"/>
        </w:rPr>
        <w:t>период 2024 и 2025 годов».</w:t>
      </w:r>
    </w:p>
    <w:p w14:paraId="2F4ADFA7" w14:textId="77777777" w:rsidR="00BE26B1" w:rsidRPr="007B14DF" w:rsidRDefault="00BE26B1" w:rsidP="00BE26B1">
      <w:pPr>
        <w:pStyle w:val="11"/>
        <w:rPr>
          <w:rFonts w:cs="Times New Roman"/>
          <w:sz w:val="16"/>
          <w:szCs w:val="16"/>
        </w:rPr>
      </w:pPr>
    </w:p>
    <w:p w14:paraId="6672DA10" w14:textId="06C2137E" w:rsidR="00BE26B1" w:rsidRDefault="00BE26B1" w:rsidP="00BE26B1">
      <w:pPr>
        <w:pStyle w:val="Style1"/>
      </w:pPr>
      <w:r>
        <w:t>Из приведённых в пояснительной записке данных следует, что среднегодовые объёмы финансирования в 2023</w:t>
      </w:r>
      <w:r>
        <w:noBreakHyphen/>
        <w:t>2025 г</w:t>
      </w:r>
      <w:r w:rsidR="00742EF3">
        <w:t>одах</w:t>
      </w:r>
      <w:r>
        <w:t xml:space="preserve"> превысят размеры финансирования 2022 г</w:t>
      </w:r>
      <w:r w:rsidR="00742EF3">
        <w:t>ода</w:t>
      </w:r>
      <w:r>
        <w:t xml:space="preserve"> лишь у четверти государственных программ (табл</w:t>
      </w:r>
      <w:r w:rsidR="00742EF3">
        <w:t>ица</w:t>
      </w:r>
      <w:r>
        <w:t xml:space="preserve"> </w:t>
      </w:r>
      <w:r w:rsidR="00A72021">
        <w:t>1</w:t>
      </w:r>
      <w:r w:rsidR="00901ACF">
        <w:t>2</w:t>
      </w:r>
      <w:r>
        <w:t xml:space="preserve">). </w:t>
      </w:r>
    </w:p>
    <w:p w14:paraId="5F249431" w14:textId="77777777" w:rsidR="00BE26B1" w:rsidRPr="000A4DE4" w:rsidRDefault="00BE26B1" w:rsidP="00BE26B1">
      <w:pPr>
        <w:pStyle w:val="11"/>
        <w:rPr>
          <w:rFonts w:cs="Times New Roman"/>
          <w:sz w:val="16"/>
          <w:szCs w:val="16"/>
        </w:rPr>
      </w:pPr>
    </w:p>
    <w:p w14:paraId="195609B9" w14:textId="6A23A8C3" w:rsidR="00BE26B1" w:rsidRDefault="00BE26B1" w:rsidP="00742EF3">
      <w:pPr>
        <w:pStyle w:val="11"/>
        <w:rPr>
          <w:rFonts w:cs="Times New Roman"/>
          <w:bCs/>
          <w:szCs w:val="28"/>
        </w:rPr>
      </w:pPr>
      <w:r w:rsidRPr="00742EF3">
        <w:rPr>
          <w:rFonts w:cs="Times New Roman"/>
          <w:bCs/>
          <w:szCs w:val="28"/>
        </w:rPr>
        <w:t xml:space="preserve">Таблица </w:t>
      </w:r>
      <w:r w:rsidR="00A72021" w:rsidRPr="00742EF3">
        <w:rPr>
          <w:rFonts w:cs="Times New Roman"/>
          <w:bCs/>
          <w:szCs w:val="28"/>
        </w:rPr>
        <w:t>1</w:t>
      </w:r>
      <w:r w:rsidR="00901ACF">
        <w:rPr>
          <w:rFonts w:cs="Times New Roman"/>
          <w:bCs/>
          <w:szCs w:val="28"/>
        </w:rPr>
        <w:t>2</w:t>
      </w:r>
      <w:r w:rsidR="00742EF3">
        <w:rPr>
          <w:rFonts w:cs="Times New Roman"/>
          <w:bCs/>
          <w:szCs w:val="28"/>
        </w:rPr>
        <w:t xml:space="preserve"> -</w:t>
      </w:r>
      <w:r w:rsidRPr="00742EF3">
        <w:rPr>
          <w:rFonts w:cs="Times New Roman"/>
          <w:bCs/>
          <w:szCs w:val="28"/>
        </w:rPr>
        <w:t xml:space="preserve"> Отклонения среднегодовой величины расходов федерального бюджета 2023</w:t>
      </w:r>
      <w:r w:rsidRPr="00742EF3">
        <w:rPr>
          <w:rFonts w:cs="Times New Roman"/>
          <w:bCs/>
          <w:szCs w:val="28"/>
        </w:rPr>
        <w:noBreakHyphen/>
        <w:t>2025 г</w:t>
      </w:r>
      <w:r w:rsidR="00742EF3">
        <w:rPr>
          <w:rFonts w:cs="Times New Roman"/>
          <w:bCs/>
          <w:szCs w:val="28"/>
        </w:rPr>
        <w:t>одов</w:t>
      </w:r>
      <w:r w:rsidRPr="00742EF3">
        <w:rPr>
          <w:rFonts w:cs="Times New Roman"/>
          <w:bCs/>
          <w:szCs w:val="28"/>
        </w:rPr>
        <w:t xml:space="preserve"> на реализацию государственных программ от расходов на их финансирование в 2022 г</w:t>
      </w:r>
      <w:r w:rsidR="00742EF3">
        <w:rPr>
          <w:rFonts w:cs="Times New Roman"/>
          <w:bCs/>
          <w:szCs w:val="28"/>
        </w:rPr>
        <w:t>оду</w:t>
      </w:r>
      <w:r w:rsidRPr="00742EF3">
        <w:rPr>
          <w:rFonts w:cs="Times New Roman"/>
          <w:bCs/>
          <w:szCs w:val="28"/>
        </w:rPr>
        <w:t xml:space="preserve">, </w:t>
      </w:r>
      <w:proofErr w:type="gramStart"/>
      <w:r w:rsidRPr="00742EF3">
        <w:rPr>
          <w:rFonts w:cs="Times New Roman"/>
          <w:bCs/>
          <w:szCs w:val="28"/>
        </w:rPr>
        <w:t>млрд</w:t>
      </w:r>
      <w:proofErr w:type="gramEnd"/>
      <w:r w:rsidRPr="00742EF3">
        <w:rPr>
          <w:rFonts w:cs="Times New Roman"/>
          <w:bCs/>
          <w:szCs w:val="28"/>
        </w:rPr>
        <w:t xml:space="preserve"> руб.</w:t>
      </w:r>
    </w:p>
    <w:p w14:paraId="45E9E960" w14:textId="77777777" w:rsidR="00742EF3" w:rsidRPr="00742EF3" w:rsidRDefault="00742EF3" w:rsidP="00742EF3">
      <w:pPr>
        <w:pStyle w:val="11"/>
        <w:rPr>
          <w:rFonts w:cs="Times New Roman"/>
          <w:bCs/>
          <w:szCs w:val="28"/>
        </w:rPr>
      </w:pPr>
    </w:p>
    <w:tbl>
      <w:tblPr>
        <w:tblStyle w:val="ae"/>
        <w:tblW w:w="0" w:type="auto"/>
        <w:tblLook w:val="04A0" w:firstRow="1" w:lastRow="0" w:firstColumn="1" w:lastColumn="0" w:noHBand="0" w:noVBand="1"/>
      </w:tblPr>
      <w:tblGrid>
        <w:gridCol w:w="8046"/>
        <w:gridCol w:w="1525"/>
      </w:tblGrid>
      <w:tr w:rsidR="00BE26B1" w:rsidRPr="00E40C69" w14:paraId="16D31E26" w14:textId="77777777">
        <w:tc>
          <w:tcPr>
            <w:tcW w:w="8046" w:type="dxa"/>
          </w:tcPr>
          <w:p w14:paraId="14BFC398" w14:textId="77777777" w:rsidR="00BE26B1" w:rsidRPr="00E40C69" w:rsidRDefault="00BE26B1" w:rsidP="00E40C69">
            <w:pPr>
              <w:pStyle w:val="11"/>
              <w:jc w:val="center"/>
              <w:rPr>
                <w:rFonts w:cs="Times New Roman"/>
                <w:b/>
                <w:sz w:val="24"/>
                <w:szCs w:val="24"/>
              </w:rPr>
            </w:pPr>
            <w:r w:rsidRPr="00E40C69">
              <w:rPr>
                <w:rFonts w:cs="Times New Roman"/>
                <w:b/>
                <w:sz w:val="24"/>
                <w:szCs w:val="24"/>
              </w:rPr>
              <w:t>Государственная программа</w:t>
            </w:r>
          </w:p>
        </w:tc>
        <w:tc>
          <w:tcPr>
            <w:tcW w:w="1525" w:type="dxa"/>
          </w:tcPr>
          <w:p w14:paraId="1BBF5957" w14:textId="77777777" w:rsidR="00BE26B1" w:rsidRPr="00E40C69" w:rsidRDefault="00BE26B1" w:rsidP="00E40C69">
            <w:pPr>
              <w:pStyle w:val="11"/>
              <w:jc w:val="center"/>
              <w:rPr>
                <w:rFonts w:cs="Times New Roman"/>
                <w:b/>
                <w:sz w:val="24"/>
                <w:szCs w:val="24"/>
              </w:rPr>
            </w:pPr>
            <w:proofErr w:type="gramStart"/>
            <w:r w:rsidRPr="00E40C69">
              <w:rPr>
                <w:rFonts w:cs="Times New Roman"/>
                <w:b/>
                <w:sz w:val="24"/>
                <w:szCs w:val="24"/>
              </w:rPr>
              <w:t>Млрд</w:t>
            </w:r>
            <w:proofErr w:type="gramEnd"/>
            <w:r w:rsidRPr="00E40C69">
              <w:rPr>
                <w:rFonts w:cs="Times New Roman"/>
                <w:b/>
                <w:sz w:val="24"/>
                <w:szCs w:val="24"/>
              </w:rPr>
              <w:t xml:space="preserve"> руб.</w:t>
            </w:r>
          </w:p>
        </w:tc>
      </w:tr>
      <w:tr w:rsidR="00BE26B1" w:rsidRPr="00E40C69" w14:paraId="24BA6EA8" w14:textId="77777777">
        <w:tc>
          <w:tcPr>
            <w:tcW w:w="8046" w:type="dxa"/>
          </w:tcPr>
          <w:p w14:paraId="3C384C7B" w14:textId="77777777" w:rsidR="00BE26B1" w:rsidRPr="00E40C69" w:rsidRDefault="00BE26B1">
            <w:pPr>
              <w:pStyle w:val="11"/>
              <w:rPr>
                <w:rFonts w:cs="Times New Roman"/>
                <w:sz w:val="24"/>
                <w:szCs w:val="24"/>
              </w:rPr>
            </w:pPr>
            <w:r w:rsidRPr="00E40C69">
              <w:rPr>
                <w:rFonts w:cs="Times New Roman"/>
                <w:sz w:val="24"/>
                <w:szCs w:val="24"/>
              </w:rPr>
              <w:t>Социальная поддержка граждан</w:t>
            </w:r>
          </w:p>
        </w:tc>
        <w:tc>
          <w:tcPr>
            <w:tcW w:w="1525" w:type="dxa"/>
          </w:tcPr>
          <w:p w14:paraId="56DAD8C2" w14:textId="77777777" w:rsidR="00BE26B1" w:rsidRPr="00E40C69" w:rsidRDefault="00BE26B1">
            <w:pPr>
              <w:pStyle w:val="11"/>
              <w:rPr>
                <w:rFonts w:cs="Times New Roman"/>
                <w:sz w:val="24"/>
                <w:szCs w:val="24"/>
              </w:rPr>
            </w:pPr>
            <w:r w:rsidRPr="00E40C69">
              <w:rPr>
                <w:rFonts w:cs="Times New Roman"/>
                <w:sz w:val="24"/>
                <w:szCs w:val="24"/>
              </w:rPr>
              <w:t>389,9</w:t>
            </w:r>
          </w:p>
        </w:tc>
      </w:tr>
      <w:tr w:rsidR="00BE26B1" w:rsidRPr="00E40C69" w14:paraId="6E16B529" w14:textId="77777777">
        <w:tc>
          <w:tcPr>
            <w:tcW w:w="8046" w:type="dxa"/>
          </w:tcPr>
          <w:p w14:paraId="1F33F741" w14:textId="77777777" w:rsidR="00BE26B1" w:rsidRPr="00E40C69" w:rsidRDefault="00BE26B1">
            <w:pPr>
              <w:pStyle w:val="11"/>
              <w:rPr>
                <w:rFonts w:cs="Times New Roman"/>
                <w:sz w:val="24"/>
                <w:szCs w:val="24"/>
              </w:rPr>
            </w:pPr>
            <w:r w:rsidRPr="00E40C69">
              <w:rPr>
                <w:rFonts w:cs="Times New Roman"/>
                <w:sz w:val="24"/>
                <w:szCs w:val="24"/>
              </w:rPr>
              <w:t>Обеспечение общественного порядка и противодействие преступности</w:t>
            </w:r>
          </w:p>
        </w:tc>
        <w:tc>
          <w:tcPr>
            <w:tcW w:w="1525" w:type="dxa"/>
          </w:tcPr>
          <w:p w14:paraId="27A13263" w14:textId="77777777" w:rsidR="00BE26B1" w:rsidRPr="00E40C69" w:rsidRDefault="00BE26B1">
            <w:pPr>
              <w:pStyle w:val="11"/>
              <w:rPr>
                <w:rFonts w:cs="Times New Roman"/>
                <w:sz w:val="24"/>
                <w:szCs w:val="24"/>
              </w:rPr>
            </w:pPr>
            <w:r w:rsidRPr="00E40C69">
              <w:rPr>
                <w:rFonts w:cs="Times New Roman"/>
                <w:sz w:val="24"/>
                <w:szCs w:val="24"/>
              </w:rPr>
              <w:t>126,6</w:t>
            </w:r>
          </w:p>
        </w:tc>
      </w:tr>
      <w:tr w:rsidR="00BE26B1" w:rsidRPr="00E40C69" w14:paraId="36D0196B" w14:textId="77777777">
        <w:tc>
          <w:tcPr>
            <w:tcW w:w="8046" w:type="dxa"/>
          </w:tcPr>
          <w:p w14:paraId="7830E4BF" w14:textId="77777777" w:rsidR="00BE26B1" w:rsidRPr="00E40C69" w:rsidRDefault="00BE26B1">
            <w:pPr>
              <w:pStyle w:val="11"/>
              <w:rPr>
                <w:rFonts w:cs="Times New Roman"/>
                <w:sz w:val="24"/>
                <w:szCs w:val="24"/>
              </w:rPr>
            </w:pPr>
            <w:r w:rsidRPr="00E40C69">
              <w:rPr>
                <w:rFonts w:cs="Times New Roman"/>
                <w:sz w:val="24"/>
                <w:szCs w:val="24"/>
              </w:rPr>
              <w:t>Научно-технологическое развитие Российской Федерации</w:t>
            </w:r>
          </w:p>
        </w:tc>
        <w:tc>
          <w:tcPr>
            <w:tcW w:w="1525" w:type="dxa"/>
          </w:tcPr>
          <w:p w14:paraId="06C46129" w14:textId="77777777" w:rsidR="00BE26B1" w:rsidRPr="00E40C69" w:rsidRDefault="00BE26B1">
            <w:pPr>
              <w:pStyle w:val="11"/>
              <w:rPr>
                <w:rFonts w:cs="Times New Roman"/>
                <w:sz w:val="24"/>
                <w:szCs w:val="24"/>
              </w:rPr>
            </w:pPr>
            <w:r w:rsidRPr="00E40C69">
              <w:rPr>
                <w:rFonts w:cs="Times New Roman"/>
                <w:sz w:val="24"/>
                <w:szCs w:val="24"/>
              </w:rPr>
              <w:t>74,4</w:t>
            </w:r>
          </w:p>
        </w:tc>
      </w:tr>
      <w:tr w:rsidR="00BE26B1" w:rsidRPr="00E40C69" w14:paraId="3C55C968" w14:textId="77777777">
        <w:tc>
          <w:tcPr>
            <w:tcW w:w="8046" w:type="dxa"/>
          </w:tcPr>
          <w:p w14:paraId="686BE833" w14:textId="77777777" w:rsidR="00BE26B1" w:rsidRPr="00E40C69" w:rsidRDefault="00BE26B1">
            <w:pPr>
              <w:pStyle w:val="11"/>
              <w:rPr>
                <w:rFonts w:cs="Times New Roman"/>
                <w:sz w:val="24"/>
                <w:szCs w:val="24"/>
              </w:rPr>
            </w:pPr>
            <w:r w:rsidRPr="00E40C69">
              <w:rPr>
                <w:rFonts w:cs="Times New Roman"/>
                <w:sz w:val="24"/>
                <w:szCs w:val="24"/>
              </w:rPr>
              <w:t>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1525" w:type="dxa"/>
          </w:tcPr>
          <w:p w14:paraId="0EB7CD90" w14:textId="77777777" w:rsidR="00BE26B1" w:rsidRPr="00E40C69" w:rsidRDefault="00BE26B1">
            <w:pPr>
              <w:pStyle w:val="11"/>
              <w:rPr>
                <w:rFonts w:cs="Times New Roman"/>
                <w:sz w:val="24"/>
                <w:szCs w:val="24"/>
              </w:rPr>
            </w:pPr>
            <w:r w:rsidRPr="00E40C69">
              <w:rPr>
                <w:rFonts w:cs="Times New Roman"/>
                <w:sz w:val="24"/>
                <w:szCs w:val="24"/>
              </w:rPr>
              <w:t>70,5</w:t>
            </w:r>
          </w:p>
        </w:tc>
      </w:tr>
      <w:tr w:rsidR="00BE26B1" w:rsidRPr="00E40C69" w14:paraId="5C3DD6DD" w14:textId="77777777">
        <w:tc>
          <w:tcPr>
            <w:tcW w:w="8046" w:type="dxa"/>
          </w:tcPr>
          <w:p w14:paraId="421C682F" w14:textId="77777777" w:rsidR="00BE26B1" w:rsidRPr="00E40C69" w:rsidRDefault="00BE26B1">
            <w:pPr>
              <w:pStyle w:val="11"/>
              <w:rPr>
                <w:rFonts w:cs="Times New Roman"/>
                <w:sz w:val="24"/>
                <w:szCs w:val="24"/>
              </w:rPr>
            </w:pPr>
            <w:r w:rsidRPr="00E40C69">
              <w:rPr>
                <w:rFonts w:cs="Times New Roman"/>
                <w:sz w:val="24"/>
                <w:szCs w:val="24"/>
              </w:rPr>
              <w:t>Юстиция</w:t>
            </w:r>
          </w:p>
        </w:tc>
        <w:tc>
          <w:tcPr>
            <w:tcW w:w="1525" w:type="dxa"/>
          </w:tcPr>
          <w:p w14:paraId="56D59EE7" w14:textId="77777777" w:rsidR="00BE26B1" w:rsidRPr="00E40C69" w:rsidRDefault="00BE26B1">
            <w:pPr>
              <w:pStyle w:val="11"/>
              <w:rPr>
                <w:rFonts w:cs="Times New Roman"/>
                <w:sz w:val="24"/>
                <w:szCs w:val="24"/>
              </w:rPr>
            </w:pPr>
            <w:r w:rsidRPr="00E40C69">
              <w:rPr>
                <w:rFonts w:cs="Times New Roman"/>
                <w:sz w:val="24"/>
                <w:szCs w:val="24"/>
              </w:rPr>
              <w:t>45,4</w:t>
            </w:r>
          </w:p>
        </w:tc>
      </w:tr>
      <w:tr w:rsidR="00BE26B1" w:rsidRPr="00E40C69" w14:paraId="281B4DBD" w14:textId="77777777">
        <w:tc>
          <w:tcPr>
            <w:tcW w:w="8046" w:type="dxa"/>
          </w:tcPr>
          <w:p w14:paraId="4B68B90C" w14:textId="77777777" w:rsidR="00BE26B1" w:rsidRPr="00E40C69" w:rsidRDefault="00BE26B1">
            <w:pPr>
              <w:pStyle w:val="11"/>
              <w:rPr>
                <w:rFonts w:cs="Times New Roman"/>
                <w:sz w:val="24"/>
                <w:szCs w:val="24"/>
              </w:rPr>
            </w:pPr>
            <w:r w:rsidRPr="00E40C69">
              <w:rPr>
                <w:rFonts w:cs="Times New Roman"/>
                <w:sz w:val="24"/>
                <w:szCs w:val="24"/>
              </w:rPr>
              <w:t>Развитие электронной и радиоэлектронной промышленности</w:t>
            </w:r>
          </w:p>
        </w:tc>
        <w:tc>
          <w:tcPr>
            <w:tcW w:w="1525" w:type="dxa"/>
          </w:tcPr>
          <w:p w14:paraId="0B8FD642" w14:textId="77777777" w:rsidR="00BE26B1" w:rsidRPr="00E40C69" w:rsidRDefault="00BE26B1">
            <w:pPr>
              <w:pStyle w:val="11"/>
              <w:rPr>
                <w:rFonts w:cs="Times New Roman"/>
                <w:sz w:val="24"/>
                <w:szCs w:val="24"/>
              </w:rPr>
            </w:pPr>
            <w:r w:rsidRPr="00E40C69">
              <w:rPr>
                <w:rFonts w:cs="Times New Roman"/>
                <w:sz w:val="24"/>
                <w:szCs w:val="24"/>
              </w:rPr>
              <w:t>43,0</w:t>
            </w:r>
          </w:p>
        </w:tc>
      </w:tr>
      <w:tr w:rsidR="00BE26B1" w:rsidRPr="00E40C69" w14:paraId="046041FC" w14:textId="77777777">
        <w:tc>
          <w:tcPr>
            <w:tcW w:w="8046" w:type="dxa"/>
          </w:tcPr>
          <w:p w14:paraId="3A820222" w14:textId="77777777" w:rsidR="00BE26B1" w:rsidRPr="00E40C69" w:rsidRDefault="00BE26B1">
            <w:pPr>
              <w:pStyle w:val="11"/>
              <w:rPr>
                <w:rFonts w:cs="Times New Roman"/>
                <w:sz w:val="24"/>
                <w:szCs w:val="24"/>
              </w:rPr>
            </w:pPr>
            <w:r w:rsidRPr="00E40C69">
              <w:rPr>
                <w:rFonts w:cs="Times New Roman"/>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p>
        </w:tc>
        <w:tc>
          <w:tcPr>
            <w:tcW w:w="1525" w:type="dxa"/>
          </w:tcPr>
          <w:p w14:paraId="2898AE37" w14:textId="77777777" w:rsidR="00BE26B1" w:rsidRPr="00E40C69" w:rsidRDefault="00BE26B1">
            <w:pPr>
              <w:pStyle w:val="11"/>
              <w:rPr>
                <w:rFonts w:cs="Times New Roman"/>
                <w:sz w:val="24"/>
                <w:szCs w:val="24"/>
              </w:rPr>
            </w:pPr>
            <w:r w:rsidRPr="00E40C69">
              <w:rPr>
                <w:rFonts w:cs="Times New Roman"/>
                <w:sz w:val="24"/>
                <w:szCs w:val="24"/>
              </w:rPr>
              <w:t>16,1</w:t>
            </w:r>
          </w:p>
        </w:tc>
      </w:tr>
      <w:tr w:rsidR="00BE26B1" w:rsidRPr="00E40C69" w14:paraId="1BD750BE" w14:textId="77777777">
        <w:tc>
          <w:tcPr>
            <w:tcW w:w="8046" w:type="dxa"/>
          </w:tcPr>
          <w:p w14:paraId="7BD01764" w14:textId="77777777" w:rsidR="00BE26B1" w:rsidRPr="00E40C69" w:rsidRDefault="00BE26B1">
            <w:pPr>
              <w:pStyle w:val="11"/>
              <w:rPr>
                <w:rFonts w:cs="Times New Roman"/>
                <w:sz w:val="24"/>
                <w:szCs w:val="24"/>
              </w:rPr>
            </w:pPr>
            <w:r w:rsidRPr="00E40C69">
              <w:rPr>
                <w:rFonts w:cs="Times New Roman"/>
                <w:sz w:val="24"/>
                <w:szCs w:val="24"/>
              </w:rPr>
              <w:t>Эффективное вовлечение в оборот земель сельскохозяйственного назначения и развитие мелиоративного комплекса</w:t>
            </w:r>
          </w:p>
        </w:tc>
        <w:tc>
          <w:tcPr>
            <w:tcW w:w="1525" w:type="dxa"/>
          </w:tcPr>
          <w:p w14:paraId="791E5607" w14:textId="77777777" w:rsidR="00BE26B1" w:rsidRPr="00E40C69" w:rsidRDefault="00BE26B1">
            <w:pPr>
              <w:pStyle w:val="11"/>
              <w:rPr>
                <w:rFonts w:cs="Times New Roman"/>
                <w:sz w:val="24"/>
                <w:szCs w:val="24"/>
              </w:rPr>
            </w:pPr>
            <w:r w:rsidRPr="00E40C69">
              <w:rPr>
                <w:rFonts w:cs="Times New Roman"/>
                <w:sz w:val="24"/>
                <w:szCs w:val="24"/>
              </w:rPr>
              <w:t>12,1</w:t>
            </w:r>
          </w:p>
        </w:tc>
      </w:tr>
      <w:tr w:rsidR="00BE26B1" w:rsidRPr="00E40C69" w14:paraId="19536372" w14:textId="77777777">
        <w:tc>
          <w:tcPr>
            <w:tcW w:w="8046" w:type="dxa"/>
          </w:tcPr>
          <w:p w14:paraId="2E4148CA" w14:textId="77777777" w:rsidR="00BE26B1" w:rsidRPr="00E40C69" w:rsidRDefault="00BE26B1">
            <w:pPr>
              <w:pStyle w:val="11"/>
              <w:rPr>
                <w:rFonts w:cs="Times New Roman"/>
                <w:sz w:val="24"/>
                <w:szCs w:val="24"/>
              </w:rPr>
            </w:pPr>
            <w:r w:rsidRPr="00E40C69">
              <w:rPr>
                <w:rFonts w:cs="Times New Roman"/>
                <w:sz w:val="24"/>
                <w:szCs w:val="24"/>
              </w:rPr>
              <w:t>Доступная среда</w:t>
            </w:r>
          </w:p>
        </w:tc>
        <w:tc>
          <w:tcPr>
            <w:tcW w:w="1525" w:type="dxa"/>
          </w:tcPr>
          <w:p w14:paraId="199236F7" w14:textId="77777777" w:rsidR="00BE26B1" w:rsidRPr="00E40C69" w:rsidRDefault="00BE26B1">
            <w:pPr>
              <w:pStyle w:val="11"/>
              <w:rPr>
                <w:rFonts w:cs="Times New Roman"/>
                <w:sz w:val="24"/>
                <w:szCs w:val="24"/>
              </w:rPr>
            </w:pPr>
            <w:r w:rsidRPr="00E40C69">
              <w:rPr>
                <w:rFonts w:cs="Times New Roman"/>
                <w:sz w:val="24"/>
                <w:szCs w:val="24"/>
              </w:rPr>
              <w:t>8,8</w:t>
            </w:r>
          </w:p>
        </w:tc>
      </w:tr>
      <w:tr w:rsidR="00BE26B1" w:rsidRPr="00E40C69" w14:paraId="18B1D42A" w14:textId="77777777">
        <w:tc>
          <w:tcPr>
            <w:tcW w:w="8046" w:type="dxa"/>
          </w:tcPr>
          <w:p w14:paraId="2F1ACB5B" w14:textId="77777777" w:rsidR="00BE26B1" w:rsidRPr="00E40C69" w:rsidRDefault="00BE26B1">
            <w:pPr>
              <w:pStyle w:val="11"/>
              <w:rPr>
                <w:rFonts w:cs="Times New Roman"/>
                <w:sz w:val="24"/>
                <w:szCs w:val="24"/>
              </w:rPr>
            </w:pPr>
            <w:r w:rsidRPr="00E40C69">
              <w:rPr>
                <w:rFonts w:cs="Times New Roman"/>
                <w:sz w:val="24"/>
                <w:szCs w:val="24"/>
              </w:rPr>
              <w:t>Социально-экономическое развитие Республики Крым и г. Севастополя</w:t>
            </w:r>
          </w:p>
        </w:tc>
        <w:tc>
          <w:tcPr>
            <w:tcW w:w="1525" w:type="dxa"/>
          </w:tcPr>
          <w:p w14:paraId="31F82BB7" w14:textId="77777777" w:rsidR="00BE26B1" w:rsidRPr="00E40C69" w:rsidRDefault="00BE26B1">
            <w:pPr>
              <w:pStyle w:val="11"/>
              <w:rPr>
                <w:rFonts w:cs="Times New Roman"/>
                <w:sz w:val="24"/>
                <w:szCs w:val="24"/>
              </w:rPr>
            </w:pPr>
            <w:r w:rsidRPr="00E40C69">
              <w:rPr>
                <w:rFonts w:cs="Times New Roman"/>
                <w:sz w:val="24"/>
                <w:szCs w:val="24"/>
              </w:rPr>
              <w:t>8,2</w:t>
            </w:r>
          </w:p>
        </w:tc>
      </w:tr>
      <w:tr w:rsidR="00BE26B1" w:rsidRPr="00E40C69" w14:paraId="342107C5" w14:textId="77777777">
        <w:tc>
          <w:tcPr>
            <w:tcW w:w="8046" w:type="dxa"/>
          </w:tcPr>
          <w:p w14:paraId="79250A13" w14:textId="77777777" w:rsidR="00BE26B1" w:rsidRPr="00E40C69" w:rsidRDefault="00BE26B1">
            <w:pPr>
              <w:pStyle w:val="11"/>
              <w:rPr>
                <w:rFonts w:cs="Times New Roman"/>
                <w:sz w:val="24"/>
                <w:szCs w:val="24"/>
              </w:rPr>
            </w:pPr>
            <w:r w:rsidRPr="00E40C69">
              <w:rPr>
                <w:rFonts w:cs="Times New Roman"/>
                <w:sz w:val="24"/>
                <w:szCs w:val="24"/>
              </w:rPr>
              <w:t>Развитие авиационной промышленности</w:t>
            </w:r>
          </w:p>
        </w:tc>
        <w:tc>
          <w:tcPr>
            <w:tcW w:w="1525" w:type="dxa"/>
          </w:tcPr>
          <w:p w14:paraId="1D006B4C" w14:textId="77777777" w:rsidR="00BE26B1" w:rsidRPr="00E40C69" w:rsidRDefault="00BE26B1">
            <w:pPr>
              <w:pStyle w:val="11"/>
              <w:rPr>
                <w:rFonts w:cs="Times New Roman"/>
                <w:sz w:val="24"/>
                <w:szCs w:val="24"/>
              </w:rPr>
            </w:pPr>
            <w:r w:rsidRPr="00E40C69">
              <w:rPr>
                <w:rFonts w:cs="Times New Roman"/>
                <w:sz w:val="24"/>
                <w:szCs w:val="24"/>
              </w:rPr>
              <w:t>2,4</w:t>
            </w:r>
          </w:p>
        </w:tc>
      </w:tr>
    </w:tbl>
    <w:p w14:paraId="4AB7A058" w14:textId="77777777" w:rsidR="00BE26B1" w:rsidRPr="00742EF3" w:rsidRDefault="00BE26B1" w:rsidP="00742EF3">
      <w:pPr>
        <w:pStyle w:val="11"/>
        <w:spacing w:line="240" w:lineRule="auto"/>
        <w:rPr>
          <w:rFonts w:cs="Times New Roman"/>
          <w:sz w:val="20"/>
          <w:szCs w:val="20"/>
        </w:rPr>
      </w:pPr>
      <w:r w:rsidRPr="00742EF3">
        <w:rPr>
          <w:rFonts w:cs="Times New Roman"/>
          <w:i/>
          <w:sz w:val="20"/>
          <w:szCs w:val="20"/>
        </w:rPr>
        <w:t>Источник</w:t>
      </w:r>
      <w:r w:rsidRPr="00742EF3">
        <w:rPr>
          <w:rFonts w:cs="Times New Roman"/>
          <w:sz w:val="20"/>
          <w:szCs w:val="20"/>
        </w:rPr>
        <w:t xml:space="preserve">: составлено по данным табл. </w:t>
      </w:r>
      <w:r w:rsidRPr="00742EF3">
        <w:rPr>
          <w:sz w:val="20"/>
          <w:szCs w:val="20"/>
        </w:rPr>
        <w:t>4.2.2</w:t>
      </w:r>
      <w:r w:rsidRPr="00742EF3">
        <w:rPr>
          <w:sz w:val="20"/>
          <w:szCs w:val="20"/>
        </w:rPr>
        <w:noBreakHyphen/>
        <w:t xml:space="preserve">4.2.44, </w:t>
      </w:r>
      <w:r w:rsidRPr="00742EF3">
        <w:rPr>
          <w:rFonts w:cs="Times New Roman"/>
          <w:sz w:val="20"/>
          <w:szCs w:val="20"/>
        </w:rPr>
        <w:t xml:space="preserve">4.4 Пояснительной записки </w:t>
      </w:r>
      <w:r w:rsidRPr="00742EF3">
        <w:rPr>
          <w:sz w:val="20"/>
          <w:szCs w:val="20"/>
        </w:rPr>
        <w:t xml:space="preserve">к проекту федерального закона «О федеральном </w:t>
      </w:r>
      <w:proofErr w:type="gramStart"/>
      <w:r w:rsidRPr="00742EF3">
        <w:rPr>
          <w:sz w:val="20"/>
          <w:szCs w:val="20"/>
        </w:rPr>
        <w:t>бюджете</w:t>
      </w:r>
      <w:proofErr w:type="gramEnd"/>
      <w:r w:rsidRPr="00742EF3">
        <w:rPr>
          <w:sz w:val="20"/>
          <w:szCs w:val="20"/>
        </w:rPr>
        <w:t xml:space="preserve"> на 2023 год и на плановый </w:t>
      </w:r>
      <w:r w:rsidRPr="00742EF3">
        <w:rPr>
          <w:rFonts w:cs="Times New Roman"/>
          <w:sz w:val="20"/>
          <w:szCs w:val="20"/>
        </w:rPr>
        <w:t>период 2024 и 2025 годов».</w:t>
      </w:r>
    </w:p>
    <w:p w14:paraId="018F29F6" w14:textId="77777777" w:rsidR="00BE26B1" w:rsidRPr="007B14DF" w:rsidRDefault="00BE26B1" w:rsidP="00BE26B1">
      <w:pPr>
        <w:pStyle w:val="11"/>
        <w:rPr>
          <w:rFonts w:cs="Times New Roman"/>
          <w:sz w:val="16"/>
          <w:szCs w:val="16"/>
        </w:rPr>
      </w:pPr>
    </w:p>
    <w:p w14:paraId="6C497B9C" w14:textId="2A86A7A7" w:rsidR="00BE26B1" w:rsidRPr="00EA0DCD" w:rsidRDefault="00BE26B1" w:rsidP="00742EF3">
      <w:pPr>
        <w:pStyle w:val="Style1"/>
        <w:spacing w:line="360" w:lineRule="auto"/>
      </w:pPr>
      <w:r>
        <w:t>У остальных государственных программ они будут меньше, чем в 2022 г</w:t>
      </w:r>
      <w:r w:rsidR="00742EF3">
        <w:t>оду</w:t>
      </w:r>
      <w:r>
        <w:t>.</w:t>
      </w:r>
      <w:r>
        <w:rPr>
          <w:rStyle w:val="aa"/>
        </w:rPr>
        <w:footnoteReference w:id="16"/>
      </w:r>
      <w:r>
        <w:t xml:space="preserve"> В число </w:t>
      </w:r>
      <w:proofErr w:type="gramStart"/>
      <w:r>
        <w:t>последних</w:t>
      </w:r>
      <w:proofErr w:type="gramEnd"/>
      <w:r>
        <w:t xml:space="preserve"> входят такие важные для безопасности, суверенитета, противодействия угрозам и санкциям программы как: </w:t>
      </w:r>
      <w:r w:rsidRPr="00EA0DCD">
        <w:t>«Развитие судостроения и техники для освоения шельфовых месторождений»; «Обеспечение химической и биологической безопасности Российской Федерации»</w:t>
      </w:r>
      <w:proofErr w:type="gramStart"/>
      <w:r w:rsidRPr="00EA0DCD">
        <w:t>;«</w:t>
      </w:r>
      <w:proofErr w:type="gramEnd"/>
      <w:r w:rsidRPr="00EA0DCD">
        <w:t xml:space="preserve"> Развитие фармацевтической и медицинской промышленности»; «Космическая деятельность России»; «Развитие энергетики»; «Развитие атомного энергопромышленного комплекса»; «Развитие промышленности и повышение ее конкурентоспособности»; «Развитие транспортной системы».</w:t>
      </w:r>
    </w:p>
    <w:p w14:paraId="4FA24F9A" w14:textId="29AA4D34" w:rsidR="00EA0DCD" w:rsidRPr="001E614B" w:rsidRDefault="00EA0DCD" w:rsidP="00742EF3">
      <w:pPr>
        <w:autoSpaceDE w:val="0"/>
        <w:autoSpaceDN w:val="0"/>
        <w:adjustRightInd w:val="0"/>
        <w:spacing w:line="360" w:lineRule="auto"/>
        <w:ind w:firstLine="709"/>
        <w:contextualSpacing/>
        <w:jc w:val="both"/>
        <w:rPr>
          <w:color w:val="000000"/>
          <w:sz w:val="28"/>
          <w:szCs w:val="20"/>
          <w:vertAlign w:val="superscript"/>
        </w:rPr>
      </w:pPr>
      <w:r w:rsidRPr="00EA0DCD">
        <w:rPr>
          <w:i/>
          <w:iCs/>
          <w:color w:val="000000"/>
          <w:sz w:val="28"/>
          <w:szCs w:val="20"/>
        </w:rPr>
        <w:t>Важнейшей задачей правительства в условиях кризиса является не только недопущение роста бедности, но и ее снижение.</w:t>
      </w:r>
      <w:r w:rsidRPr="001E614B">
        <w:rPr>
          <w:color w:val="000000"/>
          <w:sz w:val="28"/>
          <w:szCs w:val="20"/>
        </w:rPr>
        <w:t xml:space="preserve"> По данным Росстата, численность населения с денежными доходами ниже границы бедности снизилась с 18,2 </w:t>
      </w:r>
      <w:proofErr w:type="gramStart"/>
      <w:r w:rsidR="00E40C69">
        <w:rPr>
          <w:color w:val="000000"/>
          <w:sz w:val="28"/>
          <w:szCs w:val="20"/>
        </w:rPr>
        <w:t>млн</w:t>
      </w:r>
      <w:proofErr w:type="gramEnd"/>
      <w:r w:rsidRPr="001E614B">
        <w:rPr>
          <w:color w:val="000000"/>
          <w:sz w:val="28"/>
          <w:szCs w:val="20"/>
        </w:rPr>
        <w:t xml:space="preserve"> человек во втором квартале 2021 года до 17,6 </w:t>
      </w:r>
      <w:r w:rsidR="00E40C69">
        <w:rPr>
          <w:color w:val="000000"/>
          <w:sz w:val="28"/>
          <w:szCs w:val="20"/>
        </w:rPr>
        <w:t>млн</w:t>
      </w:r>
      <w:r w:rsidRPr="001E614B">
        <w:rPr>
          <w:color w:val="000000"/>
          <w:sz w:val="28"/>
          <w:szCs w:val="20"/>
        </w:rPr>
        <w:t xml:space="preserve"> человек во втором квартале 2022 года. Однако, по предварительным данным Росстата численность населения с денежными доходами ниже границы бедности в целом по Российской Федерации составила 18,9 </w:t>
      </w:r>
      <w:proofErr w:type="gramStart"/>
      <w:r w:rsidR="00E40C69">
        <w:rPr>
          <w:color w:val="000000"/>
          <w:sz w:val="28"/>
          <w:szCs w:val="20"/>
        </w:rPr>
        <w:t>млн</w:t>
      </w:r>
      <w:proofErr w:type="gramEnd"/>
      <w:r w:rsidRPr="001E614B">
        <w:rPr>
          <w:color w:val="000000"/>
          <w:sz w:val="28"/>
          <w:szCs w:val="20"/>
        </w:rPr>
        <w:t xml:space="preserve"> чел. (табл</w:t>
      </w:r>
      <w:r w:rsidR="00742EF3">
        <w:rPr>
          <w:color w:val="000000"/>
          <w:sz w:val="28"/>
          <w:szCs w:val="20"/>
        </w:rPr>
        <w:t>ицы</w:t>
      </w:r>
      <w:r w:rsidRPr="001E614B">
        <w:rPr>
          <w:color w:val="000000"/>
          <w:sz w:val="28"/>
          <w:szCs w:val="20"/>
        </w:rPr>
        <w:t xml:space="preserve"> </w:t>
      </w:r>
      <w:r w:rsidR="00A72021">
        <w:rPr>
          <w:color w:val="000000"/>
          <w:sz w:val="28"/>
          <w:szCs w:val="20"/>
        </w:rPr>
        <w:t>1</w:t>
      </w:r>
      <w:r w:rsidR="00901ACF">
        <w:rPr>
          <w:color w:val="000000"/>
          <w:sz w:val="28"/>
          <w:szCs w:val="20"/>
        </w:rPr>
        <w:t>3</w:t>
      </w:r>
      <w:r w:rsidR="00742EF3">
        <w:rPr>
          <w:color w:val="000000"/>
          <w:sz w:val="28"/>
          <w:szCs w:val="20"/>
        </w:rPr>
        <w:t xml:space="preserve"> и 1</w:t>
      </w:r>
      <w:r w:rsidR="00901ACF">
        <w:rPr>
          <w:color w:val="000000"/>
          <w:sz w:val="28"/>
          <w:szCs w:val="20"/>
        </w:rPr>
        <w:t>4</w:t>
      </w:r>
      <w:r>
        <w:rPr>
          <w:color w:val="000000"/>
          <w:sz w:val="28"/>
          <w:szCs w:val="20"/>
        </w:rPr>
        <w:t>).</w:t>
      </w:r>
      <w:r w:rsidRPr="001E614B">
        <w:rPr>
          <w:rStyle w:val="aa"/>
          <w:color w:val="000000"/>
          <w:szCs w:val="20"/>
        </w:rPr>
        <w:footnoteReference w:id="17"/>
      </w:r>
      <w:r w:rsidRPr="001E614B">
        <w:rPr>
          <w:color w:val="000000"/>
          <w:sz w:val="28"/>
          <w:szCs w:val="20"/>
          <w:vertAlign w:val="superscript"/>
        </w:rPr>
        <w:t>,</w:t>
      </w:r>
      <w:r w:rsidRPr="001E614B">
        <w:rPr>
          <w:rStyle w:val="aa"/>
          <w:color w:val="000000"/>
          <w:szCs w:val="20"/>
        </w:rPr>
        <w:footnoteReference w:id="18"/>
      </w:r>
    </w:p>
    <w:p w14:paraId="1EE060F4" w14:textId="77777777" w:rsidR="00E40C69" w:rsidRDefault="00E40C69" w:rsidP="00EA0DCD">
      <w:pPr>
        <w:contextualSpacing/>
        <w:jc w:val="center"/>
        <w:rPr>
          <w:rFonts w:eastAsia="Calibri"/>
          <w:b/>
          <w:color w:val="000000" w:themeColor="text1"/>
        </w:rPr>
      </w:pPr>
    </w:p>
    <w:p w14:paraId="20D49519" w14:textId="5E7EF868" w:rsidR="00EA0DCD" w:rsidRDefault="00EA0DCD" w:rsidP="00742EF3">
      <w:pPr>
        <w:contextualSpacing/>
        <w:jc w:val="both"/>
        <w:rPr>
          <w:rFonts w:eastAsia="Calibri"/>
          <w:bCs/>
          <w:sz w:val="28"/>
          <w:szCs w:val="28"/>
        </w:rPr>
      </w:pPr>
      <w:r w:rsidRPr="00742EF3">
        <w:rPr>
          <w:rFonts w:eastAsia="Calibri"/>
          <w:bCs/>
          <w:color w:val="000000" w:themeColor="text1"/>
          <w:sz w:val="28"/>
          <w:szCs w:val="28"/>
        </w:rPr>
        <w:t xml:space="preserve">Таблица </w:t>
      </w:r>
      <w:r w:rsidR="00A72021" w:rsidRPr="00742EF3">
        <w:rPr>
          <w:rFonts w:eastAsia="Calibri"/>
          <w:bCs/>
          <w:color w:val="000000" w:themeColor="text1"/>
          <w:sz w:val="28"/>
          <w:szCs w:val="28"/>
        </w:rPr>
        <w:t>1</w:t>
      </w:r>
      <w:r w:rsidR="00901ACF">
        <w:rPr>
          <w:rFonts w:eastAsia="Calibri"/>
          <w:bCs/>
          <w:color w:val="000000" w:themeColor="text1"/>
          <w:sz w:val="28"/>
          <w:szCs w:val="28"/>
        </w:rPr>
        <w:t xml:space="preserve">3 </w:t>
      </w:r>
      <w:r w:rsidR="00742EF3" w:rsidRPr="00742EF3">
        <w:rPr>
          <w:rFonts w:eastAsia="Calibri"/>
          <w:bCs/>
          <w:color w:val="000000" w:themeColor="text1"/>
          <w:sz w:val="28"/>
          <w:szCs w:val="28"/>
        </w:rPr>
        <w:t>-</w:t>
      </w:r>
      <w:r w:rsidRPr="00742EF3">
        <w:rPr>
          <w:rFonts w:eastAsia="Calibri"/>
          <w:bCs/>
          <w:color w:val="000000" w:themeColor="text1"/>
          <w:sz w:val="28"/>
          <w:szCs w:val="28"/>
        </w:rPr>
        <w:t xml:space="preserve"> </w:t>
      </w:r>
      <w:r w:rsidRPr="00742EF3">
        <w:rPr>
          <w:rFonts w:eastAsia="Calibri"/>
          <w:bCs/>
          <w:sz w:val="28"/>
          <w:szCs w:val="28"/>
        </w:rPr>
        <w:t>Границы бедности в целом по Российской Федерации, (руб. в месяц)</w:t>
      </w:r>
    </w:p>
    <w:p w14:paraId="6269B5FE" w14:textId="77777777" w:rsidR="00742EF3" w:rsidRPr="00742EF3" w:rsidRDefault="00742EF3" w:rsidP="00742EF3">
      <w:pPr>
        <w:contextualSpacing/>
        <w:jc w:val="both"/>
        <w:rPr>
          <w:rFonts w:eastAsia="Calibri"/>
          <w:bCs/>
          <w:color w:val="000000" w:themeColor="text1"/>
          <w:sz w:val="28"/>
          <w:szCs w:val="28"/>
        </w:rPr>
      </w:pPr>
    </w:p>
    <w:tbl>
      <w:tblPr>
        <w:tblStyle w:val="6"/>
        <w:tblW w:w="0" w:type="auto"/>
        <w:tblLook w:val="04A0" w:firstRow="1" w:lastRow="0" w:firstColumn="1" w:lastColumn="0" w:noHBand="0" w:noVBand="1"/>
      </w:tblPr>
      <w:tblGrid>
        <w:gridCol w:w="1820"/>
        <w:gridCol w:w="1168"/>
        <w:gridCol w:w="1725"/>
        <w:gridCol w:w="1378"/>
        <w:gridCol w:w="1134"/>
        <w:gridCol w:w="1842"/>
      </w:tblGrid>
      <w:tr w:rsidR="00EA0DCD" w:rsidRPr="004847AD" w14:paraId="00F204E5" w14:textId="77777777">
        <w:tc>
          <w:tcPr>
            <w:tcW w:w="1820" w:type="dxa"/>
            <w:vMerge w:val="restart"/>
          </w:tcPr>
          <w:p w14:paraId="1668A4DE" w14:textId="77777777" w:rsidR="00EA0DCD" w:rsidRPr="004847AD" w:rsidRDefault="00EA0DCD">
            <w:pPr>
              <w:contextualSpacing/>
              <w:jc w:val="center"/>
              <w:rPr>
                <w:rFonts w:eastAsia="Calibri"/>
                <w:b/>
                <w:sz w:val="20"/>
                <w:szCs w:val="20"/>
              </w:rPr>
            </w:pPr>
          </w:p>
        </w:tc>
        <w:tc>
          <w:tcPr>
            <w:tcW w:w="1168" w:type="dxa"/>
            <w:vMerge w:val="restart"/>
          </w:tcPr>
          <w:p w14:paraId="4789A8BF" w14:textId="77777777" w:rsidR="00EA0DCD" w:rsidRPr="004847AD" w:rsidRDefault="00EA0DCD">
            <w:pPr>
              <w:contextualSpacing/>
              <w:jc w:val="center"/>
              <w:rPr>
                <w:rFonts w:eastAsia="Calibri"/>
                <w:b/>
                <w:sz w:val="20"/>
                <w:szCs w:val="20"/>
              </w:rPr>
            </w:pPr>
            <w:r w:rsidRPr="004847AD">
              <w:rPr>
                <w:rFonts w:eastAsia="Calibri"/>
                <w:b/>
                <w:sz w:val="20"/>
                <w:szCs w:val="20"/>
              </w:rPr>
              <w:t>Все</w:t>
            </w:r>
          </w:p>
          <w:p w14:paraId="071B87E6" w14:textId="77777777" w:rsidR="00EA0DCD" w:rsidRPr="004847AD" w:rsidRDefault="00EA0DCD">
            <w:pPr>
              <w:contextualSpacing/>
              <w:jc w:val="center"/>
              <w:rPr>
                <w:rFonts w:eastAsia="Calibri"/>
                <w:b/>
                <w:sz w:val="20"/>
                <w:szCs w:val="20"/>
              </w:rPr>
            </w:pPr>
            <w:r w:rsidRPr="004847AD">
              <w:rPr>
                <w:rFonts w:eastAsia="Calibri"/>
                <w:b/>
                <w:sz w:val="20"/>
                <w:szCs w:val="20"/>
              </w:rPr>
              <w:t>население</w:t>
            </w:r>
          </w:p>
        </w:tc>
        <w:tc>
          <w:tcPr>
            <w:tcW w:w="4237" w:type="dxa"/>
            <w:gridSpan w:val="3"/>
          </w:tcPr>
          <w:p w14:paraId="4639343B" w14:textId="77777777" w:rsidR="00EA0DCD" w:rsidRPr="004847AD" w:rsidRDefault="00EA0DCD">
            <w:pPr>
              <w:contextualSpacing/>
              <w:jc w:val="center"/>
              <w:rPr>
                <w:rFonts w:eastAsia="Calibri"/>
                <w:b/>
                <w:sz w:val="20"/>
                <w:szCs w:val="20"/>
              </w:rPr>
            </w:pPr>
            <w:r w:rsidRPr="004847AD">
              <w:rPr>
                <w:rFonts w:eastAsia="Calibri"/>
                <w:b/>
                <w:sz w:val="20"/>
                <w:szCs w:val="20"/>
              </w:rPr>
              <w:t>В том числе</w:t>
            </w:r>
          </w:p>
        </w:tc>
        <w:tc>
          <w:tcPr>
            <w:tcW w:w="1842" w:type="dxa"/>
            <w:vMerge w:val="restart"/>
          </w:tcPr>
          <w:p w14:paraId="1B95A5AF" w14:textId="77777777" w:rsidR="00EA0DCD" w:rsidRPr="004847AD" w:rsidRDefault="00EA0DCD">
            <w:pPr>
              <w:contextualSpacing/>
              <w:jc w:val="center"/>
              <w:rPr>
                <w:rFonts w:eastAsia="Calibri"/>
                <w:b/>
                <w:sz w:val="20"/>
                <w:szCs w:val="20"/>
              </w:rPr>
            </w:pPr>
            <w:r w:rsidRPr="004847AD">
              <w:rPr>
                <w:rFonts w:eastAsia="Calibri"/>
                <w:b/>
                <w:sz w:val="20"/>
                <w:szCs w:val="20"/>
              </w:rPr>
              <w:t>ИПЦ</w:t>
            </w:r>
          </w:p>
          <w:p w14:paraId="5701F3C7" w14:textId="77777777" w:rsidR="00EA0DCD" w:rsidRPr="004847AD" w:rsidRDefault="00EA0DCD">
            <w:pPr>
              <w:contextualSpacing/>
              <w:jc w:val="center"/>
              <w:rPr>
                <w:rFonts w:eastAsia="Calibri"/>
                <w:b/>
                <w:sz w:val="20"/>
                <w:szCs w:val="20"/>
              </w:rPr>
            </w:pPr>
            <w:r w:rsidRPr="004847AD">
              <w:rPr>
                <w:rFonts w:eastAsia="Calibri"/>
                <w:b/>
                <w:sz w:val="20"/>
                <w:szCs w:val="20"/>
              </w:rPr>
              <w:t>к IV кварталу 2020 г., %</w:t>
            </w:r>
          </w:p>
        </w:tc>
      </w:tr>
      <w:tr w:rsidR="00EA0DCD" w:rsidRPr="004847AD" w14:paraId="269667C8" w14:textId="77777777">
        <w:tc>
          <w:tcPr>
            <w:tcW w:w="1820" w:type="dxa"/>
            <w:vMerge/>
          </w:tcPr>
          <w:p w14:paraId="5FB2725F" w14:textId="77777777" w:rsidR="00EA0DCD" w:rsidRPr="004847AD" w:rsidRDefault="00EA0DCD">
            <w:pPr>
              <w:contextualSpacing/>
              <w:jc w:val="center"/>
              <w:rPr>
                <w:rFonts w:eastAsia="Calibri"/>
                <w:b/>
                <w:sz w:val="20"/>
                <w:szCs w:val="20"/>
              </w:rPr>
            </w:pPr>
          </w:p>
        </w:tc>
        <w:tc>
          <w:tcPr>
            <w:tcW w:w="1168" w:type="dxa"/>
            <w:vMerge/>
          </w:tcPr>
          <w:p w14:paraId="5BDA94A8" w14:textId="77777777" w:rsidR="00EA0DCD" w:rsidRPr="004847AD" w:rsidRDefault="00EA0DCD">
            <w:pPr>
              <w:contextualSpacing/>
              <w:jc w:val="center"/>
              <w:rPr>
                <w:rFonts w:eastAsia="Calibri"/>
                <w:b/>
                <w:sz w:val="20"/>
                <w:szCs w:val="20"/>
              </w:rPr>
            </w:pPr>
          </w:p>
        </w:tc>
        <w:tc>
          <w:tcPr>
            <w:tcW w:w="1725" w:type="dxa"/>
          </w:tcPr>
          <w:p w14:paraId="6B85D6C8" w14:textId="77777777" w:rsidR="00EA0DCD" w:rsidRPr="004847AD" w:rsidRDefault="00EA0DCD">
            <w:pPr>
              <w:contextualSpacing/>
              <w:jc w:val="center"/>
              <w:rPr>
                <w:rFonts w:eastAsia="Calibri"/>
                <w:b/>
                <w:sz w:val="20"/>
                <w:szCs w:val="20"/>
              </w:rPr>
            </w:pPr>
            <w:r w:rsidRPr="004847AD">
              <w:rPr>
                <w:rFonts w:eastAsia="Calibri"/>
                <w:b/>
                <w:sz w:val="20"/>
                <w:szCs w:val="20"/>
              </w:rPr>
              <w:t>трудоспособное</w:t>
            </w:r>
          </w:p>
          <w:p w14:paraId="088DAA20" w14:textId="77777777" w:rsidR="00EA0DCD" w:rsidRPr="004847AD" w:rsidRDefault="00EA0DCD">
            <w:pPr>
              <w:contextualSpacing/>
              <w:jc w:val="center"/>
              <w:rPr>
                <w:rFonts w:eastAsia="Calibri"/>
                <w:b/>
                <w:sz w:val="20"/>
                <w:szCs w:val="20"/>
              </w:rPr>
            </w:pPr>
            <w:r w:rsidRPr="004847AD">
              <w:rPr>
                <w:rFonts w:eastAsia="Calibri"/>
                <w:b/>
                <w:sz w:val="20"/>
                <w:szCs w:val="20"/>
              </w:rPr>
              <w:t>население</w:t>
            </w:r>
          </w:p>
        </w:tc>
        <w:tc>
          <w:tcPr>
            <w:tcW w:w="1378" w:type="dxa"/>
          </w:tcPr>
          <w:p w14:paraId="3DC43DA8" w14:textId="77777777" w:rsidR="00EA0DCD" w:rsidRPr="004847AD" w:rsidRDefault="00EA0DCD">
            <w:pPr>
              <w:contextualSpacing/>
              <w:jc w:val="center"/>
              <w:rPr>
                <w:rFonts w:eastAsia="Calibri"/>
                <w:b/>
                <w:sz w:val="20"/>
                <w:szCs w:val="20"/>
              </w:rPr>
            </w:pPr>
            <w:r w:rsidRPr="004847AD">
              <w:rPr>
                <w:rFonts w:eastAsia="Calibri"/>
                <w:b/>
                <w:sz w:val="20"/>
                <w:szCs w:val="20"/>
              </w:rPr>
              <w:t>пенсионеры</w:t>
            </w:r>
          </w:p>
        </w:tc>
        <w:tc>
          <w:tcPr>
            <w:tcW w:w="1134" w:type="dxa"/>
          </w:tcPr>
          <w:p w14:paraId="2C7E1A11" w14:textId="77777777" w:rsidR="00EA0DCD" w:rsidRPr="004847AD" w:rsidRDefault="00EA0DCD">
            <w:pPr>
              <w:contextualSpacing/>
              <w:jc w:val="center"/>
              <w:rPr>
                <w:rFonts w:eastAsia="Calibri"/>
                <w:b/>
                <w:sz w:val="20"/>
                <w:szCs w:val="20"/>
              </w:rPr>
            </w:pPr>
            <w:r w:rsidRPr="004847AD">
              <w:rPr>
                <w:rFonts w:eastAsia="Calibri"/>
                <w:b/>
                <w:sz w:val="20"/>
                <w:szCs w:val="20"/>
              </w:rPr>
              <w:t>дети</w:t>
            </w:r>
          </w:p>
        </w:tc>
        <w:tc>
          <w:tcPr>
            <w:tcW w:w="1842" w:type="dxa"/>
            <w:vMerge/>
          </w:tcPr>
          <w:p w14:paraId="7CBAD550" w14:textId="77777777" w:rsidR="00EA0DCD" w:rsidRPr="004847AD" w:rsidRDefault="00EA0DCD">
            <w:pPr>
              <w:contextualSpacing/>
              <w:jc w:val="center"/>
              <w:rPr>
                <w:rFonts w:eastAsia="Calibri"/>
                <w:b/>
                <w:sz w:val="20"/>
                <w:szCs w:val="20"/>
              </w:rPr>
            </w:pPr>
          </w:p>
        </w:tc>
      </w:tr>
      <w:tr w:rsidR="00EA0DCD" w:rsidRPr="00E40C69" w14:paraId="032D0C20" w14:textId="77777777">
        <w:tc>
          <w:tcPr>
            <w:tcW w:w="9067" w:type="dxa"/>
            <w:gridSpan w:val="6"/>
          </w:tcPr>
          <w:p w14:paraId="73183819" w14:textId="77777777" w:rsidR="00EA0DCD" w:rsidRPr="00E40C69" w:rsidRDefault="00EA0DCD">
            <w:pPr>
              <w:contextualSpacing/>
              <w:jc w:val="center"/>
              <w:rPr>
                <w:rFonts w:eastAsia="Calibri"/>
                <w:b/>
              </w:rPr>
            </w:pPr>
            <w:r w:rsidRPr="00E40C69">
              <w:rPr>
                <w:rFonts w:eastAsia="Calibri"/>
                <w:b/>
              </w:rPr>
              <w:t>2020 год</w:t>
            </w:r>
          </w:p>
        </w:tc>
      </w:tr>
      <w:tr w:rsidR="00EA0DCD" w:rsidRPr="001E614B" w14:paraId="22E853DC" w14:textId="77777777">
        <w:tc>
          <w:tcPr>
            <w:tcW w:w="1820" w:type="dxa"/>
          </w:tcPr>
          <w:p w14:paraId="7236D09C" w14:textId="77777777" w:rsidR="00EA0DCD" w:rsidRPr="001E614B" w:rsidRDefault="00EA0DCD">
            <w:pPr>
              <w:contextualSpacing/>
              <w:rPr>
                <w:rFonts w:eastAsia="Calibri"/>
              </w:rPr>
            </w:pPr>
            <w:r w:rsidRPr="001E614B">
              <w:rPr>
                <w:rFonts w:eastAsia="Calibri"/>
              </w:rPr>
              <w:t>Базовая граница</w:t>
            </w:r>
          </w:p>
          <w:p w14:paraId="3BEDD83A" w14:textId="77777777" w:rsidR="00EA0DCD" w:rsidRPr="001E614B" w:rsidRDefault="00EA0DCD">
            <w:pPr>
              <w:contextualSpacing/>
              <w:rPr>
                <w:rFonts w:eastAsia="Calibri"/>
              </w:rPr>
            </w:pPr>
            <w:r w:rsidRPr="001E614B">
              <w:rPr>
                <w:rFonts w:eastAsia="Calibri"/>
              </w:rPr>
              <w:t xml:space="preserve"> бедности</w:t>
            </w:r>
          </w:p>
          <w:p w14:paraId="2E8CF4AD" w14:textId="77777777" w:rsidR="00EA0DCD" w:rsidRPr="001E614B" w:rsidRDefault="00EA0DCD">
            <w:pPr>
              <w:contextualSpacing/>
              <w:rPr>
                <w:rFonts w:eastAsia="Calibri"/>
              </w:rPr>
            </w:pPr>
            <w:r w:rsidRPr="001E614B">
              <w:rPr>
                <w:rFonts w:eastAsia="Calibri"/>
              </w:rPr>
              <w:t>IV квартал</w:t>
            </w:r>
          </w:p>
        </w:tc>
        <w:tc>
          <w:tcPr>
            <w:tcW w:w="1168" w:type="dxa"/>
          </w:tcPr>
          <w:p w14:paraId="70934EE3" w14:textId="77777777" w:rsidR="00EA0DCD" w:rsidRPr="001E614B" w:rsidRDefault="00EA0DCD">
            <w:pPr>
              <w:contextualSpacing/>
              <w:jc w:val="center"/>
              <w:rPr>
                <w:rFonts w:eastAsia="Calibri"/>
              </w:rPr>
            </w:pPr>
            <w:r w:rsidRPr="001E614B">
              <w:rPr>
                <w:rFonts w:eastAsia="Calibri"/>
              </w:rPr>
              <w:t>11329</w:t>
            </w:r>
            <w:r w:rsidRPr="001E614B">
              <w:rPr>
                <w:rFonts w:eastAsia="Calibri"/>
              </w:rPr>
              <w:tab/>
            </w:r>
          </w:p>
        </w:tc>
        <w:tc>
          <w:tcPr>
            <w:tcW w:w="1725" w:type="dxa"/>
          </w:tcPr>
          <w:p w14:paraId="5E464396" w14:textId="77777777" w:rsidR="00EA0DCD" w:rsidRPr="001E614B" w:rsidRDefault="00EA0DCD">
            <w:pPr>
              <w:contextualSpacing/>
              <w:jc w:val="center"/>
              <w:rPr>
                <w:rFonts w:eastAsia="Calibri"/>
              </w:rPr>
            </w:pPr>
            <w:r w:rsidRPr="001E614B">
              <w:rPr>
                <w:rFonts w:eastAsia="Calibri"/>
              </w:rPr>
              <w:t>12273</w:t>
            </w:r>
            <w:r w:rsidRPr="001E614B">
              <w:rPr>
                <w:rFonts w:eastAsia="Calibri"/>
              </w:rPr>
              <w:tab/>
            </w:r>
          </w:p>
        </w:tc>
        <w:tc>
          <w:tcPr>
            <w:tcW w:w="1378" w:type="dxa"/>
          </w:tcPr>
          <w:p w14:paraId="489BCBB3" w14:textId="77777777" w:rsidR="00EA0DCD" w:rsidRPr="001E614B" w:rsidRDefault="00EA0DCD">
            <w:pPr>
              <w:contextualSpacing/>
              <w:jc w:val="center"/>
              <w:rPr>
                <w:rFonts w:eastAsia="Calibri"/>
              </w:rPr>
            </w:pPr>
            <w:r w:rsidRPr="001E614B">
              <w:rPr>
                <w:rFonts w:eastAsia="Calibri"/>
              </w:rPr>
              <w:t>9348</w:t>
            </w:r>
            <w:r w:rsidRPr="001E614B">
              <w:rPr>
                <w:rFonts w:eastAsia="Calibri"/>
              </w:rPr>
              <w:tab/>
            </w:r>
          </w:p>
        </w:tc>
        <w:tc>
          <w:tcPr>
            <w:tcW w:w="1134" w:type="dxa"/>
          </w:tcPr>
          <w:p w14:paraId="1BE275AF" w14:textId="77777777" w:rsidR="00EA0DCD" w:rsidRPr="001E614B" w:rsidRDefault="00EA0DCD">
            <w:pPr>
              <w:contextualSpacing/>
              <w:jc w:val="center"/>
              <w:rPr>
                <w:rFonts w:eastAsia="Calibri"/>
              </w:rPr>
            </w:pPr>
            <w:r w:rsidRPr="001E614B">
              <w:rPr>
                <w:rFonts w:eastAsia="Calibri"/>
              </w:rPr>
              <w:t>11140</w:t>
            </w:r>
            <w:r w:rsidRPr="001E614B">
              <w:rPr>
                <w:rFonts w:eastAsia="Calibri"/>
              </w:rPr>
              <w:tab/>
            </w:r>
          </w:p>
        </w:tc>
        <w:tc>
          <w:tcPr>
            <w:tcW w:w="1842" w:type="dxa"/>
          </w:tcPr>
          <w:p w14:paraId="59C98461" w14:textId="77777777" w:rsidR="00EA0DCD" w:rsidRPr="001E614B" w:rsidRDefault="00EA0DCD">
            <w:pPr>
              <w:contextualSpacing/>
              <w:jc w:val="center"/>
              <w:rPr>
                <w:rFonts w:eastAsia="Calibri"/>
              </w:rPr>
            </w:pPr>
            <w:r w:rsidRPr="001E614B">
              <w:rPr>
                <w:rFonts w:eastAsia="Calibri"/>
              </w:rPr>
              <w:t>100</w:t>
            </w:r>
          </w:p>
        </w:tc>
      </w:tr>
      <w:tr w:rsidR="00EA0DCD" w:rsidRPr="001E614B" w14:paraId="1CA2E648" w14:textId="77777777">
        <w:tc>
          <w:tcPr>
            <w:tcW w:w="9067" w:type="dxa"/>
            <w:gridSpan w:val="6"/>
          </w:tcPr>
          <w:p w14:paraId="45E5D180" w14:textId="77777777" w:rsidR="00EA0DCD" w:rsidRPr="001E614B" w:rsidRDefault="00EA0DCD">
            <w:pPr>
              <w:contextualSpacing/>
              <w:jc w:val="center"/>
              <w:rPr>
                <w:rFonts w:eastAsia="Calibri"/>
              </w:rPr>
            </w:pPr>
            <w:r w:rsidRPr="001E614B">
              <w:rPr>
                <w:rFonts w:eastAsia="Calibri"/>
              </w:rPr>
              <w:t>2021 год</w:t>
            </w:r>
          </w:p>
        </w:tc>
      </w:tr>
      <w:tr w:rsidR="00EA0DCD" w:rsidRPr="001E614B" w14:paraId="28356100" w14:textId="77777777">
        <w:tc>
          <w:tcPr>
            <w:tcW w:w="1820" w:type="dxa"/>
          </w:tcPr>
          <w:p w14:paraId="30691646" w14:textId="77777777" w:rsidR="00EA0DCD" w:rsidRPr="001E614B" w:rsidRDefault="00EA0DCD">
            <w:pPr>
              <w:contextualSpacing/>
              <w:rPr>
                <w:rFonts w:eastAsia="Calibri"/>
              </w:rPr>
            </w:pPr>
            <w:r w:rsidRPr="001E614B">
              <w:rPr>
                <w:rFonts w:eastAsia="Calibri"/>
              </w:rPr>
              <w:t>I квартал</w:t>
            </w:r>
          </w:p>
        </w:tc>
        <w:tc>
          <w:tcPr>
            <w:tcW w:w="1168" w:type="dxa"/>
          </w:tcPr>
          <w:p w14:paraId="4A884529" w14:textId="77777777" w:rsidR="00EA0DCD" w:rsidRPr="001E614B" w:rsidRDefault="00EA0DCD">
            <w:pPr>
              <w:contextualSpacing/>
              <w:jc w:val="center"/>
              <w:rPr>
                <w:rFonts w:eastAsia="Calibri"/>
              </w:rPr>
            </w:pPr>
            <w:r w:rsidRPr="001E614B">
              <w:rPr>
                <w:rFonts w:eastAsia="Calibri"/>
              </w:rPr>
              <w:t>11581</w:t>
            </w:r>
            <w:r w:rsidRPr="001E614B">
              <w:rPr>
                <w:rFonts w:eastAsia="Calibri"/>
              </w:rPr>
              <w:tab/>
            </w:r>
          </w:p>
        </w:tc>
        <w:tc>
          <w:tcPr>
            <w:tcW w:w="1725" w:type="dxa"/>
          </w:tcPr>
          <w:p w14:paraId="68D2058B" w14:textId="77777777" w:rsidR="00EA0DCD" w:rsidRPr="001E614B" w:rsidRDefault="00EA0DCD">
            <w:pPr>
              <w:contextualSpacing/>
              <w:jc w:val="center"/>
              <w:rPr>
                <w:rFonts w:eastAsia="Calibri"/>
              </w:rPr>
            </w:pPr>
            <w:r w:rsidRPr="001E614B">
              <w:rPr>
                <w:rFonts w:eastAsia="Calibri"/>
              </w:rPr>
              <w:t>12545</w:t>
            </w:r>
            <w:r w:rsidRPr="001E614B">
              <w:rPr>
                <w:rFonts w:eastAsia="Calibri"/>
              </w:rPr>
              <w:tab/>
            </w:r>
          </w:p>
        </w:tc>
        <w:tc>
          <w:tcPr>
            <w:tcW w:w="1378" w:type="dxa"/>
          </w:tcPr>
          <w:p w14:paraId="5C2B828E" w14:textId="77777777" w:rsidR="00EA0DCD" w:rsidRPr="001E614B" w:rsidRDefault="00EA0DCD">
            <w:pPr>
              <w:contextualSpacing/>
              <w:jc w:val="center"/>
              <w:rPr>
                <w:rFonts w:eastAsia="Calibri"/>
              </w:rPr>
            </w:pPr>
            <w:r w:rsidRPr="001E614B">
              <w:rPr>
                <w:rFonts w:eastAsia="Calibri"/>
              </w:rPr>
              <w:t>9556</w:t>
            </w:r>
            <w:r w:rsidRPr="001E614B">
              <w:rPr>
                <w:rFonts w:eastAsia="Calibri"/>
              </w:rPr>
              <w:tab/>
            </w:r>
          </w:p>
        </w:tc>
        <w:tc>
          <w:tcPr>
            <w:tcW w:w="1134" w:type="dxa"/>
          </w:tcPr>
          <w:p w14:paraId="0C3C725B" w14:textId="77777777" w:rsidR="00EA0DCD" w:rsidRPr="001E614B" w:rsidRDefault="00EA0DCD">
            <w:pPr>
              <w:contextualSpacing/>
              <w:jc w:val="center"/>
              <w:rPr>
                <w:rFonts w:eastAsia="Calibri"/>
              </w:rPr>
            </w:pPr>
            <w:r w:rsidRPr="001E614B">
              <w:rPr>
                <w:rFonts w:eastAsia="Calibri"/>
              </w:rPr>
              <w:t>11387</w:t>
            </w:r>
            <w:r w:rsidRPr="001E614B">
              <w:rPr>
                <w:rFonts w:eastAsia="Calibri"/>
              </w:rPr>
              <w:tab/>
            </w:r>
          </w:p>
        </w:tc>
        <w:tc>
          <w:tcPr>
            <w:tcW w:w="1842" w:type="dxa"/>
          </w:tcPr>
          <w:p w14:paraId="05FBCEB3" w14:textId="77777777" w:rsidR="00EA0DCD" w:rsidRPr="001E614B" w:rsidRDefault="00EA0DCD">
            <w:pPr>
              <w:contextualSpacing/>
              <w:jc w:val="center"/>
              <w:rPr>
                <w:rFonts w:eastAsia="Calibri"/>
              </w:rPr>
            </w:pPr>
            <w:r w:rsidRPr="001E614B">
              <w:rPr>
                <w:rFonts w:eastAsia="Calibri"/>
              </w:rPr>
              <w:t>102,22</w:t>
            </w:r>
          </w:p>
        </w:tc>
      </w:tr>
      <w:tr w:rsidR="00EA0DCD" w:rsidRPr="001E614B" w14:paraId="1F091A60" w14:textId="77777777">
        <w:tc>
          <w:tcPr>
            <w:tcW w:w="1820" w:type="dxa"/>
          </w:tcPr>
          <w:p w14:paraId="22D70AC7" w14:textId="77777777" w:rsidR="00EA0DCD" w:rsidRPr="001E614B" w:rsidRDefault="00EA0DCD">
            <w:pPr>
              <w:contextualSpacing/>
              <w:rPr>
                <w:rFonts w:eastAsia="Calibri"/>
              </w:rPr>
            </w:pPr>
            <w:r w:rsidRPr="001E614B">
              <w:rPr>
                <w:rFonts w:eastAsia="Calibri"/>
              </w:rPr>
              <w:t>II квартал</w:t>
            </w:r>
          </w:p>
        </w:tc>
        <w:tc>
          <w:tcPr>
            <w:tcW w:w="1168" w:type="dxa"/>
          </w:tcPr>
          <w:p w14:paraId="2EC53C9A" w14:textId="77777777" w:rsidR="00EA0DCD" w:rsidRPr="001E614B" w:rsidRDefault="00EA0DCD">
            <w:pPr>
              <w:contextualSpacing/>
              <w:jc w:val="center"/>
              <w:rPr>
                <w:rFonts w:eastAsia="Calibri"/>
              </w:rPr>
            </w:pPr>
            <w:r w:rsidRPr="001E614B">
              <w:rPr>
                <w:rFonts w:eastAsia="Calibri"/>
              </w:rPr>
              <w:t>11813</w:t>
            </w:r>
            <w:r w:rsidRPr="001E614B">
              <w:rPr>
                <w:rFonts w:eastAsia="Calibri"/>
              </w:rPr>
              <w:tab/>
            </w:r>
          </w:p>
        </w:tc>
        <w:tc>
          <w:tcPr>
            <w:tcW w:w="1725" w:type="dxa"/>
          </w:tcPr>
          <w:p w14:paraId="5FB29E49" w14:textId="77777777" w:rsidR="00EA0DCD" w:rsidRPr="001E614B" w:rsidRDefault="00EA0DCD">
            <w:pPr>
              <w:contextualSpacing/>
              <w:jc w:val="center"/>
              <w:rPr>
                <w:rFonts w:eastAsia="Calibri"/>
              </w:rPr>
            </w:pPr>
            <w:r w:rsidRPr="001E614B">
              <w:rPr>
                <w:rFonts w:eastAsia="Calibri"/>
              </w:rPr>
              <w:t>12797</w:t>
            </w:r>
            <w:r w:rsidRPr="001E614B">
              <w:rPr>
                <w:rFonts w:eastAsia="Calibri"/>
              </w:rPr>
              <w:tab/>
            </w:r>
          </w:p>
        </w:tc>
        <w:tc>
          <w:tcPr>
            <w:tcW w:w="1378" w:type="dxa"/>
          </w:tcPr>
          <w:p w14:paraId="626F3527" w14:textId="77777777" w:rsidR="00EA0DCD" w:rsidRPr="001E614B" w:rsidRDefault="00EA0DCD">
            <w:pPr>
              <w:contextualSpacing/>
              <w:jc w:val="center"/>
              <w:rPr>
                <w:rFonts w:eastAsia="Calibri"/>
              </w:rPr>
            </w:pPr>
            <w:r w:rsidRPr="001E614B">
              <w:rPr>
                <w:rFonts w:eastAsia="Calibri"/>
              </w:rPr>
              <w:t>9747</w:t>
            </w:r>
            <w:r w:rsidRPr="001E614B">
              <w:rPr>
                <w:rFonts w:eastAsia="Calibri"/>
              </w:rPr>
              <w:tab/>
            </w:r>
          </w:p>
        </w:tc>
        <w:tc>
          <w:tcPr>
            <w:tcW w:w="1134" w:type="dxa"/>
          </w:tcPr>
          <w:p w14:paraId="5F5702D1" w14:textId="77777777" w:rsidR="00EA0DCD" w:rsidRPr="001E614B" w:rsidRDefault="00EA0DCD">
            <w:pPr>
              <w:contextualSpacing/>
              <w:jc w:val="center"/>
              <w:rPr>
                <w:rFonts w:eastAsia="Calibri"/>
              </w:rPr>
            </w:pPr>
            <w:r w:rsidRPr="001E614B">
              <w:rPr>
                <w:rFonts w:eastAsia="Calibri"/>
              </w:rPr>
              <w:t>11616</w:t>
            </w:r>
            <w:r w:rsidRPr="001E614B">
              <w:rPr>
                <w:rFonts w:eastAsia="Calibri"/>
              </w:rPr>
              <w:tab/>
            </w:r>
          </w:p>
        </w:tc>
        <w:tc>
          <w:tcPr>
            <w:tcW w:w="1842" w:type="dxa"/>
          </w:tcPr>
          <w:p w14:paraId="2813EA1D" w14:textId="77777777" w:rsidR="00EA0DCD" w:rsidRPr="001E614B" w:rsidRDefault="00EA0DCD">
            <w:pPr>
              <w:contextualSpacing/>
              <w:jc w:val="center"/>
              <w:rPr>
                <w:rFonts w:eastAsia="Calibri"/>
              </w:rPr>
            </w:pPr>
            <w:r w:rsidRPr="001E614B">
              <w:rPr>
                <w:rFonts w:eastAsia="Calibri"/>
              </w:rPr>
              <w:t>104,27</w:t>
            </w:r>
          </w:p>
        </w:tc>
      </w:tr>
      <w:tr w:rsidR="00EA0DCD" w:rsidRPr="001E614B" w14:paraId="11E8052B" w14:textId="77777777">
        <w:tc>
          <w:tcPr>
            <w:tcW w:w="1820" w:type="dxa"/>
          </w:tcPr>
          <w:p w14:paraId="3B45A56C" w14:textId="77777777" w:rsidR="00EA0DCD" w:rsidRPr="001E614B" w:rsidRDefault="00EA0DCD">
            <w:pPr>
              <w:contextualSpacing/>
              <w:rPr>
                <w:rFonts w:eastAsia="Calibri"/>
              </w:rPr>
            </w:pPr>
            <w:r w:rsidRPr="001E614B">
              <w:rPr>
                <w:rFonts w:eastAsia="Calibri"/>
              </w:rPr>
              <w:t>I полугодие</w:t>
            </w:r>
          </w:p>
        </w:tc>
        <w:tc>
          <w:tcPr>
            <w:tcW w:w="1168" w:type="dxa"/>
          </w:tcPr>
          <w:p w14:paraId="79E8042F" w14:textId="77777777" w:rsidR="00EA0DCD" w:rsidRPr="001E614B" w:rsidRDefault="00EA0DCD">
            <w:pPr>
              <w:contextualSpacing/>
              <w:jc w:val="center"/>
              <w:rPr>
                <w:rFonts w:eastAsia="Calibri"/>
              </w:rPr>
            </w:pPr>
            <w:r w:rsidRPr="001E614B">
              <w:rPr>
                <w:rFonts w:eastAsia="Calibri"/>
              </w:rPr>
              <w:t>11697</w:t>
            </w:r>
            <w:r w:rsidRPr="001E614B">
              <w:rPr>
                <w:rFonts w:eastAsia="Calibri"/>
              </w:rPr>
              <w:tab/>
            </w:r>
          </w:p>
        </w:tc>
        <w:tc>
          <w:tcPr>
            <w:tcW w:w="1725" w:type="dxa"/>
          </w:tcPr>
          <w:p w14:paraId="54F58B1D" w14:textId="77777777" w:rsidR="00EA0DCD" w:rsidRPr="001E614B" w:rsidRDefault="00EA0DCD">
            <w:pPr>
              <w:contextualSpacing/>
              <w:jc w:val="center"/>
              <w:rPr>
                <w:rFonts w:eastAsia="Calibri"/>
              </w:rPr>
            </w:pPr>
            <w:r w:rsidRPr="001E614B">
              <w:rPr>
                <w:rFonts w:eastAsia="Calibri"/>
              </w:rPr>
              <w:t>12672</w:t>
            </w:r>
            <w:r w:rsidRPr="001E614B">
              <w:rPr>
                <w:rFonts w:eastAsia="Calibri"/>
              </w:rPr>
              <w:tab/>
            </w:r>
          </w:p>
        </w:tc>
        <w:tc>
          <w:tcPr>
            <w:tcW w:w="1378" w:type="dxa"/>
          </w:tcPr>
          <w:p w14:paraId="6AE6C41B" w14:textId="77777777" w:rsidR="00EA0DCD" w:rsidRPr="001E614B" w:rsidRDefault="00EA0DCD">
            <w:pPr>
              <w:contextualSpacing/>
              <w:jc w:val="center"/>
              <w:rPr>
                <w:rFonts w:eastAsia="Calibri"/>
              </w:rPr>
            </w:pPr>
            <w:r w:rsidRPr="001E614B">
              <w:rPr>
                <w:rFonts w:eastAsia="Calibri"/>
              </w:rPr>
              <w:t>9652</w:t>
            </w:r>
            <w:r w:rsidRPr="001E614B">
              <w:rPr>
                <w:rFonts w:eastAsia="Calibri"/>
              </w:rPr>
              <w:tab/>
            </w:r>
          </w:p>
        </w:tc>
        <w:tc>
          <w:tcPr>
            <w:tcW w:w="1134" w:type="dxa"/>
          </w:tcPr>
          <w:p w14:paraId="31FE2137" w14:textId="77777777" w:rsidR="00EA0DCD" w:rsidRPr="001E614B" w:rsidRDefault="00EA0DCD">
            <w:pPr>
              <w:contextualSpacing/>
              <w:jc w:val="center"/>
              <w:rPr>
                <w:rFonts w:eastAsia="Calibri"/>
              </w:rPr>
            </w:pPr>
            <w:r w:rsidRPr="001E614B">
              <w:rPr>
                <w:rFonts w:eastAsia="Calibri"/>
              </w:rPr>
              <w:t>11502</w:t>
            </w:r>
            <w:r w:rsidRPr="001E614B">
              <w:rPr>
                <w:rFonts w:eastAsia="Calibri"/>
              </w:rPr>
              <w:tab/>
            </w:r>
          </w:p>
        </w:tc>
        <w:tc>
          <w:tcPr>
            <w:tcW w:w="1842" w:type="dxa"/>
          </w:tcPr>
          <w:p w14:paraId="7D4D19E9" w14:textId="77777777" w:rsidR="00EA0DCD" w:rsidRPr="001E614B" w:rsidRDefault="00EA0DCD">
            <w:pPr>
              <w:contextualSpacing/>
              <w:jc w:val="center"/>
              <w:rPr>
                <w:rFonts w:eastAsia="Calibri"/>
              </w:rPr>
            </w:pPr>
            <w:r w:rsidRPr="001E614B">
              <w:rPr>
                <w:rFonts w:eastAsia="Calibri"/>
              </w:rPr>
              <w:t>103,25</w:t>
            </w:r>
          </w:p>
        </w:tc>
      </w:tr>
      <w:tr w:rsidR="00EA0DCD" w:rsidRPr="001E614B" w14:paraId="5EEE9734" w14:textId="77777777">
        <w:tc>
          <w:tcPr>
            <w:tcW w:w="1820" w:type="dxa"/>
          </w:tcPr>
          <w:p w14:paraId="0D1B107A" w14:textId="77777777" w:rsidR="00EA0DCD" w:rsidRPr="001E614B" w:rsidRDefault="00EA0DCD">
            <w:pPr>
              <w:contextualSpacing/>
              <w:rPr>
                <w:rFonts w:eastAsia="Calibri"/>
              </w:rPr>
            </w:pPr>
            <w:r w:rsidRPr="001E614B">
              <w:rPr>
                <w:rFonts w:eastAsia="Calibri"/>
              </w:rPr>
              <w:t>III квартал</w:t>
            </w:r>
          </w:p>
        </w:tc>
        <w:tc>
          <w:tcPr>
            <w:tcW w:w="1168" w:type="dxa"/>
          </w:tcPr>
          <w:p w14:paraId="6253C13B" w14:textId="77777777" w:rsidR="00EA0DCD" w:rsidRPr="001E614B" w:rsidRDefault="00EA0DCD">
            <w:pPr>
              <w:contextualSpacing/>
              <w:jc w:val="center"/>
              <w:rPr>
                <w:rFonts w:eastAsia="Calibri"/>
              </w:rPr>
            </w:pPr>
            <w:r w:rsidRPr="001E614B">
              <w:rPr>
                <w:rFonts w:eastAsia="Calibri"/>
              </w:rPr>
              <w:t>11970</w:t>
            </w:r>
            <w:r w:rsidRPr="001E614B">
              <w:rPr>
                <w:rFonts w:eastAsia="Calibri"/>
              </w:rPr>
              <w:tab/>
            </w:r>
          </w:p>
        </w:tc>
        <w:tc>
          <w:tcPr>
            <w:tcW w:w="1725" w:type="dxa"/>
          </w:tcPr>
          <w:p w14:paraId="4228D504" w14:textId="77777777" w:rsidR="00EA0DCD" w:rsidRPr="001E614B" w:rsidRDefault="00EA0DCD">
            <w:pPr>
              <w:contextualSpacing/>
              <w:jc w:val="center"/>
              <w:rPr>
                <w:rFonts w:eastAsia="Calibri"/>
              </w:rPr>
            </w:pPr>
            <w:r w:rsidRPr="001E614B">
              <w:rPr>
                <w:rFonts w:eastAsia="Calibri"/>
              </w:rPr>
              <w:t>12968</w:t>
            </w:r>
            <w:r w:rsidRPr="001E614B">
              <w:rPr>
                <w:rFonts w:eastAsia="Calibri"/>
              </w:rPr>
              <w:tab/>
            </w:r>
          </w:p>
        </w:tc>
        <w:tc>
          <w:tcPr>
            <w:tcW w:w="1378" w:type="dxa"/>
          </w:tcPr>
          <w:p w14:paraId="3380D977" w14:textId="77777777" w:rsidR="00EA0DCD" w:rsidRPr="001E614B" w:rsidRDefault="00EA0DCD">
            <w:pPr>
              <w:contextualSpacing/>
              <w:jc w:val="center"/>
              <w:rPr>
                <w:rFonts w:eastAsia="Calibri"/>
              </w:rPr>
            </w:pPr>
            <w:r w:rsidRPr="001E614B">
              <w:rPr>
                <w:rFonts w:eastAsia="Calibri"/>
              </w:rPr>
              <w:t>9877</w:t>
            </w:r>
            <w:r w:rsidRPr="001E614B">
              <w:rPr>
                <w:rFonts w:eastAsia="Calibri"/>
              </w:rPr>
              <w:tab/>
            </w:r>
          </w:p>
        </w:tc>
        <w:tc>
          <w:tcPr>
            <w:tcW w:w="1134" w:type="dxa"/>
          </w:tcPr>
          <w:p w14:paraId="712369FE" w14:textId="77777777" w:rsidR="00EA0DCD" w:rsidRPr="001E614B" w:rsidRDefault="00EA0DCD">
            <w:pPr>
              <w:contextualSpacing/>
              <w:jc w:val="center"/>
              <w:rPr>
                <w:rFonts w:eastAsia="Calibri"/>
              </w:rPr>
            </w:pPr>
            <w:r w:rsidRPr="001E614B">
              <w:rPr>
                <w:rFonts w:eastAsia="Calibri"/>
              </w:rPr>
              <w:t>11771</w:t>
            </w:r>
            <w:r w:rsidRPr="001E614B">
              <w:rPr>
                <w:rFonts w:eastAsia="Calibri"/>
              </w:rPr>
              <w:tab/>
            </w:r>
          </w:p>
        </w:tc>
        <w:tc>
          <w:tcPr>
            <w:tcW w:w="1842" w:type="dxa"/>
          </w:tcPr>
          <w:p w14:paraId="76A62537" w14:textId="77777777" w:rsidR="00EA0DCD" w:rsidRPr="001E614B" w:rsidRDefault="00EA0DCD">
            <w:pPr>
              <w:contextualSpacing/>
              <w:jc w:val="center"/>
              <w:rPr>
                <w:rFonts w:eastAsia="Calibri"/>
              </w:rPr>
            </w:pPr>
            <w:r w:rsidRPr="001E614B">
              <w:rPr>
                <w:rFonts w:eastAsia="Calibri"/>
              </w:rPr>
              <w:t>105,66</w:t>
            </w:r>
          </w:p>
        </w:tc>
      </w:tr>
      <w:tr w:rsidR="00EA0DCD" w:rsidRPr="001E614B" w14:paraId="0614D447" w14:textId="77777777">
        <w:tc>
          <w:tcPr>
            <w:tcW w:w="1820" w:type="dxa"/>
          </w:tcPr>
          <w:p w14:paraId="022B9936" w14:textId="77777777" w:rsidR="00EA0DCD" w:rsidRPr="001E614B" w:rsidRDefault="00EA0DCD">
            <w:pPr>
              <w:contextualSpacing/>
              <w:rPr>
                <w:rFonts w:eastAsia="Calibri"/>
              </w:rPr>
            </w:pPr>
            <w:r w:rsidRPr="001E614B">
              <w:rPr>
                <w:rFonts w:eastAsia="Calibri"/>
              </w:rPr>
              <w:t>Январь-сентябрь</w:t>
            </w:r>
          </w:p>
        </w:tc>
        <w:tc>
          <w:tcPr>
            <w:tcW w:w="1168" w:type="dxa"/>
          </w:tcPr>
          <w:p w14:paraId="5DA14EA2" w14:textId="77777777" w:rsidR="00EA0DCD" w:rsidRPr="001E614B" w:rsidRDefault="00EA0DCD">
            <w:pPr>
              <w:contextualSpacing/>
              <w:jc w:val="center"/>
              <w:rPr>
                <w:rFonts w:eastAsia="Calibri"/>
              </w:rPr>
            </w:pPr>
            <w:r w:rsidRPr="001E614B">
              <w:rPr>
                <w:rFonts w:eastAsia="Calibri"/>
              </w:rPr>
              <w:t>11788</w:t>
            </w:r>
            <w:r w:rsidRPr="001E614B">
              <w:rPr>
                <w:rFonts w:eastAsia="Calibri"/>
              </w:rPr>
              <w:tab/>
            </w:r>
          </w:p>
        </w:tc>
        <w:tc>
          <w:tcPr>
            <w:tcW w:w="1725" w:type="dxa"/>
          </w:tcPr>
          <w:p w14:paraId="10528887" w14:textId="77777777" w:rsidR="00EA0DCD" w:rsidRPr="001E614B" w:rsidRDefault="00EA0DCD">
            <w:pPr>
              <w:contextualSpacing/>
              <w:jc w:val="center"/>
              <w:rPr>
                <w:rFonts w:eastAsia="Calibri"/>
              </w:rPr>
            </w:pPr>
            <w:r w:rsidRPr="001E614B">
              <w:rPr>
                <w:rFonts w:eastAsia="Calibri"/>
              </w:rPr>
              <w:t>12770</w:t>
            </w:r>
            <w:r w:rsidRPr="001E614B">
              <w:rPr>
                <w:rFonts w:eastAsia="Calibri"/>
              </w:rPr>
              <w:tab/>
            </w:r>
          </w:p>
        </w:tc>
        <w:tc>
          <w:tcPr>
            <w:tcW w:w="1378" w:type="dxa"/>
          </w:tcPr>
          <w:p w14:paraId="494C6E32" w14:textId="77777777" w:rsidR="00EA0DCD" w:rsidRPr="001E614B" w:rsidRDefault="00EA0DCD">
            <w:pPr>
              <w:contextualSpacing/>
              <w:jc w:val="center"/>
              <w:rPr>
                <w:rFonts w:eastAsia="Calibri"/>
              </w:rPr>
            </w:pPr>
            <w:r w:rsidRPr="001E614B">
              <w:rPr>
                <w:rFonts w:eastAsia="Calibri"/>
              </w:rPr>
              <w:t>9727</w:t>
            </w:r>
            <w:r w:rsidRPr="001E614B">
              <w:rPr>
                <w:rFonts w:eastAsia="Calibri"/>
              </w:rPr>
              <w:tab/>
            </w:r>
          </w:p>
        </w:tc>
        <w:tc>
          <w:tcPr>
            <w:tcW w:w="1134" w:type="dxa"/>
          </w:tcPr>
          <w:p w14:paraId="142C5520" w14:textId="77777777" w:rsidR="00EA0DCD" w:rsidRPr="001E614B" w:rsidRDefault="00EA0DCD">
            <w:pPr>
              <w:contextualSpacing/>
              <w:jc w:val="center"/>
              <w:rPr>
                <w:rFonts w:eastAsia="Calibri"/>
              </w:rPr>
            </w:pPr>
            <w:r w:rsidRPr="001E614B">
              <w:rPr>
                <w:rFonts w:eastAsia="Calibri"/>
              </w:rPr>
              <w:t>11591</w:t>
            </w:r>
            <w:r w:rsidRPr="001E614B">
              <w:rPr>
                <w:rFonts w:eastAsia="Calibri"/>
              </w:rPr>
              <w:tab/>
            </w:r>
          </w:p>
        </w:tc>
        <w:tc>
          <w:tcPr>
            <w:tcW w:w="1842" w:type="dxa"/>
          </w:tcPr>
          <w:p w14:paraId="03CA61C1" w14:textId="77777777" w:rsidR="00EA0DCD" w:rsidRPr="001E614B" w:rsidRDefault="00EA0DCD">
            <w:pPr>
              <w:contextualSpacing/>
              <w:jc w:val="center"/>
              <w:rPr>
                <w:rFonts w:eastAsia="Calibri"/>
              </w:rPr>
            </w:pPr>
            <w:r w:rsidRPr="001E614B">
              <w:rPr>
                <w:rFonts w:eastAsia="Calibri"/>
              </w:rPr>
              <w:t>104,05</w:t>
            </w:r>
          </w:p>
        </w:tc>
      </w:tr>
      <w:tr w:rsidR="00EA0DCD" w:rsidRPr="001E614B" w14:paraId="386CE454" w14:textId="77777777">
        <w:tc>
          <w:tcPr>
            <w:tcW w:w="1820" w:type="dxa"/>
          </w:tcPr>
          <w:p w14:paraId="68204CE1" w14:textId="77777777" w:rsidR="00EA0DCD" w:rsidRPr="001E614B" w:rsidRDefault="00EA0DCD">
            <w:pPr>
              <w:contextualSpacing/>
              <w:rPr>
                <w:rFonts w:eastAsia="Calibri"/>
              </w:rPr>
            </w:pPr>
            <w:r w:rsidRPr="001E614B">
              <w:rPr>
                <w:rFonts w:eastAsia="Calibri"/>
              </w:rPr>
              <w:t>IV квартал</w:t>
            </w:r>
          </w:p>
        </w:tc>
        <w:tc>
          <w:tcPr>
            <w:tcW w:w="1168" w:type="dxa"/>
          </w:tcPr>
          <w:p w14:paraId="3A325092" w14:textId="77777777" w:rsidR="00EA0DCD" w:rsidRPr="001E614B" w:rsidRDefault="00EA0DCD">
            <w:pPr>
              <w:contextualSpacing/>
              <w:jc w:val="center"/>
              <w:rPr>
                <w:rFonts w:eastAsia="Calibri"/>
              </w:rPr>
            </w:pPr>
            <w:r w:rsidRPr="001E614B">
              <w:rPr>
                <w:rFonts w:eastAsia="Calibri"/>
              </w:rPr>
              <w:t>12269</w:t>
            </w:r>
            <w:r w:rsidRPr="001E614B">
              <w:rPr>
                <w:rFonts w:eastAsia="Calibri"/>
              </w:rPr>
              <w:tab/>
            </w:r>
          </w:p>
        </w:tc>
        <w:tc>
          <w:tcPr>
            <w:tcW w:w="1725" w:type="dxa"/>
          </w:tcPr>
          <w:p w14:paraId="3749BC0B" w14:textId="77777777" w:rsidR="00EA0DCD" w:rsidRPr="001E614B" w:rsidRDefault="00EA0DCD">
            <w:pPr>
              <w:contextualSpacing/>
              <w:jc w:val="center"/>
              <w:rPr>
                <w:rFonts w:eastAsia="Calibri"/>
              </w:rPr>
            </w:pPr>
            <w:r w:rsidRPr="001E614B">
              <w:rPr>
                <w:rFonts w:eastAsia="Calibri"/>
              </w:rPr>
              <w:t>13292</w:t>
            </w:r>
            <w:r w:rsidRPr="001E614B">
              <w:rPr>
                <w:rFonts w:eastAsia="Calibri"/>
              </w:rPr>
              <w:tab/>
            </w:r>
          </w:p>
        </w:tc>
        <w:tc>
          <w:tcPr>
            <w:tcW w:w="1378" w:type="dxa"/>
          </w:tcPr>
          <w:p w14:paraId="22BFC505" w14:textId="77777777" w:rsidR="00EA0DCD" w:rsidRPr="001E614B" w:rsidRDefault="00EA0DCD">
            <w:pPr>
              <w:contextualSpacing/>
              <w:jc w:val="center"/>
              <w:rPr>
                <w:rFonts w:eastAsia="Calibri"/>
              </w:rPr>
            </w:pPr>
            <w:r w:rsidRPr="001E614B">
              <w:rPr>
                <w:rFonts w:eastAsia="Calibri"/>
              </w:rPr>
              <w:t>10124</w:t>
            </w:r>
            <w:r w:rsidRPr="001E614B">
              <w:rPr>
                <w:rFonts w:eastAsia="Calibri"/>
              </w:rPr>
              <w:tab/>
            </w:r>
          </w:p>
        </w:tc>
        <w:tc>
          <w:tcPr>
            <w:tcW w:w="1134" w:type="dxa"/>
          </w:tcPr>
          <w:p w14:paraId="31F60E2F" w14:textId="77777777" w:rsidR="00EA0DCD" w:rsidRPr="001E614B" w:rsidRDefault="00EA0DCD">
            <w:pPr>
              <w:contextualSpacing/>
              <w:jc w:val="center"/>
              <w:rPr>
                <w:rFonts w:eastAsia="Calibri"/>
              </w:rPr>
            </w:pPr>
            <w:r w:rsidRPr="001E614B">
              <w:rPr>
                <w:rFonts w:eastAsia="Calibri"/>
              </w:rPr>
              <w:t>12065</w:t>
            </w:r>
            <w:r w:rsidRPr="001E614B">
              <w:rPr>
                <w:rFonts w:eastAsia="Calibri"/>
              </w:rPr>
              <w:tab/>
            </w:r>
          </w:p>
        </w:tc>
        <w:tc>
          <w:tcPr>
            <w:tcW w:w="1842" w:type="dxa"/>
          </w:tcPr>
          <w:p w14:paraId="478AF1D9" w14:textId="77777777" w:rsidR="00EA0DCD" w:rsidRPr="001E614B" w:rsidRDefault="00EA0DCD">
            <w:pPr>
              <w:contextualSpacing/>
              <w:jc w:val="center"/>
              <w:rPr>
                <w:rFonts w:eastAsia="Calibri"/>
              </w:rPr>
            </w:pPr>
            <w:r w:rsidRPr="001E614B">
              <w:rPr>
                <w:rFonts w:eastAsia="Calibri"/>
              </w:rPr>
              <w:t>108,30</w:t>
            </w:r>
          </w:p>
        </w:tc>
      </w:tr>
      <w:tr w:rsidR="00EA0DCD" w:rsidRPr="001E614B" w14:paraId="3D99640D" w14:textId="77777777">
        <w:tc>
          <w:tcPr>
            <w:tcW w:w="1820" w:type="dxa"/>
          </w:tcPr>
          <w:p w14:paraId="448043D5" w14:textId="77777777" w:rsidR="00EA0DCD" w:rsidRPr="001E614B" w:rsidRDefault="00EA0DCD">
            <w:pPr>
              <w:contextualSpacing/>
              <w:rPr>
                <w:rFonts w:eastAsia="Calibri"/>
              </w:rPr>
            </w:pPr>
            <w:r w:rsidRPr="001E614B">
              <w:rPr>
                <w:rFonts w:eastAsia="Calibri"/>
              </w:rPr>
              <w:t>Год</w:t>
            </w:r>
          </w:p>
        </w:tc>
        <w:tc>
          <w:tcPr>
            <w:tcW w:w="1168" w:type="dxa"/>
          </w:tcPr>
          <w:p w14:paraId="07B709A4" w14:textId="77777777" w:rsidR="00EA0DCD" w:rsidRPr="001E614B" w:rsidRDefault="00EA0DCD">
            <w:pPr>
              <w:contextualSpacing/>
              <w:jc w:val="center"/>
              <w:rPr>
                <w:rFonts w:eastAsia="Calibri"/>
              </w:rPr>
            </w:pPr>
            <w:r w:rsidRPr="001E614B">
              <w:rPr>
                <w:rFonts w:eastAsia="Calibri"/>
              </w:rPr>
              <w:t>11908</w:t>
            </w:r>
            <w:r w:rsidRPr="001E614B">
              <w:rPr>
                <w:rFonts w:eastAsia="Calibri"/>
              </w:rPr>
              <w:tab/>
            </w:r>
          </w:p>
        </w:tc>
        <w:tc>
          <w:tcPr>
            <w:tcW w:w="1725" w:type="dxa"/>
          </w:tcPr>
          <w:p w14:paraId="13F98217" w14:textId="77777777" w:rsidR="00EA0DCD" w:rsidRPr="001E614B" w:rsidRDefault="00EA0DCD">
            <w:pPr>
              <w:contextualSpacing/>
              <w:jc w:val="center"/>
              <w:rPr>
                <w:rFonts w:eastAsia="Calibri"/>
              </w:rPr>
            </w:pPr>
            <w:r w:rsidRPr="001E614B">
              <w:rPr>
                <w:rFonts w:eastAsia="Calibri"/>
              </w:rPr>
              <w:t>12900</w:t>
            </w:r>
            <w:r w:rsidRPr="001E614B">
              <w:rPr>
                <w:rFonts w:eastAsia="Calibri"/>
              </w:rPr>
              <w:tab/>
            </w:r>
          </w:p>
        </w:tc>
        <w:tc>
          <w:tcPr>
            <w:tcW w:w="1378" w:type="dxa"/>
          </w:tcPr>
          <w:p w14:paraId="660077F5" w14:textId="77777777" w:rsidR="00EA0DCD" w:rsidRPr="001E614B" w:rsidRDefault="00EA0DCD">
            <w:pPr>
              <w:contextualSpacing/>
              <w:jc w:val="center"/>
              <w:rPr>
                <w:rFonts w:eastAsia="Calibri"/>
              </w:rPr>
            </w:pPr>
            <w:r w:rsidRPr="001E614B">
              <w:rPr>
                <w:rFonts w:eastAsia="Calibri"/>
              </w:rPr>
              <w:t>9826</w:t>
            </w:r>
            <w:r w:rsidRPr="001E614B">
              <w:rPr>
                <w:rFonts w:eastAsia="Calibri"/>
              </w:rPr>
              <w:tab/>
            </w:r>
          </w:p>
        </w:tc>
        <w:tc>
          <w:tcPr>
            <w:tcW w:w="1134" w:type="dxa"/>
          </w:tcPr>
          <w:p w14:paraId="3B06D669" w14:textId="77777777" w:rsidR="00EA0DCD" w:rsidRPr="001E614B" w:rsidRDefault="00EA0DCD">
            <w:pPr>
              <w:contextualSpacing/>
              <w:jc w:val="center"/>
              <w:rPr>
                <w:rFonts w:eastAsia="Calibri"/>
              </w:rPr>
            </w:pPr>
            <w:r w:rsidRPr="001E614B">
              <w:rPr>
                <w:rFonts w:eastAsia="Calibri"/>
              </w:rPr>
              <w:t>11709</w:t>
            </w:r>
            <w:r w:rsidRPr="001E614B">
              <w:rPr>
                <w:rFonts w:eastAsia="Calibri"/>
              </w:rPr>
              <w:tab/>
            </w:r>
          </w:p>
        </w:tc>
        <w:tc>
          <w:tcPr>
            <w:tcW w:w="1842" w:type="dxa"/>
          </w:tcPr>
          <w:p w14:paraId="105C3CE9" w14:textId="77777777" w:rsidR="00EA0DCD" w:rsidRPr="001E614B" w:rsidRDefault="00EA0DCD">
            <w:pPr>
              <w:contextualSpacing/>
              <w:jc w:val="center"/>
              <w:rPr>
                <w:rFonts w:eastAsia="Calibri"/>
              </w:rPr>
            </w:pPr>
            <w:r w:rsidRPr="001E614B">
              <w:rPr>
                <w:rFonts w:eastAsia="Calibri"/>
              </w:rPr>
              <w:t>105,11</w:t>
            </w:r>
          </w:p>
        </w:tc>
      </w:tr>
      <w:tr w:rsidR="00EA0DCD" w:rsidRPr="001E614B" w14:paraId="5A7B4112" w14:textId="77777777">
        <w:tc>
          <w:tcPr>
            <w:tcW w:w="9067" w:type="dxa"/>
            <w:gridSpan w:val="6"/>
          </w:tcPr>
          <w:p w14:paraId="40A02369" w14:textId="77777777" w:rsidR="00EA0DCD" w:rsidRPr="001E614B" w:rsidRDefault="00EA0DCD">
            <w:pPr>
              <w:contextualSpacing/>
              <w:jc w:val="center"/>
              <w:rPr>
                <w:rFonts w:eastAsia="Calibri"/>
              </w:rPr>
            </w:pPr>
            <w:r w:rsidRPr="001E614B">
              <w:rPr>
                <w:rFonts w:eastAsia="Calibri"/>
              </w:rPr>
              <w:t>2022 год</w:t>
            </w:r>
          </w:p>
        </w:tc>
      </w:tr>
      <w:tr w:rsidR="00EA0DCD" w:rsidRPr="001E614B" w14:paraId="0E12DB4F" w14:textId="77777777">
        <w:tc>
          <w:tcPr>
            <w:tcW w:w="1820" w:type="dxa"/>
          </w:tcPr>
          <w:p w14:paraId="457C25C8" w14:textId="77777777" w:rsidR="00EA0DCD" w:rsidRPr="001E614B" w:rsidRDefault="00EA0DCD">
            <w:pPr>
              <w:contextualSpacing/>
              <w:rPr>
                <w:rFonts w:eastAsia="Calibri"/>
              </w:rPr>
            </w:pPr>
            <w:r w:rsidRPr="001E614B">
              <w:rPr>
                <w:rFonts w:eastAsia="Calibri"/>
              </w:rPr>
              <w:t>I квартал</w:t>
            </w:r>
          </w:p>
        </w:tc>
        <w:tc>
          <w:tcPr>
            <w:tcW w:w="1168" w:type="dxa"/>
          </w:tcPr>
          <w:p w14:paraId="46C2461E" w14:textId="77777777" w:rsidR="00EA0DCD" w:rsidRPr="001E614B" w:rsidRDefault="00EA0DCD">
            <w:pPr>
              <w:contextualSpacing/>
              <w:jc w:val="center"/>
              <w:rPr>
                <w:rFonts w:eastAsia="Calibri"/>
              </w:rPr>
            </w:pPr>
            <w:r w:rsidRPr="001E614B">
              <w:rPr>
                <w:rFonts w:eastAsia="Calibri"/>
              </w:rPr>
              <w:t>12916</w:t>
            </w:r>
            <w:r w:rsidRPr="001E614B">
              <w:rPr>
                <w:rFonts w:eastAsia="Calibri"/>
              </w:rPr>
              <w:tab/>
            </w:r>
          </w:p>
        </w:tc>
        <w:tc>
          <w:tcPr>
            <w:tcW w:w="1725" w:type="dxa"/>
          </w:tcPr>
          <w:p w14:paraId="2608CC49" w14:textId="77777777" w:rsidR="00EA0DCD" w:rsidRPr="001E614B" w:rsidRDefault="00EA0DCD">
            <w:pPr>
              <w:contextualSpacing/>
              <w:jc w:val="center"/>
              <w:rPr>
                <w:rFonts w:eastAsia="Calibri"/>
              </w:rPr>
            </w:pPr>
            <w:r w:rsidRPr="001E614B">
              <w:rPr>
                <w:rFonts w:eastAsia="Calibri"/>
              </w:rPr>
              <w:t>13992</w:t>
            </w:r>
            <w:r w:rsidRPr="001E614B">
              <w:rPr>
                <w:rFonts w:eastAsia="Calibri"/>
              </w:rPr>
              <w:tab/>
            </w:r>
          </w:p>
        </w:tc>
        <w:tc>
          <w:tcPr>
            <w:tcW w:w="1378" w:type="dxa"/>
          </w:tcPr>
          <w:p w14:paraId="3A91C8C3" w14:textId="77777777" w:rsidR="00EA0DCD" w:rsidRPr="001E614B" w:rsidRDefault="00EA0DCD">
            <w:pPr>
              <w:contextualSpacing/>
              <w:jc w:val="center"/>
              <w:rPr>
                <w:rFonts w:eastAsia="Calibri"/>
              </w:rPr>
            </w:pPr>
            <w:r w:rsidRPr="001E614B">
              <w:rPr>
                <w:rFonts w:eastAsia="Calibri"/>
              </w:rPr>
              <w:t>10658</w:t>
            </w:r>
            <w:r w:rsidRPr="001E614B">
              <w:rPr>
                <w:rFonts w:eastAsia="Calibri"/>
              </w:rPr>
              <w:tab/>
            </w:r>
          </w:p>
        </w:tc>
        <w:tc>
          <w:tcPr>
            <w:tcW w:w="1134" w:type="dxa"/>
          </w:tcPr>
          <w:p w14:paraId="05CFBC2E" w14:textId="77777777" w:rsidR="00EA0DCD" w:rsidRPr="001E614B" w:rsidRDefault="00EA0DCD">
            <w:pPr>
              <w:contextualSpacing/>
              <w:jc w:val="center"/>
              <w:rPr>
                <w:rFonts w:eastAsia="Calibri"/>
              </w:rPr>
            </w:pPr>
            <w:r w:rsidRPr="001E614B">
              <w:rPr>
                <w:rFonts w:eastAsia="Calibri"/>
              </w:rPr>
              <w:t>12701</w:t>
            </w:r>
            <w:r w:rsidRPr="001E614B">
              <w:rPr>
                <w:rFonts w:eastAsia="Calibri"/>
              </w:rPr>
              <w:tab/>
            </w:r>
          </w:p>
        </w:tc>
        <w:tc>
          <w:tcPr>
            <w:tcW w:w="1842" w:type="dxa"/>
          </w:tcPr>
          <w:p w14:paraId="0D72F44D" w14:textId="77777777" w:rsidR="00EA0DCD" w:rsidRPr="001E614B" w:rsidRDefault="00EA0DCD">
            <w:pPr>
              <w:contextualSpacing/>
              <w:jc w:val="center"/>
              <w:rPr>
                <w:rFonts w:eastAsia="Calibri"/>
              </w:rPr>
            </w:pPr>
            <w:r w:rsidRPr="001E614B">
              <w:rPr>
                <w:rFonts w:eastAsia="Calibri"/>
              </w:rPr>
              <w:t>114,01</w:t>
            </w:r>
          </w:p>
        </w:tc>
      </w:tr>
      <w:tr w:rsidR="00EA0DCD" w:rsidRPr="001E614B" w14:paraId="7522658C" w14:textId="77777777">
        <w:tc>
          <w:tcPr>
            <w:tcW w:w="1820" w:type="dxa"/>
          </w:tcPr>
          <w:p w14:paraId="0474150F" w14:textId="77777777" w:rsidR="00EA0DCD" w:rsidRPr="001E614B" w:rsidRDefault="00EA0DCD">
            <w:pPr>
              <w:contextualSpacing/>
              <w:rPr>
                <w:rFonts w:eastAsia="Calibri"/>
              </w:rPr>
            </w:pPr>
            <w:r w:rsidRPr="001E614B">
              <w:rPr>
                <w:rFonts w:eastAsia="Calibri"/>
              </w:rPr>
              <w:t>II квартал</w:t>
            </w:r>
          </w:p>
        </w:tc>
        <w:tc>
          <w:tcPr>
            <w:tcW w:w="1168" w:type="dxa"/>
          </w:tcPr>
          <w:p w14:paraId="74588C21" w14:textId="77777777" w:rsidR="00EA0DCD" w:rsidRPr="001E614B" w:rsidRDefault="00EA0DCD">
            <w:pPr>
              <w:contextualSpacing/>
              <w:jc w:val="center"/>
              <w:rPr>
                <w:rFonts w:eastAsia="Calibri"/>
              </w:rPr>
            </w:pPr>
            <w:r w:rsidRPr="001E614B">
              <w:rPr>
                <w:rFonts w:eastAsia="Calibri"/>
              </w:rPr>
              <w:t>13813</w:t>
            </w:r>
            <w:r w:rsidRPr="001E614B">
              <w:rPr>
                <w:rFonts w:eastAsia="Calibri"/>
              </w:rPr>
              <w:tab/>
            </w:r>
          </w:p>
        </w:tc>
        <w:tc>
          <w:tcPr>
            <w:tcW w:w="1725" w:type="dxa"/>
          </w:tcPr>
          <w:p w14:paraId="0404CA39" w14:textId="77777777" w:rsidR="00EA0DCD" w:rsidRPr="001E614B" w:rsidRDefault="00EA0DCD">
            <w:pPr>
              <w:contextualSpacing/>
              <w:jc w:val="center"/>
              <w:rPr>
                <w:rFonts w:eastAsia="Calibri"/>
              </w:rPr>
            </w:pPr>
            <w:r w:rsidRPr="001E614B">
              <w:rPr>
                <w:rFonts w:eastAsia="Calibri"/>
              </w:rPr>
              <w:t>14964</w:t>
            </w:r>
            <w:r w:rsidRPr="001E614B">
              <w:rPr>
                <w:rFonts w:eastAsia="Calibri"/>
              </w:rPr>
              <w:tab/>
            </w:r>
          </w:p>
        </w:tc>
        <w:tc>
          <w:tcPr>
            <w:tcW w:w="1378" w:type="dxa"/>
          </w:tcPr>
          <w:p w14:paraId="46CEA67A" w14:textId="77777777" w:rsidR="00EA0DCD" w:rsidRPr="001E614B" w:rsidRDefault="00EA0DCD">
            <w:pPr>
              <w:contextualSpacing/>
              <w:jc w:val="center"/>
              <w:rPr>
                <w:rFonts w:eastAsia="Calibri"/>
              </w:rPr>
            </w:pPr>
            <w:r w:rsidRPr="001E614B">
              <w:rPr>
                <w:rFonts w:eastAsia="Calibri"/>
              </w:rPr>
              <w:t>11398</w:t>
            </w:r>
            <w:r w:rsidRPr="001E614B">
              <w:rPr>
                <w:rFonts w:eastAsia="Calibri"/>
              </w:rPr>
              <w:tab/>
            </w:r>
          </w:p>
        </w:tc>
        <w:tc>
          <w:tcPr>
            <w:tcW w:w="1134" w:type="dxa"/>
          </w:tcPr>
          <w:p w14:paraId="00D571E3" w14:textId="77777777" w:rsidR="00EA0DCD" w:rsidRPr="001E614B" w:rsidRDefault="00EA0DCD">
            <w:pPr>
              <w:contextualSpacing/>
              <w:jc w:val="center"/>
              <w:rPr>
                <w:rFonts w:eastAsia="Calibri"/>
              </w:rPr>
            </w:pPr>
            <w:r w:rsidRPr="001E614B">
              <w:rPr>
                <w:rFonts w:eastAsia="Calibri"/>
              </w:rPr>
              <w:t>13583</w:t>
            </w:r>
            <w:r w:rsidRPr="001E614B">
              <w:rPr>
                <w:rFonts w:eastAsia="Calibri"/>
              </w:rPr>
              <w:tab/>
            </w:r>
          </w:p>
        </w:tc>
        <w:tc>
          <w:tcPr>
            <w:tcW w:w="1842" w:type="dxa"/>
          </w:tcPr>
          <w:p w14:paraId="177EC398" w14:textId="77777777" w:rsidR="00EA0DCD" w:rsidRPr="001E614B" w:rsidRDefault="00EA0DCD">
            <w:pPr>
              <w:contextualSpacing/>
              <w:jc w:val="center"/>
              <w:rPr>
                <w:rFonts w:eastAsia="Calibri"/>
              </w:rPr>
            </w:pPr>
            <w:r w:rsidRPr="001E614B">
              <w:rPr>
                <w:rFonts w:eastAsia="Calibri"/>
              </w:rPr>
              <w:t>121,93</w:t>
            </w:r>
          </w:p>
        </w:tc>
      </w:tr>
      <w:tr w:rsidR="00EA0DCD" w:rsidRPr="001E614B" w14:paraId="54BB6BC6" w14:textId="77777777">
        <w:tc>
          <w:tcPr>
            <w:tcW w:w="1820" w:type="dxa"/>
          </w:tcPr>
          <w:p w14:paraId="439EB491" w14:textId="77777777" w:rsidR="00EA0DCD" w:rsidRPr="001E614B" w:rsidRDefault="00EA0DCD">
            <w:pPr>
              <w:contextualSpacing/>
              <w:rPr>
                <w:rFonts w:eastAsia="Calibri"/>
              </w:rPr>
            </w:pPr>
            <w:r w:rsidRPr="001E614B">
              <w:rPr>
                <w:rFonts w:eastAsia="Calibri"/>
              </w:rPr>
              <w:t>I полугодие</w:t>
            </w:r>
          </w:p>
        </w:tc>
        <w:tc>
          <w:tcPr>
            <w:tcW w:w="1168" w:type="dxa"/>
          </w:tcPr>
          <w:p w14:paraId="3A81F4EB" w14:textId="77777777" w:rsidR="00EA0DCD" w:rsidRPr="001E614B" w:rsidRDefault="00EA0DCD">
            <w:pPr>
              <w:contextualSpacing/>
              <w:jc w:val="center"/>
              <w:rPr>
                <w:rFonts w:eastAsia="Calibri"/>
              </w:rPr>
            </w:pPr>
            <w:r w:rsidRPr="001E614B">
              <w:rPr>
                <w:rFonts w:eastAsia="Calibri"/>
              </w:rPr>
              <w:t>13365</w:t>
            </w:r>
            <w:r w:rsidRPr="001E614B">
              <w:rPr>
                <w:rFonts w:eastAsia="Calibri"/>
              </w:rPr>
              <w:tab/>
            </w:r>
          </w:p>
        </w:tc>
        <w:tc>
          <w:tcPr>
            <w:tcW w:w="1725" w:type="dxa"/>
          </w:tcPr>
          <w:p w14:paraId="269DB7D6" w14:textId="77777777" w:rsidR="00EA0DCD" w:rsidRPr="001E614B" w:rsidRDefault="00EA0DCD">
            <w:pPr>
              <w:contextualSpacing/>
              <w:jc w:val="center"/>
              <w:rPr>
                <w:rFonts w:eastAsia="Calibri"/>
              </w:rPr>
            </w:pPr>
            <w:r w:rsidRPr="001E614B">
              <w:rPr>
                <w:rFonts w:eastAsia="Calibri"/>
              </w:rPr>
              <w:t>14478</w:t>
            </w:r>
            <w:r w:rsidRPr="001E614B">
              <w:rPr>
                <w:rFonts w:eastAsia="Calibri"/>
              </w:rPr>
              <w:tab/>
            </w:r>
          </w:p>
        </w:tc>
        <w:tc>
          <w:tcPr>
            <w:tcW w:w="1378" w:type="dxa"/>
          </w:tcPr>
          <w:p w14:paraId="0BA245C4" w14:textId="77777777" w:rsidR="00EA0DCD" w:rsidRPr="001E614B" w:rsidRDefault="00EA0DCD">
            <w:pPr>
              <w:contextualSpacing/>
              <w:jc w:val="center"/>
              <w:rPr>
                <w:rFonts w:eastAsia="Calibri"/>
              </w:rPr>
            </w:pPr>
            <w:r w:rsidRPr="001E614B">
              <w:rPr>
                <w:rFonts w:eastAsia="Calibri"/>
              </w:rPr>
              <w:t>11028</w:t>
            </w:r>
            <w:r w:rsidRPr="001E614B">
              <w:rPr>
                <w:rFonts w:eastAsia="Calibri"/>
              </w:rPr>
              <w:tab/>
            </w:r>
          </w:p>
        </w:tc>
        <w:tc>
          <w:tcPr>
            <w:tcW w:w="1134" w:type="dxa"/>
          </w:tcPr>
          <w:p w14:paraId="6B5B2C71" w14:textId="77777777" w:rsidR="00EA0DCD" w:rsidRPr="001E614B" w:rsidRDefault="00EA0DCD">
            <w:pPr>
              <w:contextualSpacing/>
              <w:jc w:val="center"/>
              <w:rPr>
                <w:rFonts w:eastAsia="Calibri"/>
              </w:rPr>
            </w:pPr>
            <w:r w:rsidRPr="001E614B">
              <w:rPr>
                <w:rFonts w:eastAsia="Calibri"/>
              </w:rPr>
              <w:t>13142</w:t>
            </w:r>
            <w:r w:rsidRPr="001E614B">
              <w:rPr>
                <w:rFonts w:eastAsia="Calibri"/>
              </w:rPr>
              <w:tab/>
            </w:r>
          </w:p>
        </w:tc>
        <w:tc>
          <w:tcPr>
            <w:tcW w:w="1842" w:type="dxa"/>
          </w:tcPr>
          <w:p w14:paraId="23C4ECC1" w14:textId="77777777" w:rsidR="00EA0DCD" w:rsidRPr="001E614B" w:rsidRDefault="00EA0DCD">
            <w:pPr>
              <w:contextualSpacing/>
              <w:jc w:val="center"/>
              <w:rPr>
                <w:rFonts w:eastAsia="Calibri"/>
              </w:rPr>
            </w:pPr>
            <w:r w:rsidRPr="001E614B">
              <w:rPr>
                <w:rFonts w:eastAsia="Calibri"/>
              </w:rPr>
              <w:t>117,97</w:t>
            </w:r>
          </w:p>
        </w:tc>
      </w:tr>
    </w:tbl>
    <w:p w14:paraId="35226598" w14:textId="7A27C346" w:rsidR="00EA0DCD" w:rsidRPr="00742EF3" w:rsidRDefault="00EA0DCD" w:rsidP="00EA0DCD">
      <w:pPr>
        <w:ind w:firstLine="709"/>
        <w:contextualSpacing/>
        <w:jc w:val="both"/>
        <w:rPr>
          <w:rFonts w:eastAsia="Calibri"/>
          <w:color w:val="FF0000"/>
          <w:sz w:val="20"/>
          <w:szCs w:val="20"/>
        </w:rPr>
      </w:pPr>
      <w:r w:rsidRPr="00742EF3">
        <w:rPr>
          <w:rFonts w:eastAsia="Calibri"/>
          <w:i/>
          <w:sz w:val="20"/>
          <w:szCs w:val="20"/>
        </w:rPr>
        <w:t>Источник</w:t>
      </w:r>
      <w:r w:rsidRPr="00742EF3">
        <w:rPr>
          <w:rFonts w:eastAsia="Calibri"/>
          <w:sz w:val="20"/>
          <w:szCs w:val="20"/>
        </w:rPr>
        <w:t xml:space="preserve">: составлено по </w:t>
      </w:r>
      <w:r w:rsidR="00742EF3">
        <w:rPr>
          <w:rFonts w:eastAsia="Calibri"/>
          <w:sz w:val="20"/>
          <w:szCs w:val="20"/>
        </w:rPr>
        <w:t>данным</w:t>
      </w:r>
      <w:r w:rsidRPr="00742EF3">
        <w:rPr>
          <w:rFonts w:eastAsia="Calibri"/>
          <w:sz w:val="20"/>
          <w:szCs w:val="20"/>
        </w:rPr>
        <w:t xml:space="preserve"> Росстата</w:t>
      </w:r>
      <w:r w:rsidR="00742EF3">
        <w:rPr>
          <w:rFonts w:eastAsia="Calibri"/>
          <w:sz w:val="20"/>
          <w:szCs w:val="20"/>
        </w:rPr>
        <w:t xml:space="preserve"> – </w:t>
      </w:r>
      <w:r w:rsidR="00742EF3">
        <w:rPr>
          <w:rFonts w:eastAsia="Calibri"/>
          <w:sz w:val="20"/>
          <w:szCs w:val="20"/>
          <w:lang w:val="en-US"/>
        </w:rPr>
        <w:t>URL</w:t>
      </w:r>
      <w:r w:rsidR="00742EF3" w:rsidRPr="00742EF3">
        <w:rPr>
          <w:rFonts w:eastAsia="Calibri"/>
          <w:sz w:val="20"/>
          <w:szCs w:val="20"/>
        </w:rPr>
        <w:t>:</w:t>
      </w:r>
      <w:r w:rsidR="00742EF3">
        <w:rPr>
          <w:rFonts w:eastAsia="Calibri"/>
          <w:sz w:val="20"/>
          <w:szCs w:val="20"/>
          <w:lang w:val="en-US"/>
        </w:rPr>
        <w:t>http</w:t>
      </w:r>
      <w:r w:rsidR="00742EF3" w:rsidRPr="00742EF3">
        <w:rPr>
          <w:rFonts w:eastAsia="Calibri"/>
          <w:sz w:val="20"/>
          <w:szCs w:val="20"/>
        </w:rPr>
        <w:t>://</w:t>
      </w:r>
      <w:r w:rsidR="00742EF3">
        <w:rPr>
          <w:rFonts w:eastAsia="Calibri"/>
          <w:sz w:val="20"/>
          <w:szCs w:val="20"/>
          <w:lang w:val="en-US"/>
        </w:rPr>
        <w:t>www</w:t>
      </w:r>
      <w:r w:rsidR="00742EF3" w:rsidRPr="00742EF3">
        <w:rPr>
          <w:rFonts w:eastAsia="Calibri"/>
          <w:sz w:val="20"/>
          <w:szCs w:val="20"/>
        </w:rPr>
        <w:t>.</w:t>
      </w:r>
      <w:proofErr w:type="spellStart"/>
      <w:r w:rsidR="00742EF3">
        <w:rPr>
          <w:rFonts w:eastAsia="Calibri"/>
          <w:sz w:val="20"/>
          <w:szCs w:val="20"/>
          <w:lang w:val="en-US"/>
        </w:rPr>
        <w:t>gks</w:t>
      </w:r>
      <w:proofErr w:type="spellEnd"/>
      <w:r w:rsidR="00742EF3" w:rsidRPr="00742EF3">
        <w:rPr>
          <w:rFonts w:eastAsia="Calibri"/>
          <w:sz w:val="20"/>
          <w:szCs w:val="20"/>
        </w:rPr>
        <w:t>.</w:t>
      </w:r>
      <w:proofErr w:type="spellStart"/>
      <w:r w:rsidR="00742EF3">
        <w:rPr>
          <w:rFonts w:eastAsia="Calibri"/>
          <w:sz w:val="20"/>
          <w:szCs w:val="20"/>
          <w:lang w:val="en-US"/>
        </w:rPr>
        <w:t>ru</w:t>
      </w:r>
      <w:proofErr w:type="spellEnd"/>
      <w:r w:rsidR="00742EF3" w:rsidRPr="00742EF3">
        <w:rPr>
          <w:rFonts w:eastAsia="Calibri"/>
          <w:sz w:val="20"/>
          <w:szCs w:val="20"/>
        </w:rPr>
        <w:t xml:space="preserve"> (</w:t>
      </w:r>
      <w:r w:rsidR="00742EF3">
        <w:rPr>
          <w:rFonts w:eastAsia="Calibri"/>
          <w:sz w:val="20"/>
          <w:szCs w:val="20"/>
        </w:rPr>
        <w:t>дата обращения: 09.10.22)</w:t>
      </w:r>
    </w:p>
    <w:p w14:paraId="03A049D2" w14:textId="77777777" w:rsidR="00EA0DCD" w:rsidRPr="001E614B" w:rsidRDefault="00EA0DCD" w:rsidP="00EA0DCD">
      <w:pPr>
        <w:contextualSpacing/>
        <w:jc w:val="center"/>
        <w:rPr>
          <w:rFonts w:eastAsia="Calibri"/>
          <w:b/>
          <w:color w:val="FF0000"/>
        </w:rPr>
      </w:pPr>
    </w:p>
    <w:p w14:paraId="373CA959" w14:textId="7C6010D6" w:rsidR="00EA0DCD" w:rsidRPr="001E614B" w:rsidRDefault="00EA0DCD" w:rsidP="00EA0DCD">
      <w:pPr>
        <w:ind w:left="7080" w:firstLine="708"/>
        <w:contextualSpacing/>
        <w:rPr>
          <w:rFonts w:eastAsia="Calibri"/>
          <w:b/>
          <w:color w:val="000000" w:themeColor="text1"/>
        </w:rPr>
      </w:pPr>
      <w:r w:rsidRPr="001E614B">
        <w:rPr>
          <w:rFonts w:eastAsia="Calibri"/>
          <w:b/>
          <w:color w:val="000000" w:themeColor="text1"/>
        </w:rPr>
        <w:t xml:space="preserve">  </w:t>
      </w:r>
    </w:p>
    <w:p w14:paraId="13FD1798" w14:textId="268D2FFA" w:rsidR="00EA0DCD" w:rsidRDefault="00EA0DCD" w:rsidP="00742EF3">
      <w:pPr>
        <w:contextualSpacing/>
        <w:jc w:val="both"/>
        <w:rPr>
          <w:rFonts w:eastAsia="Calibri"/>
          <w:bCs/>
          <w:sz w:val="28"/>
          <w:szCs w:val="28"/>
        </w:rPr>
      </w:pPr>
      <w:r w:rsidRPr="00742EF3">
        <w:rPr>
          <w:rFonts w:eastAsia="Calibri"/>
          <w:bCs/>
          <w:color w:val="000000" w:themeColor="text1"/>
          <w:sz w:val="28"/>
          <w:szCs w:val="28"/>
        </w:rPr>
        <w:t xml:space="preserve">Таблица </w:t>
      </w:r>
      <w:r w:rsidR="00A72021" w:rsidRPr="00742EF3">
        <w:rPr>
          <w:rFonts w:eastAsia="Calibri"/>
          <w:bCs/>
          <w:color w:val="000000" w:themeColor="text1"/>
          <w:sz w:val="28"/>
          <w:szCs w:val="28"/>
        </w:rPr>
        <w:t>1</w:t>
      </w:r>
      <w:r w:rsidR="00901ACF">
        <w:rPr>
          <w:rFonts w:eastAsia="Calibri"/>
          <w:bCs/>
          <w:color w:val="000000" w:themeColor="text1"/>
          <w:sz w:val="28"/>
          <w:szCs w:val="28"/>
        </w:rPr>
        <w:t>4</w:t>
      </w:r>
      <w:r w:rsidR="00742EF3" w:rsidRPr="00742EF3">
        <w:rPr>
          <w:rFonts w:eastAsia="Calibri"/>
          <w:bCs/>
          <w:color w:val="000000" w:themeColor="text1"/>
          <w:sz w:val="28"/>
          <w:szCs w:val="28"/>
        </w:rPr>
        <w:t xml:space="preserve"> -</w:t>
      </w:r>
      <w:r w:rsidRPr="00742EF3">
        <w:rPr>
          <w:rFonts w:eastAsia="Calibri"/>
          <w:bCs/>
          <w:color w:val="FF0000"/>
          <w:sz w:val="28"/>
          <w:szCs w:val="28"/>
        </w:rPr>
        <w:t xml:space="preserve"> </w:t>
      </w:r>
      <w:r w:rsidRPr="00742EF3">
        <w:rPr>
          <w:rFonts w:eastAsia="Calibri"/>
          <w:bCs/>
          <w:sz w:val="28"/>
          <w:szCs w:val="28"/>
        </w:rPr>
        <w:t>Численность населения с денежными доходами ниже границы бедности</w:t>
      </w:r>
      <w:r w:rsidR="00742EF3">
        <w:rPr>
          <w:rFonts w:eastAsia="Calibri"/>
          <w:bCs/>
          <w:sz w:val="28"/>
          <w:szCs w:val="28"/>
        </w:rPr>
        <w:t xml:space="preserve"> </w:t>
      </w:r>
      <w:r w:rsidRPr="00742EF3">
        <w:rPr>
          <w:rFonts w:eastAsia="Calibri"/>
          <w:bCs/>
          <w:sz w:val="28"/>
          <w:szCs w:val="28"/>
        </w:rPr>
        <w:t>в целом по Российской Федерации</w:t>
      </w:r>
    </w:p>
    <w:p w14:paraId="28B982FB" w14:textId="77777777" w:rsidR="00742EF3" w:rsidRPr="00742EF3" w:rsidRDefault="00742EF3" w:rsidP="00742EF3">
      <w:pPr>
        <w:contextualSpacing/>
        <w:jc w:val="both"/>
        <w:rPr>
          <w:rFonts w:eastAsia="Calibri"/>
          <w:bCs/>
          <w:sz w:val="28"/>
          <w:szCs w:val="28"/>
        </w:rPr>
      </w:pPr>
    </w:p>
    <w:tbl>
      <w:tblPr>
        <w:tblStyle w:val="6"/>
        <w:tblW w:w="5000" w:type="pct"/>
        <w:jc w:val="center"/>
        <w:tblLook w:val="04A0" w:firstRow="1" w:lastRow="0" w:firstColumn="1" w:lastColumn="0" w:noHBand="0" w:noVBand="1"/>
      </w:tblPr>
      <w:tblGrid>
        <w:gridCol w:w="3907"/>
        <w:gridCol w:w="2735"/>
        <w:gridCol w:w="2929"/>
      </w:tblGrid>
      <w:tr w:rsidR="00EA0DCD" w:rsidRPr="001E614B" w14:paraId="5B6A2A0A" w14:textId="77777777" w:rsidTr="00742EF3">
        <w:trPr>
          <w:jc w:val="center"/>
        </w:trPr>
        <w:tc>
          <w:tcPr>
            <w:tcW w:w="2041" w:type="pct"/>
          </w:tcPr>
          <w:p w14:paraId="6F7ECB5A" w14:textId="77777777" w:rsidR="00EA0DCD" w:rsidRPr="00E40C69" w:rsidRDefault="00EA0DCD">
            <w:pPr>
              <w:contextualSpacing/>
              <w:jc w:val="center"/>
              <w:rPr>
                <w:rFonts w:eastAsia="Calibri"/>
                <w:b/>
                <w:color w:val="FF0000"/>
              </w:rPr>
            </w:pPr>
          </w:p>
        </w:tc>
        <w:tc>
          <w:tcPr>
            <w:tcW w:w="1429" w:type="pct"/>
          </w:tcPr>
          <w:p w14:paraId="6E4C312E" w14:textId="77777777" w:rsidR="00EA0DCD" w:rsidRPr="00E40C69" w:rsidRDefault="00EA0DCD">
            <w:pPr>
              <w:contextualSpacing/>
              <w:jc w:val="center"/>
              <w:rPr>
                <w:rFonts w:eastAsia="Calibri"/>
                <w:b/>
              </w:rPr>
            </w:pPr>
            <w:proofErr w:type="gramStart"/>
            <w:r w:rsidRPr="00E40C69">
              <w:rPr>
                <w:rFonts w:eastAsia="Calibri"/>
                <w:b/>
              </w:rPr>
              <w:t>Млн</w:t>
            </w:r>
            <w:proofErr w:type="gramEnd"/>
            <w:r w:rsidRPr="00E40C69">
              <w:rPr>
                <w:rFonts w:eastAsia="Calibri"/>
                <w:b/>
              </w:rPr>
              <w:t xml:space="preserve"> человек</w:t>
            </w:r>
            <w:r w:rsidRPr="00E40C69">
              <w:rPr>
                <w:rFonts w:eastAsia="Calibri"/>
                <w:b/>
              </w:rPr>
              <w:tab/>
            </w:r>
          </w:p>
        </w:tc>
        <w:tc>
          <w:tcPr>
            <w:tcW w:w="1530" w:type="pct"/>
          </w:tcPr>
          <w:p w14:paraId="7C07AAB7" w14:textId="77777777" w:rsidR="00EA0DCD" w:rsidRPr="00E40C69" w:rsidRDefault="00EA0DCD">
            <w:pPr>
              <w:contextualSpacing/>
              <w:jc w:val="center"/>
              <w:rPr>
                <w:rFonts w:eastAsia="Calibri"/>
                <w:b/>
              </w:rPr>
            </w:pPr>
            <w:r w:rsidRPr="00E40C69">
              <w:rPr>
                <w:rFonts w:eastAsia="Calibri"/>
                <w:b/>
              </w:rPr>
              <w:t>В % от общей</w:t>
            </w:r>
          </w:p>
          <w:p w14:paraId="4D2D3C2B" w14:textId="77777777" w:rsidR="00EA0DCD" w:rsidRPr="00E40C69" w:rsidRDefault="00EA0DCD">
            <w:pPr>
              <w:contextualSpacing/>
              <w:jc w:val="center"/>
              <w:rPr>
                <w:rFonts w:eastAsia="Calibri"/>
                <w:b/>
              </w:rPr>
            </w:pPr>
            <w:r w:rsidRPr="00E40C69">
              <w:rPr>
                <w:rFonts w:eastAsia="Calibri"/>
                <w:b/>
              </w:rPr>
              <w:t>численности населения</w:t>
            </w:r>
          </w:p>
        </w:tc>
      </w:tr>
      <w:tr w:rsidR="00EA0DCD" w:rsidRPr="001E614B" w14:paraId="12B3AB69" w14:textId="77777777" w:rsidTr="00742EF3">
        <w:trPr>
          <w:jc w:val="center"/>
        </w:trPr>
        <w:tc>
          <w:tcPr>
            <w:tcW w:w="5000" w:type="pct"/>
            <w:gridSpan w:val="3"/>
          </w:tcPr>
          <w:p w14:paraId="12DBBB78" w14:textId="77777777" w:rsidR="00EA0DCD" w:rsidRPr="001E614B" w:rsidRDefault="00EA0DCD">
            <w:pPr>
              <w:contextualSpacing/>
              <w:jc w:val="center"/>
              <w:rPr>
                <w:rFonts w:eastAsia="Calibri"/>
                <w:color w:val="FF0000"/>
              </w:rPr>
            </w:pPr>
            <w:r w:rsidRPr="001E614B">
              <w:rPr>
                <w:rFonts w:eastAsia="Calibri"/>
              </w:rPr>
              <w:t>2021 год</w:t>
            </w:r>
          </w:p>
        </w:tc>
      </w:tr>
      <w:tr w:rsidR="00EA0DCD" w:rsidRPr="001E614B" w14:paraId="40A75913" w14:textId="77777777" w:rsidTr="00742EF3">
        <w:trPr>
          <w:jc w:val="center"/>
        </w:trPr>
        <w:tc>
          <w:tcPr>
            <w:tcW w:w="2041" w:type="pct"/>
          </w:tcPr>
          <w:p w14:paraId="11C39332" w14:textId="77777777" w:rsidR="00EA0DCD" w:rsidRPr="001E614B" w:rsidRDefault="00EA0DCD">
            <w:pPr>
              <w:contextualSpacing/>
              <w:rPr>
                <w:rFonts w:eastAsia="Calibri"/>
              </w:rPr>
            </w:pPr>
            <w:r w:rsidRPr="001E614B">
              <w:rPr>
                <w:rFonts w:eastAsia="Calibri"/>
              </w:rPr>
              <w:t>I квартал</w:t>
            </w:r>
          </w:p>
        </w:tc>
        <w:tc>
          <w:tcPr>
            <w:tcW w:w="1429" w:type="pct"/>
          </w:tcPr>
          <w:p w14:paraId="16F2938C" w14:textId="77777777" w:rsidR="00EA0DCD" w:rsidRPr="001E614B" w:rsidRDefault="00EA0DCD">
            <w:pPr>
              <w:contextualSpacing/>
              <w:jc w:val="center"/>
              <w:rPr>
                <w:rFonts w:eastAsia="Calibri"/>
              </w:rPr>
            </w:pPr>
            <w:r w:rsidRPr="001E614B">
              <w:rPr>
                <w:rFonts w:eastAsia="Calibri"/>
              </w:rPr>
              <w:t>20,8</w:t>
            </w:r>
          </w:p>
        </w:tc>
        <w:tc>
          <w:tcPr>
            <w:tcW w:w="1530" w:type="pct"/>
          </w:tcPr>
          <w:p w14:paraId="7313260B" w14:textId="77777777" w:rsidR="00EA0DCD" w:rsidRPr="001E614B" w:rsidRDefault="00EA0DCD">
            <w:pPr>
              <w:contextualSpacing/>
              <w:jc w:val="center"/>
              <w:rPr>
                <w:rFonts w:eastAsia="Calibri"/>
              </w:rPr>
            </w:pPr>
            <w:r w:rsidRPr="001E614B">
              <w:rPr>
                <w:rFonts w:eastAsia="Calibri"/>
              </w:rPr>
              <w:t>14,2</w:t>
            </w:r>
          </w:p>
        </w:tc>
      </w:tr>
      <w:tr w:rsidR="00EA0DCD" w:rsidRPr="001E614B" w14:paraId="54867609" w14:textId="77777777" w:rsidTr="00742EF3">
        <w:trPr>
          <w:jc w:val="center"/>
        </w:trPr>
        <w:tc>
          <w:tcPr>
            <w:tcW w:w="2041" w:type="pct"/>
          </w:tcPr>
          <w:p w14:paraId="6F110916" w14:textId="77777777" w:rsidR="00EA0DCD" w:rsidRPr="001E614B" w:rsidRDefault="00EA0DCD">
            <w:pPr>
              <w:contextualSpacing/>
              <w:rPr>
                <w:rFonts w:eastAsia="Calibri"/>
              </w:rPr>
            </w:pPr>
            <w:r w:rsidRPr="001E614B">
              <w:rPr>
                <w:rFonts w:eastAsia="Calibri"/>
              </w:rPr>
              <w:t>II квартал</w:t>
            </w:r>
          </w:p>
        </w:tc>
        <w:tc>
          <w:tcPr>
            <w:tcW w:w="1429" w:type="pct"/>
          </w:tcPr>
          <w:p w14:paraId="7B96935D" w14:textId="77777777" w:rsidR="00EA0DCD" w:rsidRPr="001E614B" w:rsidRDefault="00EA0DCD">
            <w:pPr>
              <w:contextualSpacing/>
              <w:jc w:val="center"/>
              <w:rPr>
                <w:rFonts w:eastAsia="Calibri"/>
              </w:rPr>
            </w:pPr>
            <w:r w:rsidRPr="001E614B">
              <w:rPr>
                <w:rFonts w:eastAsia="Calibri"/>
              </w:rPr>
              <w:t>18,2</w:t>
            </w:r>
          </w:p>
        </w:tc>
        <w:tc>
          <w:tcPr>
            <w:tcW w:w="1530" w:type="pct"/>
          </w:tcPr>
          <w:p w14:paraId="5AA05916" w14:textId="77777777" w:rsidR="00EA0DCD" w:rsidRPr="001E614B" w:rsidRDefault="00EA0DCD">
            <w:pPr>
              <w:contextualSpacing/>
              <w:jc w:val="center"/>
              <w:rPr>
                <w:rFonts w:eastAsia="Calibri"/>
              </w:rPr>
            </w:pPr>
            <w:r w:rsidRPr="001E614B">
              <w:rPr>
                <w:rFonts w:eastAsia="Calibri"/>
              </w:rPr>
              <w:t>12,5</w:t>
            </w:r>
          </w:p>
        </w:tc>
      </w:tr>
      <w:tr w:rsidR="00EA0DCD" w:rsidRPr="001E614B" w14:paraId="527471FA" w14:textId="77777777" w:rsidTr="00742EF3">
        <w:trPr>
          <w:jc w:val="center"/>
        </w:trPr>
        <w:tc>
          <w:tcPr>
            <w:tcW w:w="2041" w:type="pct"/>
          </w:tcPr>
          <w:p w14:paraId="456B1754" w14:textId="77777777" w:rsidR="00EA0DCD" w:rsidRPr="001E614B" w:rsidRDefault="00EA0DCD">
            <w:pPr>
              <w:contextualSpacing/>
              <w:rPr>
                <w:rFonts w:eastAsia="Calibri"/>
              </w:rPr>
            </w:pPr>
            <w:r w:rsidRPr="001E614B">
              <w:rPr>
                <w:rFonts w:eastAsia="Calibri"/>
              </w:rPr>
              <w:t>I полугодие</w:t>
            </w:r>
          </w:p>
        </w:tc>
        <w:tc>
          <w:tcPr>
            <w:tcW w:w="1429" w:type="pct"/>
          </w:tcPr>
          <w:p w14:paraId="386AC61C" w14:textId="77777777" w:rsidR="00EA0DCD" w:rsidRPr="001E614B" w:rsidRDefault="00EA0DCD">
            <w:pPr>
              <w:contextualSpacing/>
              <w:jc w:val="center"/>
              <w:rPr>
                <w:rFonts w:eastAsia="Calibri"/>
              </w:rPr>
            </w:pPr>
            <w:r w:rsidRPr="001E614B">
              <w:rPr>
                <w:rFonts w:eastAsia="Calibri"/>
              </w:rPr>
              <w:t>19,3</w:t>
            </w:r>
          </w:p>
        </w:tc>
        <w:tc>
          <w:tcPr>
            <w:tcW w:w="1530" w:type="pct"/>
          </w:tcPr>
          <w:p w14:paraId="733EFCC8" w14:textId="77777777" w:rsidR="00EA0DCD" w:rsidRPr="001E614B" w:rsidRDefault="00EA0DCD">
            <w:pPr>
              <w:contextualSpacing/>
              <w:jc w:val="center"/>
              <w:rPr>
                <w:rFonts w:eastAsia="Calibri"/>
              </w:rPr>
            </w:pPr>
            <w:r w:rsidRPr="001E614B">
              <w:rPr>
                <w:rFonts w:eastAsia="Calibri"/>
              </w:rPr>
              <w:t>13,2</w:t>
            </w:r>
          </w:p>
        </w:tc>
      </w:tr>
      <w:tr w:rsidR="00EA0DCD" w:rsidRPr="001E614B" w14:paraId="79619998" w14:textId="77777777" w:rsidTr="00742EF3">
        <w:trPr>
          <w:jc w:val="center"/>
        </w:trPr>
        <w:tc>
          <w:tcPr>
            <w:tcW w:w="2041" w:type="pct"/>
          </w:tcPr>
          <w:p w14:paraId="58455E42" w14:textId="77777777" w:rsidR="00EA0DCD" w:rsidRPr="001E614B" w:rsidRDefault="00EA0DCD">
            <w:pPr>
              <w:contextualSpacing/>
              <w:rPr>
                <w:rFonts w:eastAsia="Calibri"/>
              </w:rPr>
            </w:pPr>
            <w:r w:rsidRPr="001E614B">
              <w:rPr>
                <w:rFonts w:eastAsia="Calibri"/>
              </w:rPr>
              <w:t>III квартал</w:t>
            </w:r>
          </w:p>
        </w:tc>
        <w:tc>
          <w:tcPr>
            <w:tcW w:w="1429" w:type="pct"/>
          </w:tcPr>
          <w:p w14:paraId="783DED07" w14:textId="77777777" w:rsidR="00EA0DCD" w:rsidRPr="001E614B" w:rsidRDefault="00EA0DCD">
            <w:pPr>
              <w:contextualSpacing/>
              <w:jc w:val="center"/>
              <w:rPr>
                <w:rFonts w:eastAsia="Calibri"/>
              </w:rPr>
            </w:pPr>
            <w:r w:rsidRPr="001E614B">
              <w:rPr>
                <w:rFonts w:eastAsia="Calibri"/>
              </w:rPr>
              <w:t>16,0</w:t>
            </w:r>
          </w:p>
        </w:tc>
        <w:tc>
          <w:tcPr>
            <w:tcW w:w="1530" w:type="pct"/>
          </w:tcPr>
          <w:p w14:paraId="7ABB2AB0" w14:textId="77777777" w:rsidR="00EA0DCD" w:rsidRPr="001E614B" w:rsidRDefault="00EA0DCD">
            <w:pPr>
              <w:contextualSpacing/>
              <w:jc w:val="center"/>
              <w:rPr>
                <w:rFonts w:eastAsia="Calibri"/>
              </w:rPr>
            </w:pPr>
            <w:r w:rsidRPr="001E614B">
              <w:rPr>
                <w:rFonts w:eastAsia="Calibri"/>
              </w:rPr>
              <w:t>11,0</w:t>
            </w:r>
          </w:p>
        </w:tc>
      </w:tr>
      <w:tr w:rsidR="00EA0DCD" w:rsidRPr="001E614B" w14:paraId="35B8FC1E" w14:textId="77777777" w:rsidTr="00742EF3">
        <w:trPr>
          <w:jc w:val="center"/>
        </w:trPr>
        <w:tc>
          <w:tcPr>
            <w:tcW w:w="2041" w:type="pct"/>
          </w:tcPr>
          <w:p w14:paraId="304E5F92" w14:textId="77777777" w:rsidR="00EA0DCD" w:rsidRPr="001E614B" w:rsidRDefault="00EA0DCD">
            <w:pPr>
              <w:contextualSpacing/>
              <w:rPr>
                <w:rFonts w:eastAsia="Calibri"/>
              </w:rPr>
            </w:pPr>
            <w:r w:rsidRPr="001E614B">
              <w:rPr>
                <w:rFonts w:eastAsia="Calibri"/>
              </w:rPr>
              <w:t>Январь-сентябрь</w:t>
            </w:r>
          </w:p>
        </w:tc>
        <w:tc>
          <w:tcPr>
            <w:tcW w:w="1429" w:type="pct"/>
          </w:tcPr>
          <w:p w14:paraId="49B5278D" w14:textId="77777777" w:rsidR="00EA0DCD" w:rsidRPr="001E614B" w:rsidRDefault="00EA0DCD">
            <w:pPr>
              <w:contextualSpacing/>
              <w:jc w:val="center"/>
              <w:rPr>
                <w:rFonts w:eastAsia="Calibri"/>
              </w:rPr>
            </w:pPr>
            <w:r w:rsidRPr="001E614B">
              <w:rPr>
                <w:rFonts w:eastAsia="Calibri"/>
              </w:rPr>
              <w:t>17,6</w:t>
            </w:r>
          </w:p>
        </w:tc>
        <w:tc>
          <w:tcPr>
            <w:tcW w:w="1530" w:type="pct"/>
          </w:tcPr>
          <w:p w14:paraId="45BB18F3" w14:textId="77777777" w:rsidR="00EA0DCD" w:rsidRPr="001E614B" w:rsidRDefault="00EA0DCD">
            <w:pPr>
              <w:contextualSpacing/>
              <w:jc w:val="center"/>
              <w:rPr>
                <w:rFonts w:eastAsia="Calibri"/>
              </w:rPr>
            </w:pPr>
            <w:r w:rsidRPr="001E614B">
              <w:rPr>
                <w:rFonts w:eastAsia="Calibri"/>
              </w:rPr>
              <w:t>12,1</w:t>
            </w:r>
          </w:p>
        </w:tc>
      </w:tr>
      <w:tr w:rsidR="00EA0DCD" w:rsidRPr="001E614B" w14:paraId="4C8A3531" w14:textId="77777777" w:rsidTr="00742EF3">
        <w:trPr>
          <w:jc w:val="center"/>
        </w:trPr>
        <w:tc>
          <w:tcPr>
            <w:tcW w:w="2041" w:type="pct"/>
          </w:tcPr>
          <w:p w14:paraId="14ACDC93" w14:textId="77777777" w:rsidR="00EA0DCD" w:rsidRPr="001E614B" w:rsidRDefault="00EA0DCD">
            <w:pPr>
              <w:contextualSpacing/>
              <w:rPr>
                <w:rFonts w:eastAsia="Calibri"/>
              </w:rPr>
            </w:pPr>
            <w:r w:rsidRPr="001E614B">
              <w:rPr>
                <w:rFonts w:eastAsia="Calibri"/>
              </w:rPr>
              <w:t>IV квартал</w:t>
            </w:r>
          </w:p>
        </w:tc>
        <w:tc>
          <w:tcPr>
            <w:tcW w:w="1429" w:type="pct"/>
          </w:tcPr>
          <w:p w14:paraId="4696A66E" w14:textId="77777777" w:rsidR="00EA0DCD" w:rsidRPr="001E614B" w:rsidRDefault="00EA0DCD">
            <w:pPr>
              <w:contextualSpacing/>
              <w:jc w:val="center"/>
              <w:rPr>
                <w:rFonts w:eastAsia="Calibri"/>
              </w:rPr>
            </w:pPr>
            <w:r w:rsidRPr="001E614B">
              <w:rPr>
                <w:rFonts w:eastAsia="Calibri"/>
              </w:rPr>
              <w:t>12,4</w:t>
            </w:r>
          </w:p>
        </w:tc>
        <w:tc>
          <w:tcPr>
            <w:tcW w:w="1530" w:type="pct"/>
          </w:tcPr>
          <w:p w14:paraId="1C7B9830" w14:textId="77777777" w:rsidR="00EA0DCD" w:rsidRPr="001E614B" w:rsidRDefault="00EA0DCD">
            <w:pPr>
              <w:contextualSpacing/>
              <w:jc w:val="center"/>
              <w:rPr>
                <w:rFonts w:eastAsia="Calibri"/>
              </w:rPr>
            </w:pPr>
            <w:r w:rsidRPr="001E614B">
              <w:rPr>
                <w:rFonts w:eastAsia="Calibri"/>
              </w:rPr>
              <w:t>8,5</w:t>
            </w:r>
          </w:p>
        </w:tc>
      </w:tr>
      <w:tr w:rsidR="00EA0DCD" w:rsidRPr="001E614B" w14:paraId="148B832A" w14:textId="77777777" w:rsidTr="00742EF3">
        <w:trPr>
          <w:jc w:val="center"/>
        </w:trPr>
        <w:tc>
          <w:tcPr>
            <w:tcW w:w="2041" w:type="pct"/>
          </w:tcPr>
          <w:p w14:paraId="6D2764C7" w14:textId="77777777" w:rsidR="00EA0DCD" w:rsidRPr="001E614B" w:rsidRDefault="00EA0DCD">
            <w:pPr>
              <w:contextualSpacing/>
              <w:rPr>
                <w:rFonts w:eastAsia="Calibri"/>
                <w:color w:val="FF0000"/>
              </w:rPr>
            </w:pPr>
            <w:r w:rsidRPr="001E614B">
              <w:rPr>
                <w:rFonts w:eastAsia="Calibri"/>
              </w:rPr>
              <w:t>Год</w:t>
            </w:r>
          </w:p>
        </w:tc>
        <w:tc>
          <w:tcPr>
            <w:tcW w:w="1429" w:type="pct"/>
          </w:tcPr>
          <w:p w14:paraId="1B52072E" w14:textId="77777777" w:rsidR="00EA0DCD" w:rsidRPr="001E614B" w:rsidRDefault="00EA0DCD">
            <w:pPr>
              <w:contextualSpacing/>
              <w:jc w:val="center"/>
              <w:rPr>
                <w:rFonts w:eastAsia="Calibri"/>
                <w:color w:val="FF0000"/>
              </w:rPr>
            </w:pPr>
            <w:r w:rsidRPr="001E614B">
              <w:rPr>
                <w:rFonts w:eastAsia="Calibri"/>
              </w:rPr>
              <w:t>16,1</w:t>
            </w:r>
          </w:p>
        </w:tc>
        <w:tc>
          <w:tcPr>
            <w:tcW w:w="1530" w:type="pct"/>
          </w:tcPr>
          <w:p w14:paraId="34EA1DF1" w14:textId="77777777" w:rsidR="00EA0DCD" w:rsidRPr="001E614B" w:rsidRDefault="00EA0DCD">
            <w:pPr>
              <w:contextualSpacing/>
              <w:jc w:val="center"/>
              <w:rPr>
                <w:rFonts w:eastAsia="Calibri"/>
                <w:color w:val="FF0000"/>
              </w:rPr>
            </w:pPr>
            <w:r w:rsidRPr="001E614B">
              <w:rPr>
                <w:rFonts w:eastAsia="Calibri"/>
              </w:rPr>
              <w:t>11,0</w:t>
            </w:r>
          </w:p>
        </w:tc>
      </w:tr>
      <w:tr w:rsidR="00EA0DCD" w:rsidRPr="001E614B" w14:paraId="23EF7D59" w14:textId="77777777" w:rsidTr="00742EF3">
        <w:trPr>
          <w:jc w:val="center"/>
        </w:trPr>
        <w:tc>
          <w:tcPr>
            <w:tcW w:w="5000" w:type="pct"/>
            <w:gridSpan w:val="3"/>
          </w:tcPr>
          <w:p w14:paraId="4733A937" w14:textId="77777777" w:rsidR="00EA0DCD" w:rsidRPr="001E614B" w:rsidRDefault="00EA0DCD">
            <w:pPr>
              <w:contextualSpacing/>
              <w:jc w:val="center"/>
              <w:rPr>
                <w:rFonts w:eastAsia="Calibri"/>
                <w:color w:val="FF0000"/>
              </w:rPr>
            </w:pPr>
            <w:r w:rsidRPr="001E614B">
              <w:rPr>
                <w:rFonts w:eastAsia="Calibri"/>
              </w:rPr>
              <w:t>2022 год*</w:t>
            </w:r>
          </w:p>
        </w:tc>
      </w:tr>
      <w:tr w:rsidR="00EA0DCD" w:rsidRPr="001E614B" w14:paraId="33B797BA" w14:textId="77777777" w:rsidTr="00742EF3">
        <w:trPr>
          <w:jc w:val="center"/>
        </w:trPr>
        <w:tc>
          <w:tcPr>
            <w:tcW w:w="2041" w:type="pct"/>
          </w:tcPr>
          <w:p w14:paraId="35A8750E" w14:textId="77777777" w:rsidR="00EA0DCD" w:rsidRPr="001E614B" w:rsidRDefault="00EA0DCD">
            <w:pPr>
              <w:contextualSpacing/>
              <w:rPr>
                <w:rFonts w:eastAsia="Calibri"/>
              </w:rPr>
            </w:pPr>
            <w:r w:rsidRPr="001E614B">
              <w:rPr>
                <w:rFonts w:eastAsia="Calibri"/>
              </w:rPr>
              <w:t>I квартал</w:t>
            </w:r>
          </w:p>
        </w:tc>
        <w:tc>
          <w:tcPr>
            <w:tcW w:w="1429" w:type="pct"/>
          </w:tcPr>
          <w:p w14:paraId="1A9F7CFE" w14:textId="77777777" w:rsidR="00EA0DCD" w:rsidRPr="001E614B" w:rsidRDefault="00EA0DCD">
            <w:pPr>
              <w:contextualSpacing/>
              <w:jc w:val="center"/>
              <w:rPr>
                <w:rFonts w:eastAsia="Calibri"/>
              </w:rPr>
            </w:pPr>
            <w:r w:rsidRPr="001E614B">
              <w:rPr>
                <w:rFonts w:eastAsia="Calibri"/>
              </w:rPr>
              <w:t>20,9</w:t>
            </w:r>
          </w:p>
        </w:tc>
        <w:tc>
          <w:tcPr>
            <w:tcW w:w="1530" w:type="pct"/>
          </w:tcPr>
          <w:p w14:paraId="738AED1E" w14:textId="77777777" w:rsidR="00EA0DCD" w:rsidRPr="001E614B" w:rsidRDefault="00EA0DCD">
            <w:pPr>
              <w:contextualSpacing/>
              <w:jc w:val="center"/>
              <w:rPr>
                <w:rFonts w:eastAsia="Calibri"/>
              </w:rPr>
            </w:pPr>
            <w:r w:rsidRPr="001E614B">
              <w:rPr>
                <w:rFonts w:eastAsia="Calibri"/>
              </w:rPr>
              <w:t>14,3</w:t>
            </w:r>
          </w:p>
        </w:tc>
      </w:tr>
      <w:tr w:rsidR="00EA0DCD" w:rsidRPr="001E614B" w14:paraId="1D1E5D7D" w14:textId="77777777" w:rsidTr="00742EF3">
        <w:trPr>
          <w:jc w:val="center"/>
        </w:trPr>
        <w:tc>
          <w:tcPr>
            <w:tcW w:w="2041" w:type="pct"/>
          </w:tcPr>
          <w:p w14:paraId="25448FEA" w14:textId="77777777" w:rsidR="00EA0DCD" w:rsidRPr="001E614B" w:rsidRDefault="00EA0DCD">
            <w:pPr>
              <w:contextualSpacing/>
              <w:rPr>
                <w:rFonts w:eastAsia="Calibri"/>
              </w:rPr>
            </w:pPr>
            <w:r w:rsidRPr="001E614B">
              <w:rPr>
                <w:rFonts w:eastAsia="Calibri"/>
              </w:rPr>
              <w:t>II квартал</w:t>
            </w:r>
          </w:p>
        </w:tc>
        <w:tc>
          <w:tcPr>
            <w:tcW w:w="1429" w:type="pct"/>
          </w:tcPr>
          <w:p w14:paraId="5251D993" w14:textId="77777777" w:rsidR="00EA0DCD" w:rsidRPr="001E614B" w:rsidRDefault="00EA0DCD">
            <w:pPr>
              <w:contextualSpacing/>
              <w:jc w:val="center"/>
              <w:rPr>
                <w:rFonts w:eastAsia="Calibri"/>
              </w:rPr>
            </w:pPr>
            <w:r w:rsidRPr="001E614B">
              <w:rPr>
                <w:rFonts w:eastAsia="Calibri"/>
              </w:rPr>
              <w:t>17,6</w:t>
            </w:r>
          </w:p>
        </w:tc>
        <w:tc>
          <w:tcPr>
            <w:tcW w:w="1530" w:type="pct"/>
          </w:tcPr>
          <w:p w14:paraId="2914C6E1" w14:textId="77777777" w:rsidR="00EA0DCD" w:rsidRPr="001E614B" w:rsidRDefault="00EA0DCD">
            <w:pPr>
              <w:contextualSpacing/>
              <w:jc w:val="center"/>
              <w:rPr>
                <w:rFonts w:eastAsia="Calibri"/>
              </w:rPr>
            </w:pPr>
            <w:r w:rsidRPr="001E614B">
              <w:rPr>
                <w:rFonts w:eastAsia="Calibri"/>
              </w:rPr>
              <w:t>12,1</w:t>
            </w:r>
          </w:p>
        </w:tc>
      </w:tr>
      <w:tr w:rsidR="00EA0DCD" w:rsidRPr="001E614B" w14:paraId="003039A3" w14:textId="77777777" w:rsidTr="00742EF3">
        <w:trPr>
          <w:jc w:val="center"/>
        </w:trPr>
        <w:tc>
          <w:tcPr>
            <w:tcW w:w="2041" w:type="pct"/>
          </w:tcPr>
          <w:p w14:paraId="30F53D48" w14:textId="77777777" w:rsidR="00EA0DCD" w:rsidRPr="001E614B" w:rsidRDefault="00EA0DCD">
            <w:pPr>
              <w:contextualSpacing/>
              <w:rPr>
                <w:rFonts w:eastAsia="Calibri"/>
              </w:rPr>
            </w:pPr>
            <w:r w:rsidRPr="001E614B">
              <w:rPr>
                <w:rFonts w:eastAsia="Calibri"/>
              </w:rPr>
              <w:t>I полугодие</w:t>
            </w:r>
          </w:p>
        </w:tc>
        <w:tc>
          <w:tcPr>
            <w:tcW w:w="1429" w:type="pct"/>
          </w:tcPr>
          <w:p w14:paraId="4B3CC7D3" w14:textId="77777777" w:rsidR="00EA0DCD" w:rsidRPr="001E614B" w:rsidRDefault="00EA0DCD">
            <w:pPr>
              <w:contextualSpacing/>
              <w:jc w:val="center"/>
              <w:rPr>
                <w:rFonts w:eastAsia="Calibri"/>
                <w:color w:val="FF0000"/>
              </w:rPr>
            </w:pPr>
            <w:r w:rsidRPr="001E614B">
              <w:rPr>
                <w:rFonts w:eastAsia="Calibri"/>
              </w:rPr>
              <w:t>18,9</w:t>
            </w:r>
          </w:p>
        </w:tc>
        <w:tc>
          <w:tcPr>
            <w:tcW w:w="1530" w:type="pct"/>
          </w:tcPr>
          <w:p w14:paraId="75CACD3B" w14:textId="77777777" w:rsidR="00EA0DCD" w:rsidRPr="001E614B" w:rsidRDefault="00EA0DCD">
            <w:pPr>
              <w:contextualSpacing/>
              <w:jc w:val="center"/>
              <w:rPr>
                <w:rFonts w:eastAsia="Calibri"/>
                <w:color w:val="FF0000"/>
              </w:rPr>
            </w:pPr>
            <w:r w:rsidRPr="001E614B">
              <w:rPr>
                <w:rFonts w:eastAsia="Calibri"/>
              </w:rPr>
              <w:t>13,0</w:t>
            </w:r>
          </w:p>
        </w:tc>
      </w:tr>
      <w:tr w:rsidR="00EA0DCD" w:rsidRPr="001E614B" w14:paraId="4178376C" w14:textId="77777777" w:rsidTr="00742EF3">
        <w:trPr>
          <w:jc w:val="center"/>
        </w:trPr>
        <w:tc>
          <w:tcPr>
            <w:tcW w:w="5000" w:type="pct"/>
            <w:gridSpan w:val="3"/>
          </w:tcPr>
          <w:p w14:paraId="551FD697" w14:textId="77777777" w:rsidR="00EA0DCD" w:rsidRPr="001E614B" w:rsidRDefault="00EA0DCD">
            <w:pPr>
              <w:contextualSpacing/>
              <w:rPr>
                <w:rFonts w:eastAsia="Calibri"/>
              </w:rPr>
            </w:pPr>
            <w:r w:rsidRPr="001E614B">
              <w:rPr>
                <w:rFonts w:eastAsia="Calibri"/>
              </w:rPr>
              <w:t>*Предварительные данные</w:t>
            </w:r>
          </w:p>
        </w:tc>
      </w:tr>
    </w:tbl>
    <w:p w14:paraId="49FFECAF" w14:textId="627B3C21" w:rsidR="00742EF3" w:rsidRPr="00742EF3" w:rsidRDefault="00742EF3" w:rsidP="00742EF3">
      <w:pPr>
        <w:ind w:firstLine="709"/>
        <w:contextualSpacing/>
        <w:jc w:val="both"/>
        <w:rPr>
          <w:rFonts w:eastAsia="Calibri"/>
          <w:color w:val="FF0000"/>
          <w:sz w:val="20"/>
          <w:szCs w:val="20"/>
        </w:rPr>
      </w:pPr>
      <w:r w:rsidRPr="00742EF3">
        <w:rPr>
          <w:rFonts w:eastAsia="Calibri"/>
          <w:i/>
          <w:sz w:val="20"/>
          <w:szCs w:val="20"/>
        </w:rPr>
        <w:t>Источник</w:t>
      </w:r>
      <w:r w:rsidRPr="00742EF3">
        <w:rPr>
          <w:rFonts w:eastAsia="Calibri"/>
          <w:sz w:val="20"/>
          <w:szCs w:val="20"/>
        </w:rPr>
        <w:t xml:space="preserve">: составлено по </w:t>
      </w:r>
      <w:r>
        <w:rPr>
          <w:rFonts w:eastAsia="Calibri"/>
          <w:sz w:val="20"/>
          <w:szCs w:val="20"/>
        </w:rPr>
        <w:t>данным</w:t>
      </w:r>
      <w:r w:rsidRPr="00742EF3">
        <w:rPr>
          <w:rFonts w:eastAsia="Calibri"/>
          <w:sz w:val="20"/>
          <w:szCs w:val="20"/>
        </w:rPr>
        <w:t xml:space="preserve"> Росстата</w:t>
      </w:r>
      <w:r>
        <w:rPr>
          <w:rFonts w:eastAsia="Calibri"/>
          <w:sz w:val="20"/>
          <w:szCs w:val="20"/>
        </w:rPr>
        <w:t xml:space="preserve"> – </w:t>
      </w:r>
      <w:r>
        <w:rPr>
          <w:rFonts w:eastAsia="Calibri"/>
          <w:sz w:val="20"/>
          <w:szCs w:val="20"/>
          <w:lang w:val="en-US"/>
        </w:rPr>
        <w:t>URL</w:t>
      </w:r>
      <w:r w:rsidRPr="00742EF3">
        <w:rPr>
          <w:rFonts w:eastAsia="Calibri"/>
          <w:sz w:val="20"/>
          <w:szCs w:val="20"/>
        </w:rPr>
        <w:t>:</w:t>
      </w:r>
      <w:r>
        <w:rPr>
          <w:rFonts w:eastAsia="Calibri"/>
          <w:sz w:val="20"/>
          <w:szCs w:val="20"/>
          <w:lang w:val="en-US"/>
        </w:rPr>
        <w:t>http</w:t>
      </w:r>
      <w:r w:rsidRPr="00742EF3">
        <w:rPr>
          <w:rFonts w:eastAsia="Calibri"/>
          <w:sz w:val="20"/>
          <w:szCs w:val="20"/>
        </w:rPr>
        <w:t>://</w:t>
      </w:r>
      <w:r>
        <w:rPr>
          <w:rFonts w:eastAsia="Calibri"/>
          <w:sz w:val="20"/>
          <w:szCs w:val="20"/>
          <w:lang w:val="en-US"/>
        </w:rPr>
        <w:t>www</w:t>
      </w:r>
      <w:r w:rsidRPr="00742EF3">
        <w:rPr>
          <w:rFonts w:eastAsia="Calibri"/>
          <w:sz w:val="20"/>
          <w:szCs w:val="20"/>
        </w:rPr>
        <w:t>.</w:t>
      </w:r>
      <w:proofErr w:type="spellStart"/>
      <w:r>
        <w:rPr>
          <w:rFonts w:eastAsia="Calibri"/>
          <w:sz w:val="20"/>
          <w:szCs w:val="20"/>
          <w:lang w:val="en-US"/>
        </w:rPr>
        <w:t>gks</w:t>
      </w:r>
      <w:proofErr w:type="spellEnd"/>
      <w:r w:rsidRPr="00742EF3">
        <w:rPr>
          <w:rFonts w:eastAsia="Calibri"/>
          <w:sz w:val="20"/>
          <w:szCs w:val="20"/>
        </w:rPr>
        <w:t>.</w:t>
      </w:r>
      <w:proofErr w:type="spellStart"/>
      <w:r>
        <w:rPr>
          <w:rFonts w:eastAsia="Calibri"/>
          <w:sz w:val="20"/>
          <w:szCs w:val="20"/>
          <w:lang w:val="en-US"/>
        </w:rPr>
        <w:t>ru</w:t>
      </w:r>
      <w:proofErr w:type="spellEnd"/>
      <w:r w:rsidRPr="00742EF3">
        <w:rPr>
          <w:rFonts w:eastAsia="Calibri"/>
          <w:sz w:val="20"/>
          <w:szCs w:val="20"/>
        </w:rPr>
        <w:t xml:space="preserve"> (</w:t>
      </w:r>
      <w:r>
        <w:rPr>
          <w:rFonts w:eastAsia="Calibri"/>
          <w:sz w:val="20"/>
          <w:szCs w:val="20"/>
        </w:rPr>
        <w:t>дата обращения: 09.10.22)</w:t>
      </w:r>
    </w:p>
    <w:p w14:paraId="755D59A8" w14:textId="77777777" w:rsidR="00EA0DCD" w:rsidRPr="001E614B" w:rsidRDefault="00EA0DCD" w:rsidP="00EA0DCD">
      <w:pPr>
        <w:spacing w:line="276" w:lineRule="auto"/>
        <w:ind w:firstLine="709"/>
        <w:contextualSpacing/>
        <w:jc w:val="both"/>
        <w:rPr>
          <w:rFonts w:eastAsia="Calibri"/>
          <w:color w:val="FF0000"/>
        </w:rPr>
      </w:pPr>
    </w:p>
    <w:p w14:paraId="19457EA4" w14:textId="281E7D93" w:rsidR="00EA0DCD" w:rsidRPr="001E614B" w:rsidRDefault="00EA0DCD" w:rsidP="00742EF3">
      <w:pPr>
        <w:autoSpaceDE w:val="0"/>
        <w:autoSpaceDN w:val="0"/>
        <w:adjustRightInd w:val="0"/>
        <w:spacing w:line="360" w:lineRule="auto"/>
        <w:ind w:firstLine="709"/>
        <w:jc w:val="both"/>
        <w:rPr>
          <w:color w:val="000000"/>
          <w:sz w:val="28"/>
          <w:szCs w:val="20"/>
        </w:rPr>
      </w:pPr>
      <w:r w:rsidRPr="001E614B">
        <w:rPr>
          <w:color w:val="000000"/>
          <w:sz w:val="28"/>
          <w:szCs w:val="20"/>
        </w:rPr>
        <w:t xml:space="preserve">Существенный вклад в снижение уровня бедности во втором квартале 2022 года на 0,4 процентного пункта (далее </w:t>
      </w:r>
      <w:proofErr w:type="spellStart"/>
      <w:r w:rsidRPr="001E614B">
        <w:rPr>
          <w:color w:val="000000"/>
          <w:sz w:val="28"/>
          <w:szCs w:val="20"/>
        </w:rPr>
        <w:t>п.п</w:t>
      </w:r>
      <w:proofErr w:type="spellEnd"/>
      <w:r w:rsidRPr="001E614B">
        <w:rPr>
          <w:color w:val="000000"/>
          <w:sz w:val="28"/>
          <w:szCs w:val="20"/>
        </w:rPr>
        <w:t>.) внесла мера по выплате пособия на детей в возрасте от 8 до 17 лет. Принципиально важно, что этот механизм поддержки семей заработал своевременно, и он возьмет на себя значительную нагрузку в кризисных условиях. Стоит отметить, что в целом расходы на здравоохранение в 2023 году превысят значение 2022 года на 4,2%, а в 2025 году – почти на 15,0%. Если сравнивать с бюджетом (</w:t>
      </w:r>
      <w:proofErr w:type="spellStart"/>
      <w:r w:rsidRPr="001E614B">
        <w:rPr>
          <w:color w:val="000000"/>
          <w:sz w:val="28"/>
          <w:szCs w:val="20"/>
        </w:rPr>
        <w:t>допандемийным</w:t>
      </w:r>
      <w:proofErr w:type="spellEnd"/>
      <w:r w:rsidRPr="001E614B">
        <w:rPr>
          <w:color w:val="000000"/>
          <w:sz w:val="28"/>
          <w:szCs w:val="20"/>
        </w:rPr>
        <w:t xml:space="preserve"> 2019 г</w:t>
      </w:r>
      <w:r w:rsidR="00C571A0">
        <w:rPr>
          <w:color w:val="000000"/>
          <w:sz w:val="28"/>
          <w:szCs w:val="20"/>
        </w:rPr>
        <w:t>одом</w:t>
      </w:r>
      <w:r w:rsidRPr="001E614B">
        <w:rPr>
          <w:color w:val="000000"/>
          <w:sz w:val="28"/>
          <w:szCs w:val="20"/>
        </w:rPr>
        <w:t>), то рост составит 62% в 2023 году и почти 79% в 2025 году. Однако</w:t>
      </w:r>
      <w:proofErr w:type="gramStart"/>
      <w:r w:rsidRPr="001E614B">
        <w:rPr>
          <w:color w:val="000000"/>
          <w:sz w:val="28"/>
          <w:szCs w:val="20"/>
        </w:rPr>
        <w:t>,</w:t>
      </w:r>
      <w:proofErr w:type="gramEnd"/>
      <w:r w:rsidRPr="001E614B">
        <w:rPr>
          <w:color w:val="000000"/>
          <w:sz w:val="28"/>
          <w:szCs w:val="20"/>
        </w:rPr>
        <w:t xml:space="preserve"> следует учитывать изменение первого полугодия и то, что в методику расчета численности населения с денежными доходами ниже границы бедности были в 2021 году внесены изменения. </w:t>
      </w:r>
    </w:p>
    <w:p w14:paraId="1A180FC1" w14:textId="77777777" w:rsidR="00EA0DCD" w:rsidRPr="001E614B" w:rsidRDefault="00EA0DCD" w:rsidP="00742EF3">
      <w:pPr>
        <w:autoSpaceDE w:val="0"/>
        <w:autoSpaceDN w:val="0"/>
        <w:adjustRightInd w:val="0"/>
        <w:spacing w:line="360" w:lineRule="auto"/>
        <w:ind w:firstLine="709"/>
        <w:jc w:val="both"/>
        <w:rPr>
          <w:color w:val="000000"/>
          <w:sz w:val="28"/>
          <w:szCs w:val="20"/>
        </w:rPr>
      </w:pPr>
      <w:r w:rsidRPr="001E614B">
        <w:rPr>
          <w:color w:val="000000"/>
          <w:sz w:val="28"/>
          <w:szCs w:val="20"/>
        </w:rPr>
        <w:t>Таким образом, заниженные данные по</w:t>
      </w:r>
      <w:r w:rsidRPr="001E614B">
        <w:t xml:space="preserve"> </w:t>
      </w:r>
      <w:r w:rsidRPr="001E614B">
        <w:rPr>
          <w:color w:val="000000"/>
          <w:sz w:val="28"/>
          <w:szCs w:val="20"/>
        </w:rPr>
        <w:t xml:space="preserve">численности населения с денежными доходами ниже границы </w:t>
      </w:r>
      <w:proofErr w:type="gramStart"/>
      <w:r w:rsidRPr="001E614B">
        <w:rPr>
          <w:color w:val="000000"/>
          <w:sz w:val="28"/>
          <w:szCs w:val="20"/>
        </w:rPr>
        <w:t>бедности</w:t>
      </w:r>
      <w:proofErr w:type="gramEnd"/>
      <w:r w:rsidRPr="001E614B">
        <w:rPr>
          <w:color w:val="000000"/>
          <w:sz w:val="28"/>
          <w:szCs w:val="20"/>
        </w:rPr>
        <w:t xml:space="preserve"> безусловно отразятся как на точности составления Бюджета, так и на социальной политик</w:t>
      </w:r>
      <w:r>
        <w:rPr>
          <w:color w:val="000000"/>
          <w:sz w:val="28"/>
          <w:szCs w:val="20"/>
        </w:rPr>
        <w:t>е</w:t>
      </w:r>
      <w:r w:rsidRPr="001E614B">
        <w:rPr>
          <w:color w:val="000000"/>
          <w:sz w:val="28"/>
          <w:szCs w:val="20"/>
        </w:rPr>
        <w:t xml:space="preserve"> при выделении бюджетных средств.</w:t>
      </w:r>
    </w:p>
    <w:p w14:paraId="58AEB904" w14:textId="34EECDAB" w:rsidR="001564BB" w:rsidRPr="00E40C69" w:rsidRDefault="001564BB" w:rsidP="00742EF3">
      <w:pPr>
        <w:pStyle w:val="Style1"/>
        <w:spacing w:line="360" w:lineRule="auto"/>
        <w:rPr>
          <w:color w:val="000000" w:themeColor="text1"/>
        </w:rPr>
      </w:pPr>
      <w:r w:rsidRPr="00E40C69">
        <w:rPr>
          <w:i/>
          <w:iCs/>
          <w:color w:val="000000" w:themeColor="text1"/>
          <w:szCs w:val="28"/>
        </w:rPr>
        <w:t>Расходы на образование</w:t>
      </w:r>
      <w:r w:rsidRPr="00E40C69">
        <w:rPr>
          <w:color w:val="000000" w:themeColor="text1"/>
          <w:szCs w:val="28"/>
        </w:rPr>
        <w:t xml:space="preserve"> после незначительного и не превышающего ожидаемую инфляцию роста в 2023-</w:t>
      </w:r>
      <w:r w:rsidR="00165BCF">
        <w:rPr>
          <w:color w:val="000000" w:themeColor="text1"/>
          <w:szCs w:val="28"/>
        </w:rPr>
        <w:t>20</w:t>
      </w:r>
      <w:r w:rsidRPr="00E40C69">
        <w:rPr>
          <w:color w:val="000000" w:themeColor="text1"/>
          <w:szCs w:val="28"/>
        </w:rPr>
        <w:t>24 г</w:t>
      </w:r>
      <w:r w:rsidR="00165BCF">
        <w:rPr>
          <w:color w:val="000000" w:themeColor="text1"/>
          <w:szCs w:val="28"/>
        </w:rPr>
        <w:t>одах</w:t>
      </w:r>
      <w:r w:rsidRPr="00E40C69">
        <w:rPr>
          <w:color w:val="000000" w:themeColor="text1"/>
          <w:szCs w:val="28"/>
        </w:rPr>
        <w:t xml:space="preserve"> ожидает резкое сокращение</w:t>
      </w:r>
      <w:r w:rsidR="009F0F2A" w:rsidRPr="009F0F2A">
        <w:rPr>
          <w:color w:val="000000" w:themeColor="text1"/>
          <w:szCs w:val="28"/>
        </w:rPr>
        <w:t xml:space="preserve"> </w:t>
      </w:r>
      <w:r w:rsidR="009F0F2A" w:rsidRPr="00E40C69">
        <w:rPr>
          <w:color w:val="000000" w:themeColor="text1"/>
          <w:szCs w:val="28"/>
        </w:rPr>
        <w:t>в 2025 г</w:t>
      </w:r>
      <w:r w:rsidR="009F0F2A">
        <w:rPr>
          <w:color w:val="000000" w:themeColor="text1"/>
          <w:szCs w:val="28"/>
        </w:rPr>
        <w:t>оду</w:t>
      </w:r>
      <w:r w:rsidR="00165BCF">
        <w:rPr>
          <w:color w:val="000000" w:themeColor="text1"/>
          <w:szCs w:val="28"/>
        </w:rPr>
        <w:t xml:space="preserve">. </w:t>
      </w:r>
      <w:r w:rsidRPr="00E40C69">
        <w:rPr>
          <w:color w:val="000000" w:themeColor="text1"/>
          <w:szCs w:val="28"/>
        </w:rPr>
        <w:t>Напротив, расходы на здравоохранение после значительного снижения в 2023 г</w:t>
      </w:r>
      <w:r w:rsidR="009F0F2A">
        <w:rPr>
          <w:color w:val="000000" w:themeColor="text1"/>
          <w:szCs w:val="28"/>
        </w:rPr>
        <w:t>оду</w:t>
      </w:r>
      <w:r w:rsidRPr="00E40C69">
        <w:rPr>
          <w:color w:val="000000" w:themeColor="text1"/>
          <w:szCs w:val="28"/>
        </w:rPr>
        <w:t xml:space="preserve"> (на 4,1%), ожидает рост, который однако будет значительно ниже целевых показателей инфляции, </w:t>
      </w:r>
      <w:proofErr w:type="gramStart"/>
      <w:r w:rsidRPr="00E40C69">
        <w:rPr>
          <w:color w:val="000000" w:themeColor="text1"/>
          <w:szCs w:val="28"/>
        </w:rPr>
        <w:t>т.е. в</w:t>
      </w:r>
      <w:proofErr w:type="gramEnd"/>
      <w:r w:rsidRPr="00E40C69">
        <w:rPr>
          <w:color w:val="000000" w:themeColor="text1"/>
          <w:szCs w:val="28"/>
        </w:rPr>
        <w:t xml:space="preserve"> реальном выражении – уменьшение. При этом</w:t>
      </w:r>
      <w:proofErr w:type="gramStart"/>
      <w:r w:rsidRPr="00E40C69">
        <w:rPr>
          <w:color w:val="000000" w:themeColor="text1"/>
          <w:szCs w:val="28"/>
        </w:rPr>
        <w:t>,</w:t>
      </w:r>
      <w:proofErr w:type="gramEnd"/>
      <w:r w:rsidRPr="00E40C69">
        <w:rPr>
          <w:color w:val="000000" w:themeColor="text1"/>
          <w:szCs w:val="28"/>
        </w:rPr>
        <w:t xml:space="preserve"> согласно Пояснительной записке, «законодательно установленный объем бюджетных ассигнований уточнен» и соответствующие расходы проиндексированы … «на темп роста среднемесячной начисленной заработной платы работников организаций в 2023 году на 8,7%, в 2024 году на 7,7%, в 2025 году на 7,0% с 1 января проиндексированы бюджетные ассигнования на оплату труда отдельных категорий работников федеральных государственных учреждений здравоохранения, социального обеспечения населения, образования, культуры и науки, определенных Указами Президента Российской Федерации от 7 мая 2012 года № 597 </w:t>
      </w:r>
      <w:r w:rsidR="009F0F2A">
        <w:rPr>
          <w:color w:val="000000" w:themeColor="text1"/>
          <w:szCs w:val="28"/>
        </w:rPr>
        <w:t>«</w:t>
      </w:r>
      <w:r w:rsidRPr="00E40C69">
        <w:rPr>
          <w:color w:val="000000" w:themeColor="text1"/>
          <w:szCs w:val="28"/>
        </w:rPr>
        <w:t xml:space="preserve">О мероприятиях по реализации государственной социальной политики» и другими (Пояснительная записка, с.87 и далее). </w:t>
      </w:r>
      <w:proofErr w:type="gramStart"/>
      <w:r w:rsidRPr="00E40C69">
        <w:rPr>
          <w:color w:val="000000" w:themeColor="text1"/>
          <w:szCs w:val="28"/>
        </w:rPr>
        <w:t>В этой связи следует отметить, что запланированное увеличение заработной платы работников учреждений образования, здравоохранения и других отраслей социальной сферы в соответствии с требованиями Указа № 597 при снижении общей величины этих расходов возможно только при условии ощутимого сокращения текущих расходов указанных учреждений на приобретение оборудования, оплату коммунальных услуг, расходные материалы и ремонт.</w:t>
      </w:r>
      <w:proofErr w:type="gramEnd"/>
    </w:p>
    <w:p w14:paraId="4352898A" w14:textId="165EFE6C" w:rsidR="00243BCF" w:rsidRPr="00E40C69" w:rsidRDefault="001564BB" w:rsidP="00742EF3">
      <w:pPr>
        <w:spacing w:line="360" w:lineRule="auto"/>
        <w:ind w:firstLine="708"/>
        <w:jc w:val="both"/>
        <w:rPr>
          <w:color w:val="000000" w:themeColor="text1"/>
          <w:sz w:val="28"/>
          <w:szCs w:val="28"/>
        </w:rPr>
      </w:pPr>
      <w:r w:rsidRPr="00E40C69">
        <w:rPr>
          <w:color w:val="000000" w:themeColor="text1"/>
          <w:sz w:val="28"/>
          <w:szCs w:val="28"/>
        </w:rPr>
        <w:t xml:space="preserve">Как и в предшествующие годы, </w:t>
      </w:r>
      <w:r w:rsidRPr="00E40C69">
        <w:rPr>
          <w:i/>
          <w:iCs/>
          <w:color w:val="000000" w:themeColor="text1"/>
          <w:sz w:val="28"/>
          <w:szCs w:val="28"/>
        </w:rPr>
        <w:t>финансирование фундаментальной науки отдельной строкой Законопроекта не предусмотрено</w:t>
      </w:r>
      <w:r w:rsidRPr="00E40C69">
        <w:rPr>
          <w:color w:val="000000" w:themeColor="text1"/>
          <w:sz w:val="28"/>
          <w:szCs w:val="28"/>
        </w:rPr>
        <w:t xml:space="preserve">. Бюджетные ассигнования на финансовое обеспечение реализации национального проекта "Наука и университеты" запланированы в 2023 году в объеме 144 824,6 </w:t>
      </w:r>
      <w:proofErr w:type="gramStart"/>
      <w:r w:rsidRPr="00E40C69">
        <w:rPr>
          <w:color w:val="000000" w:themeColor="text1"/>
          <w:sz w:val="28"/>
          <w:szCs w:val="28"/>
        </w:rPr>
        <w:t>млн</w:t>
      </w:r>
      <w:proofErr w:type="gramEnd"/>
      <w:r w:rsidRPr="00E40C69">
        <w:rPr>
          <w:color w:val="000000" w:themeColor="text1"/>
          <w:sz w:val="28"/>
          <w:szCs w:val="28"/>
        </w:rPr>
        <w:t xml:space="preserve"> рублей, в 2024 году - 154 744,5 млн руб</w:t>
      </w:r>
      <w:r w:rsidR="009F0F2A">
        <w:rPr>
          <w:color w:val="000000" w:themeColor="text1"/>
          <w:sz w:val="28"/>
          <w:szCs w:val="28"/>
        </w:rPr>
        <w:t>.</w:t>
      </w:r>
      <w:r w:rsidR="009F0F2A">
        <w:rPr>
          <w:rStyle w:val="aa"/>
          <w:color w:val="000000" w:themeColor="text1"/>
          <w:sz w:val="28"/>
          <w:szCs w:val="28"/>
        </w:rPr>
        <w:footnoteReference w:id="19"/>
      </w:r>
      <w:r w:rsidR="009F0F2A">
        <w:rPr>
          <w:color w:val="000000" w:themeColor="text1"/>
          <w:sz w:val="28"/>
          <w:szCs w:val="28"/>
        </w:rPr>
        <w:t>.</w:t>
      </w:r>
      <w:r w:rsidRPr="00E40C69">
        <w:rPr>
          <w:color w:val="FF0000"/>
          <w:sz w:val="28"/>
          <w:szCs w:val="28"/>
        </w:rPr>
        <w:t xml:space="preserve"> </w:t>
      </w:r>
      <w:r w:rsidRPr="00E40C69">
        <w:rPr>
          <w:color w:val="000000" w:themeColor="text1"/>
          <w:sz w:val="28"/>
          <w:szCs w:val="28"/>
        </w:rPr>
        <w:t xml:space="preserve">При этом расходы на финансирование национального проект </w:t>
      </w:r>
      <w:r w:rsidR="009F0F2A">
        <w:rPr>
          <w:color w:val="000000" w:themeColor="text1"/>
          <w:sz w:val="28"/>
          <w:szCs w:val="28"/>
        </w:rPr>
        <w:t>«</w:t>
      </w:r>
      <w:r w:rsidRPr="00E40C69">
        <w:rPr>
          <w:color w:val="000000" w:themeColor="text1"/>
          <w:sz w:val="28"/>
          <w:szCs w:val="28"/>
        </w:rPr>
        <w:t>Наука и университеты» в 2023 г</w:t>
      </w:r>
      <w:r w:rsidR="009F0F2A">
        <w:rPr>
          <w:color w:val="000000" w:themeColor="text1"/>
          <w:sz w:val="28"/>
          <w:szCs w:val="28"/>
        </w:rPr>
        <w:t>оду</w:t>
      </w:r>
      <w:r w:rsidRPr="00E40C69">
        <w:rPr>
          <w:color w:val="000000" w:themeColor="text1"/>
          <w:sz w:val="28"/>
          <w:szCs w:val="28"/>
        </w:rPr>
        <w:t xml:space="preserve"> будут всего на 22,7% выше, чем расходы на финансирование средств массовой информации, на 2024 г</w:t>
      </w:r>
      <w:r w:rsidR="009F0F2A">
        <w:rPr>
          <w:color w:val="000000" w:themeColor="text1"/>
          <w:sz w:val="28"/>
          <w:szCs w:val="28"/>
        </w:rPr>
        <w:t>од</w:t>
      </w:r>
      <w:r w:rsidRPr="00E40C69">
        <w:rPr>
          <w:color w:val="000000" w:themeColor="text1"/>
          <w:sz w:val="28"/>
          <w:szCs w:val="28"/>
        </w:rPr>
        <w:t xml:space="preserve"> это превышение составит 42,7%, но и в этом году на финансирование данного проекта составит 0,5% расходов Федерального бюджета. </w:t>
      </w:r>
    </w:p>
    <w:p w14:paraId="3DB991BF" w14:textId="52AAF7D1" w:rsidR="00243BCF" w:rsidRPr="0041168B" w:rsidRDefault="00243BCF" w:rsidP="00742EF3">
      <w:pPr>
        <w:spacing w:line="360" w:lineRule="auto"/>
        <w:ind w:firstLine="720"/>
        <w:jc w:val="both"/>
        <w:rPr>
          <w:sz w:val="28"/>
          <w:szCs w:val="28"/>
        </w:rPr>
      </w:pPr>
      <w:r w:rsidRPr="00320A2E">
        <w:rPr>
          <w:sz w:val="28"/>
          <w:szCs w:val="28"/>
        </w:rPr>
        <w:t xml:space="preserve">Согласно </w:t>
      </w:r>
      <w:r w:rsidR="009F0F2A">
        <w:rPr>
          <w:sz w:val="28"/>
          <w:szCs w:val="28"/>
        </w:rPr>
        <w:t>П</w:t>
      </w:r>
      <w:r w:rsidRPr="00320A2E">
        <w:rPr>
          <w:sz w:val="28"/>
          <w:szCs w:val="28"/>
        </w:rPr>
        <w:t xml:space="preserve">ояснительной записке к </w:t>
      </w:r>
      <w:r>
        <w:rPr>
          <w:sz w:val="28"/>
          <w:szCs w:val="28"/>
        </w:rPr>
        <w:t>П</w:t>
      </w:r>
      <w:r w:rsidRPr="00320A2E">
        <w:rPr>
          <w:sz w:val="28"/>
          <w:szCs w:val="28"/>
        </w:rPr>
        <w:t xml:space="preserve">роекту федерального закона «О федеральном бюджете на 2023 год и на плановый период 2024 и 2025 годов», ассигнования резко возрастут в части финансирования федерального проекта «Патриотическое воспитание граждан Российской Федерации» на 786,6% или на 34658,2 </w:t>
      </w:r>
      <w:proofErr w:type="gramStart"/>
      <w:r w:rsidRPr="00320A2E">
        <w:rPr>
          <w:sz w:val="28"/>
          <w:szCs w:val="28"/>
        </w:rPr>
        <w:t>млн</w:t>
      </w:r>
      <w:proofErr w:type="gramEnd"/>
      <w:r w:rsidRPr="00320A2E">
        <w:rPr>
          <w:sz w:val="28"/>
          <w:szCs w:val="28"/>
        </w:rPr>
        <w:t xml:space="preserve"> руб. в 2023 г</w:t>
      </w:r>
      <w:r w:rsidR="009F0F2A">
        <w:rPr>
          <w:sz w:val="28"/>
          <w:szCs w:val="28"/>
        </w:rPr>
        <w:t>оду</w:t>
      </w:r>
      <w:r w:rsidRPr="00320A2E">
        <w:rPr>
          <w:sz w:val="28"/>
          <w:szCs w:val="28"/>
        </w:rPr>
        <w:t xml:space="preserve"> и на 876,4% или на 39265,1 млн руб. в 2024 </w:t>
      </w:r>
      <w:r w:rsidR="009F0F2A">
        <w:rPr>
          <w:sz w:val="28"/>
          <w:szCs w:val="28"/>
        </w:rPr>
        <w:t xml:space="preserve">году </w:t>
      </w:r>
      <w:r w:rsidRPr="00320A2E">
        <w:rPr>
          <w:sz w:val="28"/>
          <w:szCs w:val="28"/>
        </w:rPr>
        <w:t xml:space="preserve">по сравнению с плановыми ассигнованиями в ФЗ-390. Также заметно возрастут расходы на Федеральный проект </w:t>
      </w:r>
      <w:r w:rsidR="009F0F2A">
        <w:rPr>
          <w:sz w:val="28"/>
          <w:szCs w:val="28"/>
        </w:rPr>
        <w:t>«</w:t>
      </w:r>
      <w:r w:rsidRPr="00320A2E">
        <w:rPr>
          <w:sz w:val="28"/>
          <w:szCs w:val="28"/>
        </w:rPr>
        <w:t>Социальные лифты для каждого</w:t>
      </w:r>
      <w:r w:rsidR="009F0F2A">
        <w:rPr>
          <w:sz w:val="28"/>
          <w:szCs w:val="28"/>
        </w:rPr>
        <w:t>»</w:t>
      </w:r>
      <w:r w:rsidRPr="00320A2E">
        <w:rPr>
          <w:sz w:val="28"/>
          <w:szCs w:val="28"/>
        </w:rPr>
        <w:t xml:space="preserve"> и </w:t>
      </w:r>
      <w:r w:rsidR="009F0F2A">
        <w:rPr>
          <w:sz w:val="28"/>
          <w:szCs w:val="28"/>
        </w:rPr>
        <w:t>«</w:t>
      </w:r>
      <w:r w:rsidRPr="00320A2E">
        <w:rPr>
          <w:sz w:val="28"/>
          <w:szCs w:val="28"/>
        </w:rPr>
        <w:t>Развитие системы поддержки молодежи (Молодежь России</w:t>
      </w:r>
      <w:r w:rsidRPr="0041168B">
        <w:rPr>
          <w:sz w:val="28"/>
          <w:szCs w:val="28"/>
        </w:rPr>
        <w:t>)</w:t>
      </w:r>
      <w:r w:rsidR="009F0F2A">
        <w:rPr>
          <w:sz w:val="28"/>
          <w:szCs w:val="28"/>
        </w:rPr>
        <w:t>»</w:t>
      </w:r>
      <w:r w:rsidRPr="0041168B">
        <w:rPr>
          <w:sz w:val="28"/>
          <w:szCs w:val="28"/>
        </w:rPr>
        <w:t xml:space="preserve">, </w:t>
      </w:r>
      <w:proofErr w:type="gramStart"/>
      <w:r w:rsidRPr="0041168B">
        <w:rPr>
          <w:sz w:val="28"/>
          <w:szCs w:val="28"/>
        </w:rPr>
        <w:t>направленных</w:t>
      </w:r>
      <w:proofErr w:type="gramEnd"/>
      <w:r w:rsidRPr="0041168B">
        <w:rPr>
          <w:sz w:val="28"/>
          <w:szCs w:val="28"/>
        </w:rPr>
        <w:t xml:space="preserve"> в основном на развитие гражданского и патриотического воспитания.</w:t>
      </w:r>
    </w:p>
    <w:p w14:paraId="13192EEC" w14:textId="7A5BD65C" w:rsidR="00243BCF" w:rsidRPr="00CE183C" w:rsidRDefault="00243BCF" w:rsidP="00742EF3">
      <w:pPr>
        <w:autoSpaceDE w:val="0"/>
        <w:autoSpaceDN w:val="0"/>
        <w:adjustRightInd w:val="0"/>
        <w:spacing w:line="360" w:lineRule="auto"/>
        <w:ind w:firstLine="709"/>
        <w:jc w:val="both"/>
      </w:pPr>
      <w:r w:rsidRPr="0041168B">
        <w:rPr>
          <w:sz w:val="28"/>
          <w:szCs w:val="28"/>
        </w:rPr>
        <w:t xml:space="preserve">Если ассигнования на национальный проект «Образование», согласно законопроекту, будут увеличены, то на национальный проект </w:t>
      </w:r>
      <w:r w:rsidR="009F0F2A">
        <w:rPr>
          <w:sz w:val="28"/>
          <w:szCs w:val="28"/>
        </w:rPr>
        <w:t>«</w:t>
      </w:r>
      <w:r w:rsidRPr="0041168B">
        <w:rPr>
          <w:sz w:val="28"/>
          <w:szCs w:val="28"/>
        </w:rPr>
        <w:t>Наука и университеты</w:t>
      </w:r>
      <w:r w:rsidR="009F0F2A">
        <w:rPr>
          <w:sz w:val="28"/>
          <w:szCs w:val="28"/>
        </w:rPr>
        <w:t>»</w:t>
      </w:r>
      <w:r w:rsidRPr="0041168B">
        <w:rPr>
          <w:sz w:val="28"/>
          <w:szCs w:val="28"/>
        </w:rPr>
        <w:t xml:space="preserve"> </w:t>
      </w:r>
      <w:r>
        <w:rPr>
          <w:sz w:val="28"/>
          <w:szCs w:val="28"/>
        </w:rPr>
        <w:t xml:space="preserve">предусмотрено их </w:t>
      </w:r>
      <w:r w:rsidRPr="0041168B">
        <w:rPr>
          <w:sz w:val="28"/>
          <w:szCs w:val="28"/>
        </w:rPr>
        <w:t>уменьшение</w:t>
      </w:r>
      <w:r>
        <w:rPr>
          <w:sz w:val="28"/>
          <w:szCs w:val="28"/>
        </w:rPr>
        <w:t xml:space="preserve"> </w:t>
      </w:r>
      <w:r w:rsidRPr="0041168B">
        <w:rPr>
          <w:sz w:val="28"/>
          <w:szCs w:val="28"/>
        </w:rPr>
        <w:t>в 2023 г</w:t>
      </w:r>
      <w:r w:rsidR="009F0F2A">
        <w:rPr>
          <w:sz w:val="28"/>
          <w:szCs w:val="28"/>
        </w:rPr>
        <w:t>оду</w:t>
      </w:r>
      <w:r>
        <w:rPr>
          <w:sz w:val="28"/>
          <w:szCs w:val="28"/>
        </w:rPr>
        <w:t xml:space="preserve"> </w:t>
      </w:r>
      <w:r w:rsidRPr="0041168B">
        <w:rPr>
          <w:sz w:val="28"/>
          <w:szCs w:val="28"/>
        </w:rPr>
        <w:t xml:space="preserve">на 7 731,4 </w:t>
      </w:r>
      <w:proofErr w:type="gramStart"/>
      <w:r w:rsidRPr="0041168B">
        <w:rPr>
          <w:sz w:val="28"/>
          <w:szCs w:val="28"/>
        </w:rPr>
        <w:t>млн</w:t>
      </w:r>
      <w:proofErr w:type="gramEnd"/>
      <w:r w:rsidRPr="0041168B">
        <w:rPr>
          <w:sz w:val="28"/>
          <w:szCs w:val="28"/>
        </w:rPr>
        <w:t xml:space="preserve"> руб</w:t>
      </w:r>
      <w:r>
        <w:rPr>
          <w:sz w:val="28"/>
          <w:szCs w:val="28"/>
        </w:rPr>
        <w:t>.</w:t>
      </w:r>
      <w:r w:rsidRPr="0041168B">
        <w:rPr>
          <w:sz w:val="28"/>
          <w:szCs w:val="28"/>
        </w:rPr>
        <w:t>,</w:t>
      </w:r>
      <w:r>
        <w:rPr>
          <w:sz w:val="28"/>
          <w:szCs w:val="28"/>
        </w:rPr>
        <w:t xml:space="preserve"> а</w:t>
      </w:r>
      <w:r w:rsidRPr="0041168B">
        <w:rPr>
          <w:sz w:val="28"/>
          <w:szCs w:val="28"/>
        </w:rPr>
        <w:t xml:space="preserve"> в 2024 г</w:t>
      </w:r>
      <w:r w:rsidR="009F0F2A">
        <w:rPr>
          <w:sz w:val="28"/>
          <w:szCs w:val="28"/>
        </w:rPr>
        <w:t>оду</w:t>
      </w:r>
      <w:r>
        <w:rPr>
          <w:sz w:val="28"/>
          <w:szCs w:val="28"/>
        </w:rPr>
        <w:t xml:space="preserve"> будет некоторое </w:t>
      </w:r>
      <w:r w:rsidRPr="0041168B">
        <w:rPr>
          <w:sz w:val="28"/>
          <w:szCs w:val="28"/>
        </w:rPr>
        <w:t>увеличен</w:t>
      </w:r>
      <w:r>
        <w:rPr>
          <w:sz w:val="28"/>
          <w:szCs w:val="28"/>
        </w:rPr>
        <w:t>ие</w:t>
      </w:r>
      <w:r w:rsidRPr="0041168B">
        <w:rPr>
          <w:sz w:val="28"/>
          <w:szCs w:val="28"/>
        </w:rPr>
        <w:t xml:space="preserve"> на 16 600,6 млн ру</w:t>
      </w:r>
      <w:r>
        <w:rPr>
          <w:sz w:val="28"/>
          <w:szCs w:val="28"/>
        </w:rPr>
        <w:t>б</w:t>
      </w:r>
      <w:r w:rsidRPr="0041168B">
        <w:rPr>
          <w:sz w:val="28"/>
          <w:szCs w:val="28"/>
        </w:rPr>
        <w:t>.</w:t>
      </w:r>
      <w:r>
        <w:rPr>
          <w:sz w:val="28"/>
          <w:szCs w:val="28"/>
        </w:rPr>
        <w:t xml:space="preserve"> </w:t>
      </w:r>
    </w:p>
    <w:p w14:paraId="4829C1BD" w14:textId="6533DD50" w:rsidR="00243BCF" w:rsidRPr="0041168B" w:rsidRDefault="00243BCF" w:rsidP="00742EF3">
      <w:pPr>
        <w:autoSpaceDE w:val="0"/>
        <w:autoSpaceDN w:val="0"/>
        <w:adjustRightInd w:val="0"/>
        <w:spacing w:line="360" w:lineRule="auto"/>
        <w:ind w:firstLine="720"/>
        <w:jc w:val="both"/>
        <w:rPr>
          <w:sz w:val="28"/>
          <w:szCs w:val="28"/>
        </w:rPr>
      </w:pPr>
      <w:r w:rsidRPr="0041168B">
        <w:rPr>
          <w:sz w:val="28"/>
          <w:szCs w:val="28"/>
        </w:rPr>
        <w:t>Можно выделить только один федеральный проект, по которому предусмотрен значительный рост ассигнований</w:t>
      </w:r>
      <w:r>
        <w:rPr>
          <w:sz w:val="28"/>
          <w:szCs w:val="28"/>
        </w:rPr>
        <w:t xml:space="preserve"> в рамках </w:t>
      </w:r>
      <w:r w:rsidRPr="0041168B">
        <w:rPr>
          <w:sz w:val="28"/>
          <w:szCs w:val="28"/>
        </w:rPr>
        <w:t>националь</w:t>
      </w:r>
      <w:r>
        <w:rPr>
          <w:sz w:val="28"/>
          <w:szCs w:val="28"/>
        </w:rPr>
        <w:t>ного</w:t>
      </w:r>
      <w:r w:rsidRPr="0041168B">
        <w:rPr>
          <w:sz w:val="28"/>
          <w:szCs w:val="28"/>
        </w:rPr>
        <w:t xml:space="preserve"> проект</w:t>
      </w:r>
      <w:r>
        <w:rPr>
          <w:sz w:val="28"/>
          <w:szCs w:val="28"/>
        </w:rPr>
        <w:t>а</w:t>
      </w:r>
      <w:r w:rsidRPr="0041168B">
        <w:rPr>
          <w:sz w:val="28"/>
          <w:szCs w:val="28"/>
        </w:rPr>
        <w:t xml:space="preserve"> </w:t>
      </w:r>
      <w:r w:rsidR="009F0F2A">
        <w:rPr>
          <w:sz w:val="28"/>
          <w:szCs w:val="28"/>
        </w:rPr>
        <w:t>«</w:t>
      </w:r>
      <w:r w:rsidRPr="0041168B">
        <w:rPr>
          <w:sz w:val="28"/>
          <w:szCs w:val="28"/>
        </w:rPr>
        <w:t>Наука и университеты</w:t>
      </w:r>
      <w:r w:rsidR="009F0F2A">
        <w:rPr>
          <w:sz w:val="28"/>
          <w:szCs w:val="28"/>
        </w:rPr>
        <w:t>»</w:t>
      </w:r>
      <w:r w:rsidRPr="0041168B">
        <w:rPr>
          <w:sz w:val="28"/>
          <w:szCs w:val="28"/>
        </w:rPr>
        <w:t xml:space="preserve"> – это </w:t>
      </w:r>
      <w:r w:rsidR="009F0F2A">
        <w:rPr>
          <w:sz w:val="28"/>
          <w:szCs w:val="28"/>
        </w:rPr>
        <w:t>«</w:t>
      </w:r>
      <w:r w:rsidRPr="0041168B">
        <w:rPr>
          <w:sz w:val="28"/>
          <w:szCs w:val="28"/>
        </w:rPr>
        <w:t>Развитие человеческого капитала в интересах регионов, отраслей и сектора исследований и разработок</w:t>
      </w:r>
      <w:r w:rsidR="009F0F2A">
        <w:rPr>
          <w:sz w:val="28"/>
          <w:szCs w:val="28"/>
        </w:rPr>
        <w:t>»</w:t>
      </w:r>
      <w:r>
        <w:rPr>
          <w:sz w:val="28"/>
          <w:szCs w:val="28"/>
        </w:rPr>
        <w:t>, где и</w:t>
      </w:r>
      <w:r w:rsidRPr="0041168B">
        <w:rPr>
          <w:sz w:val="28"/>
          <w:szCs w:val="28"/>
        </w:rPr>
        <w:t xml:space="preserve">зменения в законопроекте </w:t>
      </w:r>
      <w:r>
        <w:rPr>
          <w:sz w:val="28"/>
          <w:szCs w:val="28"/>
        </w:rPr>
        <w:t xml:space="preserve">увеличились </w:t>
      </w:r>
      <w:r w:rsidRPr="0041168B">
        <w:rPr>
          <w:sz w:val="28"/>
          <w:szCs w:val="28"/>
        </w:rPr>
        <w:t>на 155,3% по сравнению</w:t>
      </w:r>
      <w:r>
        <w:rPr>
          <w:sz w:val="28"/>
          <w:szCs w:val="28"/>
        </w:rPr>
        <w:t xml:space="preserve"> с</w:t>
      </w:r>
      <w:r w:rsidRPr="0041168B">
        <w:rPr>
          <w:sz w:val="28"/>
          <w:szCs w:val="28"/>
        </w:rPr>
        <w:t xml:space="preserve"> ФЗ-390</w:t>
      </w:r>
      <w:r>
        <w:rPr>
          <w:sz w:val="28"/>
          <w:szCs w:val="28"/>
        </w:rPr>
        <w:t xml:space="preserve"> в 2023 г</w:t>
      </w:r>
      <w:r w:rsidR="00C571A0">
        <w:rPr>
          <w:sz w:val="28"/>
          <w:szCs w:val="28"/>
        </w:rPr>
        <w:t>оду.</w:t>
      </w:r>
      <w:r w:rsidRPr="0041168B">
        <w:rPr>
          <w:sz w:val="28"/>
          <w:szCs w:val="28"/>
        </w:rPr>
        <w:t xml:space="preserve"> Финансирование федерального проекта </w:t>
      </w:r>
      <w:r w:rsidR="009F0F2A">
        <w:rPr>
          <w:sz w:val="28"/>
          <w:szCs w:val="28"/>
        </w:rPr>
        <w:t>«</w:t>
      </w:r>
      <w:r w:rsidRPr="0041168B">
        <w:rPr>
          <w:sz w:val="28"/>
          <w:szCs w:val="28"/>
        </w:rPr>
        <w:t>Развитие интеграционных процессов в сфере науки, высшего образования и индустрии</w:t>
      </w:r>
      <w:r w:rsidR="009F0F2A">
        <w:rPr>
          <w:sz w:val="28"/>
          <w:szCs w:val="28"/>
        </w:rPr>
        <w:t>»</w:t>
      </w:r>
      <w:r w:rsidRPr="0041168B">
        <w:rPr>
          <w:sz w:val="28"/>
          <w:szCs w:val="28"/>
        </w:rPr>
        <w:t xml:space="preserve"> осталось практически без изменений. Ассигнования остальных федеральных проектов были сокращены</w:t>
      </w:r>
      <w:r>
        <w:rPr>
          <w:sz w:val="28"/>
          <w:szCs w:val="28"/>
        </w:rPr>
        <w:t>. Такое уменьшение расходов м</w:t>
      </w:r>
      <w:r w:rsidRPr="0041168B">
        <w:rPr>
          <w:sz w:val="28"/>
          <w:szCs w:val="28"/>
        </w:rPr>
        <w:t>ожет значительно подорвать конкурентоспособность отечественных высокотехнологичных отраслей и ослабить позиции отечественной фундаментальной науки,</w:t>
      </w:r>
      <w:r>
        <w:rPr>
          <w:sz w:val="28"/>
          <w:szCs w:val="28"/>
        </w:rPr>
        <w:t xml:space="preserve"> ведь </w:t>
      </w:r>
      <w:r w:rsidRPr="0041168B">
        <w:rPr>
          <w:sz w:val="28"/>
          <w:szCs w:val="28"/>
        </w:rPr>
        <w:t>на</w:t>
      </w:r>
      <w:r>
        <w:rPr>
          <w:sz w:val="28"/>
          <w:szCs w:val="28"/>
        </w:rPr>
        <w:t xml:space="preserve"> ее поддержание</w:t>
      </w:r>
      <w:r w:rsidRPr="0041168B">
        <w:rPr>
          <w:sz w:val="28"/>
          <w:szCs w:val="28"/>
        </w:rPr>
        <w:t xml:space="preserve"> требуется долгосрочное и стабильное финансирование. </w:t>
      </w:r>
    </w:p>
    <w:p w14:paraId="1A7273DC" w14:textId="2A19EA02" w:rsidR="001564BB" w:rsidRPr="00E40C69" w:rsidRDefault="001564BB" w:rsidP="00742EF3">
      <w:pPr>
        <w:spacing w:line="360" w:lineRule="auto"/>
        <w:ind w:firstLine="708"/>
        <w:jc w:val="both"/>
        <w:rPr>
          <w:color w:val="000000" w:themeColor="text1"/>
          <w:sz w:val="28"/>
          <w:szCs w:val="28"/>
        </w:rPr>
      </w:pPr>
      <w:r w:rsidRPr="00E40C69">
        <w:rPr>
          <w:color w:val="000000" w:themeColor="text1"/>
          <w:sz w:val="28"/>
          <w:szCs w:val="28"/>
        </w:rPr>
        <w:t>В то же время, в 2023-2024 г</w:t>
      </w:r>
      <w:r w:rsidR="009F0F2A">
        <w:rPr>
          <w:color w:val="000000" w:themeColor="text1"/>
          <w:sz w:val="28"/>
          <w:szCs w:val="28"/>
        </w:rPr>
        <w:t>одах</w:t>
      </w:r>
      <w:r w:rsidRPr="00E40C69">
        <w:rPr>
          <w:color w:val="000000" w:themeColor="text1"/>
          <w:sz w:val="28"/>
          <w:szCs w:val="28"/>
        </w:rPr>
        <w:t xml:space="preserve"> на обслуживание государственного долга будет расходоваться в 3,5-3,6 раза больше средств, чем на вместе взятые национальный проект </w:t>
      </w:r>
      <w:r w:rsidR="009F0F2A">
        <w:rPr>
          <w:color w:val="000000" w:themeColor="text1"/>
          <w:sz w:val="28"/>
          <w:szCs w:val="28"/>
        </w:rPr>
        <w:t>«</w:t>
      </w:r>
      <w:r w:rsidRPr="00E40C69">
        <w:rPr>
          <w:color w:val="000000" w:themeColor="text1"/>
          <w:sz w:val="28"/>
          <w:szCs w:val="28"/>
        </w:rPr>
        <w:t>Наука и университеты</w:t>
      </w:r>
      <w:r w:rsidR="009F0F2A">
        <w:rPr>
          <w:color w:val="000000" w:themeColor="text1"/>
          <w:sz w:val="28"/>
          <w:szCs w:val="28"/>
        </w:rPr>
        <w:t>»</w:t>
      </w:r>
      <w:r w:rsidRPr="00E40C69">
        <w:rPr>
          <w:color w:val="000000" w:themeColor="text1"/>
          <w:sz w:val="28"/>
          <w:szCs w:val="28"/>
        </w:rPr>
        <w:t xml:space="preserve"> и государственную программу </w:t>
      </w:r>
      <w:r w:rsidR="009F0F2A">
        <w:rPr>
          <w:color w:val="000000" w:themeColor="text1"/>
          <w:sz w:val="28"/>
          <w:szCs w:val="28"/>
        </w:rPr>
        <w:t>«</w:t>
      </w:r>
      <w:r w:rsidRPr="00E40C69">
        <w:rPr>
          <w:color w:val="000000" w:themeColor="text1"/>
          <w:sz w:val="28"/>
          <w:szCs w:val="28"/>
        </w:rPr>
        <w:t>Научно-технологическое развитие Российской Федерации</w:t>
      </w:r>
      <w:r w:rsidR="009F0F2A">
        <w:rPr>
          <w:color w:val="000000" w:themeColor="text1"/>
          <w:sz w:val="28"/>
          <w:szCs w:val="28"/>
        </w:rPr>
        <w:t>»</w:t>
      </w:r>
      <w:r w:rsidRPr="00E40C69">
        <w:rPr>
          <w:color w:val="000000" w:themeColor="text1"/>
          <w:sz w:val="28"/>
          <w:szCs w:val="28"/>
        </w:rPr>
        <w:t xml:space="preserve">. </w:t>
      </w:r>
    </w:p>
    <w:p w14:paraId="152C33B0" w14:textId="6AD589EE" w:rsidR="00BE26B1" w:rsidRDefault="00BE26B1" w:rsidP="004A457A">
      <w:pPr>
        <w:pStyle w:val="Style1"/>
      </w:pPr>
    </w:p>
    <w:p w14:paraId="1793A927" w14:textId="4C206CD5" w:rsidR="00411064" w:rsidRDefault="00411064" w:rsidP="0096730A">
      <w:pPr>
        <w:pStyle w:val="a4"/>
        <w:numPr>
          <w:ilvl w:val="0"/>
          <w:numId w:val="19"/>
        </w:numPr>
        <w:spacing w:after="160" w:line="259" w:lineRule="auto"/>
        <w:ind w:left="426"/>
        <w:jc w:val="both"/>
        <w:outlineLvl w:val="0"/>
        <w:rPr>
          <w:b/>
          <w:sz w:val="28"/>
          <w:szCs w:val="28"/>
        </w:rPr>
      </w:pPr>
      <w:bookmarkStart w:id="6" w:name="_Toc116561835"/>
      <w:r w:rsidRPr="002B5510">
        <w:rPr>
          <w:b/>
          <w:sz w:val="28"/>
          <w:szCs w:val="28"/>
        </w:rPr>
        <w:t xml:space="preserve">Особенности бюджетного финансирования социально ориентированных национальных проектов и </w:t>
      </w:r>
      <w:r>
        <w:rPr>
          <w:b/>
          <w:sz w:val="28"/>
          <w:szCs w:val="28"/>
        </w:rPr>
        <w:t xml:space="preserve">социальных </w:t>
      </w:r>
      <w:r w:rsidRPr="002B5510">
        <w:rPr>
          <w:b/>
          <w:sz w:val="28"/>
          <w:szCs w:val="28"/>
        </w:rPr>
        <w:t>государственных программ в расходной части Проекта Федерального бюджета на 2023 г</w:t>
      </w:r>
      <w:r w:rsidR="009F0F2A">
        <w:rPr>
          <w:b/>
          <w:sz w:val="28"/>
          <w:szCs w:val="28"/>
        </w:rPr>
        <w:t>од</w:t>
      </w:r>
      <w:r w:rsidRPr="002B5510">
        <w:rPr>
          <w:b/>
          <w:sz w:val="28"/>
          <w:szCs w:val="28"/>
        </w:rPr>
        <w:t xml:space="preserve"> и плановый период 2024-2025 г</w:t>
      </w:r>
      <w:r w:rsidR="009F0F2A">
        <w:rPr>
          <w:b/>
          <w:sz w:val="28"/>
          <w:szCs w:val="28"/>
        </w:rPr>
        <w:t>одов</w:t>
      </w:r>
      <w:bookmarkEnd w:id="6"/>
    </w:p>
    <w:p w14:paraId="08467F23" w14:textId="74DE1416" w:rsidR="00411064" w:rsidRDefault="00411064" w:rsidP="00411064">
      <w:pPr>
        <w:spacing w:line="276" w:lineRule="auto"/>
        <w:ind w:firstLine="708"/>
        <w:contextualSpacing/>
        <w:jc w:val="both"/>
        <w:rPr>
          <w:b/>
          <w:sz w:val="28"/>
          <w:szCs w:val="28"/>
        </w:rPr>
      </w:pPr>
    </w:p>
    <w:p w14:paraId="06B59033" w14:textId="332861E7" w:rsidR="00411064" w:rsidRPr="00411064" w:rsidRDefault="0096730A" w:rsidP="00703CEB">
      <w:pPr>
        <w:pStyle w:val="a4"/>
        <w:numPr>
          <w:ilvl w:val="1"/>
          <w:numId w:val="19"/>
        </w:numPr>
        <w:spacing w:after="160" w:line="259" w:lineRule="auto"/>
        <w:jc w:val="both"/>
        <w:rPr>
          <w:b/>
          <w:sz w:val="28"/>
          <w:szCs w:val="28"/>
        </w:rPr>
      </w:pPr>
      <w:r>
        <w:rPr>
          <w:b/>
          <w:sz w:val="28"/>
          <w:szCs w:val="28"/>
        </w:rPr>
        <w:t xml:space="preserve"> </w:t>
      </w:r>
      <w:r w:rsidR="00411064" w:rsidRPr="00411064">
        <w:rPr>
          <w:b/>
          <w:sz w:val="28"/>
          <w:szCs w:val="28"/>
        </w:rPr>
        <w:t>Раздел «Социальная политика»</w:t>
      </w:r>
    </w:p>
    <w:p w14:paraId="27A70A62" w14:textId="7206F17F" w:rsidR="00411064" w:rsidRPr="001E614B" w:rsidRDefault="00411064" w:rsidP="00EB0D09">
      <w:pPr>
        <w:autoSpaceDE w:val="0"/>
        <w:autoSpaceDN w:val="0"/>
        <w:adjustRightInd w:val="0"/>
        <w:spacing w:line="360" w:lineRule="auto"/>
        <w:ind w:firstLine="709"/>
        <w:contextualSpacing/>
        <w:jc w:val="both"/>
        <w:rPr>
          <w:spacing w:val="-1"/>
          <w:sz w:val="28"/>
          <w:szCs w:val="20"/>
        </w:rPr>
      </w:pPr>
      <w:r w:rsidRPr="001E614B">
        <w:rPr>
          <w:sz w:val="28"/>
          <w:szCs w:val="28"/>
        </w:rPr>
        <w:t>Бюджетные</w:t>
      </w:r>
      <w:r w:rsidRPr="001E614B">
        <w:rPr>
          <w:spacing w:val="-1"/>
          <w:sz w:val="28"/>
          <w:szCs w:val="20"/>
        </w:rPr>
        <w:t xml:space="preserve"> ассигнования</w:t>
      </w:r>
      <w:r w:rsidRPr="001E614B">
        <w:rPr>
          <w:sz w:val="28"/>
          <w:szCs w:val="20"/>
        </w:rPr>
        <w:t xml:space="preserve"> </w:t>
      </w:r>
      <w:r w:rsidRPr="001E614B">
        <w:rPr>
          <w:spacing w:val="-1"/>
          <w:sz w:val="28"/>
          <w:szCs w:val="20"/>
        </w:rPr>
        <w:t xml:space="preserve">по разделу </w:t>
      </w:r>
      <w:r w:rsidRPr="001E614B">
        <w:rPr>
          <w:i/>
          <w:spacing w:val="-1"/>
          <w:sz w:val="28"/>
          <w:szCs w:val="20"/>
        </w:rPr>
        <w:t>«Социальная политика»</w:t>
      </w:r>
      <w:r w:rsidRPr="001E614B">
        <w:rPr>
          <w:spacing w:val="-1"/>
          <w:sz w:val="28"/>
          <w:szCs w:val="20"/>
        </w:rPr>
        <w:t xml:space="preserve"> в 2023 году составят 7 343 101,7 </w:t>
      </w:r>
      <w:proofErr w:type="gramStart"/>
      <w:r w:rsidRPr="001E614B">
        <w:rPr>
          <w:spacing w:val="-1"/>
          <w:sz w:val="28"/>
          <w:szCs w:val="20"/>
        </w:rPr>
        <w:t>млн</w:t>
      </w:r>
      <w:proofErr w:type="gramEnd"/>
      <w:r>
        <w:rPr>
          <w:spacing w:val="-1"/>
          <w:sz w:val="28"/>
          <w:szCs w:val="20"/>
        </w:rPr>
        <w:t xml:space="preserve"> руб., в 2024 году</w:t>
      </w:r>
      <w:r w:rsidRPr="001E614B">
        <w:rPr>
          <w:spacing w:val="-1"/>
          <w:sz w:val="28"/>
          <w:szCs w:val="20"/>
        </w:rPr>
        <w:t xml:space="preserve"> 7 299 448,8 </w:t>
      </w:r>
      <w:r w:rsidR="00E40C69">
        <w:rPr>
          <w:spacing w:val="-1"/>
          <w:sz w:val="28"/>
          <w:szCs w:val="20"/>
        </w:rPr>
        <w:t>млн</w:t>
      </w:r>
      <w:r>
        <w:rPr>
          <w:spacing w:val="-1"/>
          <w:sz w:val="28"/>
          <w:szCs w:val="20"/>
        </w:rPr>
        <w:t xml:space="preserve"> руб. и в 2025 году </w:t>
      </w:r>
      <w:r w:rsidRPr="001E614B">
        <w:rPr>
          <w:spacing w:val="-1"/>
          <w:sz w:val="28"/>
          <w:szCs w:val="20"/>
        </w:rPr>
        <w:t xml:space="preserve">7 152 782,8 </w:t>
      </w:r>
      <w:r w:rsidR="00E40C69">
        <w:rPr>
          <w:spacing w:val="-1"/>
          <w:sz w:val="28"/>
          <w:szCs w:val="20"/>
        </w:rPr>
        <w:t>млн</w:t>
      </w:r>
      <w:r>
        <w:rPr>
          <w:spacing w:val="-1"/>
          <w:sz w:val="28"/>
          <w:szCs w:val="20"/>
        </w:rPr>
        <w:t xml:space="preserve"> руб</w:t>
      </w:r>
      <w:r w:rsidR="009F0F2A">
        <w:rPr>
          <w:spacing w:val="-1"/>
          <w:sz w:val="28"/>
          <w:szCs w:val="20"/>
        </w:rPr>
        <w:t>.</w:t>
      </w:r>
      <w:r w:rsidR="009F0F2A">
        <w:rPr>
          <w:rStyle w:val="aa"/>
          <w:spacing w:val="-1"/>
          <w:sz w:val="28"/>
          <w:szCs w:val="20"/>
        </w:rPr>
        <w:footnoteReference w:id="20"/>
      </w:r>
    </w:p>
    <w:p w14:paraId="4E4615A3" w14:textId="77777777" w:rsidR="00411064" w:rsidRPr="001E614B" w:rsidRDefault="00411064" w:rsidP="00EB0D09">
      <w:pPr>
        <w:autoSpaceDE w:val="0"/>
        <w:autoSpaceDN w:val="0"/>
        <w:adjustRightInd w:val="0"/>
        <w:spacing w:line="360" w:lineRule="auto"/>
        <w:ind w:firstLine="709"/>
        <w:contextualSpacing/>
        <w:jc w:val="both"/>
        <w:rPr>
          <w:sz w:val="28"/>
          <w:szCs w:val="28"/>
        </w:rPr>
      </w:pPr>
      <w:r w:rsidRPr="001E614B">
        <w:rPr>
          <w:sz w:val="28"/>
          <w:szCs w:val="28"/>
        </w:rPr>
        <w:t xml:space="preserve">По отношению к объему ВВП соответствующего года доля расходов раздела </w:t>
      </w:r>
      <w:r w:rsidRPr="001E614B">
        <w:rPr>
          <w:i/>
          <w:spacing w:val="-1"/>
          <w:sz w:val="28"/>
          <w:szCs w:val="20"/>
        </w:rPr>
        <w:t>«Социальная политика»</w:t>
      </w:r>
      <w:r w:rsidRPr="001E614B">
        <w:rPr>
          <w:spacing w:val="-1"/>
          <w:sz w:val="28"/>
          <w:szCs w:val="20"/>
        </w:rPr>
        <w:t xml:space="preserve"> </w:t>
      </w:r>
      <w:r>
        <w:rPr>
          <w:sz w:val="28"/>
          <w:szCs w:val="28"/>
        </w:rPr>
        <w:t xml:space="preserve">составит в 2023 году </w:t>
      </w:r>
      <w:r w:rsidRPr="001E614B">
        <w:rPr>
          <w:sz w:val="28"/>
          <w:szCs w:val="28"/>
        </w:rPr>
        <w:t>4,9</w:t>
      </w:r>
      <w:r>
        <w:rPr>
          <w:sz w:val="28"/>
          <w:szCs w:val="28"/>
        </w:rPr>
        <w:t xml:space="preserve">%, в 2024 году </w:t>
      </w:r>
      <w:r w:rsidRPr="001E614B">
        <w:rPr>
          <w:sz w:val="28"/>
          <w:szCs w:val="28"/>
        </w:rPr>
        <w:t>4,6</w:t>
      </w:r>
      <w:r>
        <w:rPr>
          <w:sz w:val="28"/>
          <w:szCs w:val="28"/>
        </w:rPr>
        <w:t xml:space="preserve">% и в 2025 году </w:t>
      </w:r>
      <w:r w:rsidRPr="001E614B">
        <w:rPr>
          <w:sz w:val="28"/>
          <w:szCs w:val="28"/>
        </w:rPr>
        <w:t>4,2</w:t>
      </w:r>
      <w:r>
        <w:rPr>
          <w:sz w:val="28"/>
          <w:szCs w:val="28"/>
        </w:rPr>
        <w:t>%.</w:t>
      </w:r>
      <w:r w:rsidRPr="001E614B">
        <w:rPr>
          <w:sz w:val="28"/>
          <w:szCs w:val="28"/>
        </w:rPr>
        <w:t xml:space="preserve"> </w:t>
      </w:r>
    </w:p>
    <w:p w14:paraId="71B8E55B" w14:textId="77777777" w:rsidR="00411064" w:rsidRPr="001E614B" w:rsidRDefault="00411064" w:rsidP="00EB0D09">
      <w:pPr>
        <w:autoSpaceDE w:val="0"/>
        <w:autoSpaceDN w:val="0"/>
        <w:adjustRightInd w:val="0"/>
        <w:spacing w:line="360" w:lineRule="auto"/>
        <w:ind w:firstLine="709"/>
        <w:contextualSpacing/>
        <w:jc w:val="both"/>
        <w:rPr>
          <w:sz w:val="28"/>
          <w:szCs w:val="28"/>
        </w:rPr>
      </w:pPr>
      <w:r w:rsidRPr="001E614B">
        <w:rPr>
          <w:sz w:val="28"/>
          <w:szCs w:val="28"/>
        </w:rPr>
        <w:t xml:space="preserve">Доля в общем объеме расходов федерального бюджета по разделу </w:t>
      </w:r>
      <w:r w:rsidRPr="001E614B">
        <w:rPr>
          <w:i/>
          <w:spacing w:val="-1"/>
          <w:sz w:val="28"/>
          <w:szCs w:val="20"/>
        </w:rPr>
        <w:t>«Социальная политика»</w:t>
      </w:r>
      <w:r w:rsidRPr="001E614B">
        <w:rPr>
          <w:spacing w:val="-1"/>
          <w:sz w:val="28"/>
          <w:szCs w:val="20"/>
        </w:rPr>
        <w:t xml:space="preserve"> </w:t>
      </w:r>
      <w:r w:rsidRPr="001E614B">
        <w:rPr>
          <w:sz w:val="28"/>
          <w:szCs w:val="28"/>
        </w:rPr>
        <w:t>в 2023 году по сравнению с 2022 годом (23,4</w:t>
      </w:r>
      <w:r>
        <w:rPr>
          <w:sz w:val="28"/>
          <w:szCs w:val="28"/>
        </w:rPr>
        <w:t>%) увеличится и составит 25,3</w:t>
      </w:r>
      <w:r w:rsidRPr="001E614B">
        <w:rPr>
          <w:sz w:val="28"/>
          <w:szCs w:val="28"/>
        </w:rPr>
        <w:t>%, в 2024 и 2025 годах увеличится и составит 25,4% и 25,7% соответственно.</w:t>
      </w:r>
    </w:p>
    <w:p w14:paraId="5D43B769" w14:textId="031FEFFC" w:rsidR="00411064" w:rsidRPr="001E614B" w:rsidRDefault="00411064" w:rsidP="00EB0D09">
      <w:pPr>
        <w:autoSpaceDE w:val="0"/>
        <w:autoSpaceDN w:val="0"/>
        <w:adjustRightInd w:val="0"/>
        <w:spacing w:line="360" w:lineRule="auto"/>
        <w:ind w:firstLine="709"/>
        <w:contextualSpacing/>
        <w:jc w:val="both"/>
        <w:rPr>
          <w:sz w:val="28"/>
          <w:szCs w:val="28"/>
        </w:rPr>
      </w:pPr>
      <w:r w:rsidRPr="001E614B">
        <w:rPr>
          <w:spacing w:val="-1"/>
          <w:sz w:val="28"/>
          <w:szCs w:val="20"/>
        </w:rPr>
        <w:t xml:space="preserve">Предусмотренные в Законопроекте объемы бюджетных ассигнований </w:t>
      </w:r>
      <w:r w:rsidRPr="001E614B">
        <w:rPr>
          <w:spacing w:val="-1"/>
          <w:sz w:val="28"/>
          <w:szCs w:val="20"/>
        </w:rPr>
        <w:br/>
        <w:t xml:space="preserve">по сравнению с объемами, утвержденными Законом № 390-ФЗ, увеличены в 2023 году на 1 058 156,6 </w:t>
      </w:r>
      <w:proofErr w:type="gramStart"/>
      <w:r w:rsidR="00E40C69">
        <w:rPr>
          <w:spacing w:val="-1"/>
          <w:sz w:val="28"/>
          <w:szCs w:val="20"/>
        </w:rPr>
        <w:t>млн</w:t>
      </w:r>
      <w:proofErr w:type="gramEnd"/>
      <w:r>
        <w:rPr>
          <w:spacing w:val="-1"/>
          <w:sz w:val="28"/>
          <w:szCs w:val="20"/>
        </w:rPr>
        <w:t xml:space="preserve"> руб.</w:t>
      </w:r>
      <w:r w:rsidRPr="001E614B">
        <w:rPr>
          <w:spacing w:val="-1"/>
          <w:sz w:val="28"/>
          <w:szCs w:val="20"/>
        </w:rPr>
        <w:t xml:space="preserve">, в 2024 году на 948 341,2 </w:t>
      </w:r>
      <w:r w:rsidR="00E40C69">
        <w:rPr>
          <w:spacing w:val="-1"/>
          <w:sz w:val="28"/>
          <w:szCs w:val="20"/>
        </w:rPr>
        <w:t>млн</w:t>
      </w:r>
      <w:r>
        <w:rPr>
          <w:spacing w:val="-1"/>
          <w:sz w:val="28"/>
          <w:szCs w:val="20"/>
        </w:rPr>
        <w:t xml:space="preserve"> руб.</w:t>
      </w:r>
      <w:r w:rsidRPr="001E614B">
        <w:rPr>
          <w:spacing w:val="-1"/>
          <w:sz w:val="28"/>
          <w:szCs w:val="20"/>
        </w:rPr>
        <w:t xml:space="preserve">, в 2025 году </w:t>
      </w:r>
      <w:r w:rsidRPr="001E614B">
        <w:rPr>
          <w:sz w:val="28"/>
          <w:szCs w:val="28"/>
        </w:rPr>
        <w:t xml:space="preserve">по сравнению с показателями объема соответствующих расходов, установленных Бюджетным прогнозом, увеличены на 555 674,2 </w:t>
      </w:r>
      <w:r w:rsidR="00E40C69">
        <w:rPr>
          <w:sz w:val="28"/>
          <w:szCs w:val="28"/>
        </w:rPr>
        <w:t>млн</w:t>
      </w:r>
      <w:r>
        <w:rPr>
          <w:sz w:val="28"/>
          <w:szCs w:val="28"/>
        </w:rPr>
        <w:t xml:space="preserve"> руб</w:t>
      </w:r>
      <w:r w:rsidRPr="001E614B">
        <w:rPr>
          <w:sz w:val="28"/>
          <w:szCs w:val="28"/>
        </w:rPr>
        <w:t>.</w:t>
      </w:r>
    </w:p>
    <w:p w14:paraId="09E031F5" w14:textId="003FBC9B" w:rsidR="00411064" w:rsidRDefault="00411064" w:rsidP="00EB0D09">
      <w:pPr>
        <w:autoSpaceDE w:val="0"/>
        <w:autoSpaceDN w:val="0"/>
        <w:adjustRightInd w:val="0"/>
        <w:spacing w:line="360" w:lineRule="auto"/>
        <w:ind w:firstLine="709"/>
        <w:contextualSpacing/>
        <w:jc w:val="both"/>
        <w:rPr>
          <w:color w:val="000000" w:themeColor="text1"/>
          <w:sz w:val="28"/>
          <w:szCs w:val="28"/>
        </w:rPr>
      </w:pPr>
      <w:r w:rsidRPr="001E614B">
        <w:rPr>
          <w:sz w:val="28"/>
          <w:szCs w:val="20"/>
        </w:rPr>
        <w:t>Расход</w:t>
      </w:r>
      <w:r>
        <w:rPr>
          <w:sz w:val="28"/>
          <w:szCs w:val="20"/>
        </w:rPr>
        <w:t>ы федерального бюджета в 2022-2025 г</w:t>
      </w:r>
      <w:r w:rsidR="00C571A0">
        <w:rPr>
          <w:sz w:val="28"/>
          <w:szCs w:val="20"/>
        </w:rPr>
        <w:t>одах</w:t>
      </w:r>
      <w:r w:rsidRPr="001E614B">
        <w:rPr>
          <w:sz w:val="28"/>
          <w:szCs w:val="20"/>
        </w:rPr>
        <w:t xml:space="preserve"> на реализацию государственной программы </w:t>
      </w:r>
      <w:r w:rsidRPr="001E614B">
        <w:rPr>
          <w:i/>
          <w:sz w:val="28"/>
          <w:szCs w:val="20"/>
        </w:rPr>
        <w:t>«Социальная поддержка граждан»</w:t>
      </w:r>
      <w:r w:rsidRPr="001E614B">
        <w:rPr>
          <w:sz w:val="28"/>
          <w:szCs w:val="20"/>
        </w:rPr>
        <w:t xml:space="preserve"> представлены в таблице 1</w:t>
      </w:r>
      <w:r w:rsidR="00901ACF">
        <w:rPr>
          <w:sz w:val="28"/>
          <w:szCs w:val="20"/>
        </w:rPr>
        <w:t>5</w:t>
      </w:r>
      <w:r w:rsidRPr="001E614B">
        <w:rPr>
          <w:color w:val="000000" w:themeColor="text1"/>
          <w:sz w:val="28"/>
          <w:szCs w:val="28"/>
        </w:rPr>
        <w:t>.</w:t>
      </w:r>
    </w:p>
    <w:p w14:paraId="04BF2F88" w14:textId="77777777" w:rsidR="00E40C69" w:rsidRDefault="00E40C69" w:rsidP="00411064">
      <w:pPr>
        <w:autoSpaceDE w:val="0"/>
        <w:autoSpaceDN w:val="0"/>
        <w:adjustRightInd w:val="0"/>
        <w:spacing w:line="276" w:lineRule="auto"/>
        <w:ind w:firstLine="709"/>
        <w:contextualSpacing/>
        <w:jc w:val="both"/>
        <w:rPr>
          <w:color w:val="000000" w:themeColor="text1"/>
          <w:sz w:val="28"/>
          <w:szCs w:val="28"/>
        </w:rPr>
      </w:pPr>
    </w:p>
    <w:p w14:paraId="1F89072C" w14:textId="4DE3E0B9" w:rsidR="00E40C69" w:rsidRDefault="00E40C69" w:rsidP="00EB0D09">
      <w:pPr>
        <w:autoSpaceDE w:val="0"/>
        <w:autoSpaceDN w:val="0"/>
        <w:adjustRightInd w:val="0"/>
        <w:contextualSpacing/>
        <w:jc w:val="both"/>
        <w:rPr>
          <w:bCs/>
          <w:sz w:val="28"/>
          <w:szCs w:val="28"/>
        </w:rPr>
      </w:pPr>
      <w:r w:rsidRPr="00EB0D09">
        <w:rPr>
          <w:bCs/>
          <w:sz w:val="28"/>
          <w:szCs w:val="28"/>
        </w:rPr>
        <w:t>Таблица 1</w:t>
      </w:r>
      <w:r w:rsidR="00901ACF">
        <w:rPr>
          <w:bCs/>
          <w:sz w:val="28"/>
          <w:szCs w:val="28"/>
        </w:rPr>
        <w:t>5</w:t>
      </w:r>
      <w:r w:rsidR="00EB0D09" w:rsidRPr="00EB0D09">
        <w:rPr>
          <w:bCs/>
          <w:sz w:val="28"/>
          <w:szCs w:val="28"/>
        </w:rPr>
        <w:t xml:space="preserve"> - </w:t>
      </w:r>
      <w:r w:rsidRPr="00EB0D09">
        <w:rPr>
          <w:bCs/>
          <w:sz w:val="28"/>
          <w:szCs w:val="28"/>
        </w:rPr>
        <w:t>Расходы федерального бюджета в 2022-2025 г</w:t>
      </w:r>
      <w:r w:rsidR="00EB0D09">
        <w:rPr>
          <w:bCs/>
          <w:sz w:val="28"/>
          <w:szCs w:val="28"/>
        </w:rPr>
        <w:t>одах</w:t>
      </w:r>
      <w:r w:rsidRPr="00EB0D09">
        <w:rPr>
          <w:bCs/>
          <w:sz w:val="28"/>
          <w:szCs w:val="28"/>
        </w:rPr>
        <w:t xml:space="preserve"> на реализацию государственной программы «Социальная поддержка граждан» (</w:t>
      </w:r>
      <w:proofErr w:type="gramStart"/>
      <w:r w:rsidRPr="00EB0D09">
        <w:rPr>
          <w:bCs/>
          <w:sz w:val="28"/>
          <w:szCs w:val="28"/>
        </w:rPr>
        <w:t>млн</w:t>
      </w:r>
      <w:proofErr w:type="gramEnd"/>
      <w:r w:rsidRPr="00EB0D09">
        <w:rPr>
          <w:bCs/>
          <w:sz w:val="28"/>
          <w:szCs w:val="28"/>
        </w:rPr>
        <w:t xml:space="preserve"> руб.)</w:t>
      </w:r>
    </w:p>
    <w:p w14:paraId="457A2969" w14:textId="77777777" w:rsidR="00EB0D09" w:rsidRPr="00EB0D09" w:rsidRDefault="00EB0D09" w:rsidP="00EB0D09">
      <w:pPr>
        <w:autoSpaceDE w:val="0"/>
        <w:autoSpaceDN w:val="0"/>
        <w:adjustRightInd w:val="0"/>
        <w:contextualSpacing/>
        <w:jc w:val="both"/>
        <w:rPr>
          <w:bCs/>
          <w:sz w:val="28"/>
          <w:szCs w:val="28"/>
        </w:rPr>
      </w:pPr>
    </w:p>
    <w:tbl>
      <w:tblPr>
        <w:tblW w:w="4890" w:type="pct"/>
        <w:tblInd w:w="108" w:type="dxa"/>
        <w:tblLook w:val="04A0" w:firstRow="1" w:lastRow="0" w:firstColumn="1" w:lastColumn="0" w:noHBand="0" w:noVBand="1"/>
      </w:tblPr>
      <w:tblGrid>
        <w:gridCol w:w="1804"/>
        <w:gridCol w:w="696"/>
        <w:gridCol w:w="716"/>
        <w:gridCol w:w="668"/>
        <w:gridCol w:w="786"/>
        <w:gridCol w:w="610"/>
        <w:gridCol w:w="670"/>
        <w:gridCol w:w="786"/>
        <w:gridCol w:w="955"/>
        <w:gridCol w:w="666"/>
        <w:gridCol w:w="1003"/>
      </w:tblGrid>
      <w:tr w:rsidR="00411064" w:rsidRPr="00E22C11" w14:paraId="3224438F" w14:textId="77777777" w:rsidTr="00EB0D09">
        <w:trPr>
          <w:trHeight w:val="46"/>
          <w:tblHeader/>
        </w:trPr>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5EEA1"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Наименование</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049D1"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2022 год*</w:t>
            </w:r>
          </w:p>
        </w:tc>
        <w:tc>
          <w:tcPr>
            <w:tcW w:w="1159" w:type="pct"/>
            <w:gridSpan w:val="3"/>
            <w:tcBorders>
              <w:top w:val="single" w:sz="4" w:space="0" w:color="auto"/>
              <w:left w:val="nil"/>
              <w:bottom w:val="single" w:sz="4" w:space="0" w:color="auto"/>
              <w:right w:val="single" w:sz="4" w:space="0" w:color="auto"/>
            </w:tcBorders>
            <w:shd w:val="clear" w:color="auto" w:fill="auto"/>
            <w:vAlign w:val="center"/>
            <w:hideMark/>
          </w:tcPr>
          <w:p w14:paraId="790C9AA8"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2023 год</w:t>
            </w:r>
          </w:p>
        </w:tc>
        <w:tc>
          <w:tcPr>
            <w:tcW w:w="1104" w:type="pct"/>
            <w:gridSpan w:val="3"/>
            <w:tcBorders>
              <w:top w:val="single" w:sz="4" w:space="0" w:color="auto"/>
              <w:left w:val="nil"/>
              <w:bottom w:val="single" w:sz="4" w:space="0" w:color="auto"/>
              <w:right w:val="single" w:sz="4" w:space="0" w:color="auto"/>
            </w:tcBorders>
            <w:shd w:val="clear" w:color="auto" w:fill="auto"/>
            <w:vAlign w:val="center"/>
            <w:hideMark/>
          </w:tcPr>
          <w:p w14:paraId="73962706"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2024 год</w:t>
            </w:r>
          </w:p>
        </w:tc>
        <w:tc>
          <w:tcPr>
            <w:tcW w:w="1402" w:type="pct"/>
            <w:gridSpan w:val="3"/>
            <w:tcBorders>
              <w:top w:val="single" w:sz="4" w:space="0" w:color="auto"/>
              <w:left w:val="nil"/>
              <w:bottom w:val="single" w:sz="4" w:space="0" w:color="auto"/>
              <w:right w:val="single" w:sz="4" w:space="0" w:color="000000"/>
            </w:tcBorders>
            <w:shd w:val="clear" w:color="auto" w:fill="auto"/>
            <w:vAlign w:val="center"/>
            <w:hideMark/>
          </w:tcPr>
          <w:p w14:paraId="62640518"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2025 год</w:t>
            </w:r>
          </w:p>
        </w:tc>
      </w:tr>
      <w:tr w:rsidR="00411064" w:rsidRPr="00E22C11" w14:paraId="28CB44F7" w14:textId="77777777" w:rsidTr="00EB0D09">
        <w:trPr>
          <w:trHeight w:val="76"/>
          <w:tblHeader/>
        </w:trPr>
        <w:tc>
          <w:tcPr>
            <w:tcW w:w="963" w:type="pct"/>
            <w:vMerge/>
            <w:tcBorders>
              <w:top w:val="single" w:sz="4" w:space="0" w:color="auto"/>
              <w:left w:val="single" w:sz="4" w:space="0" w:color="auto"/>
              <w:bottom w:val="single" w:sz="4" w:space="0" w:color="auto"/>
              <w:right w:val="single" w:sz="4" w:space="0" w:color="auto"/>
            </w:tcBorders>
            <w:vAlign w:val="center"/>
            <w:hideMark/>
          </w:tcPr>
          <w:p w14:paraId="3440969F" w14:textId="77777777" w:rsidR="00411064" w:rsidRPr="00E22C11" w:rsidRDefault="00411064">
            <w:pPr>
              <w:spacing w:line="276" w:lineRule="auto"/>
              <w:ind w:left="-57" w:right="-57"/>
              <w:rPr>
                <w:b/>
                <w:color w:val="000000"/>
                <w:sz w:val="14"/>
                <w:szCs w:val="14"/>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2CDF2B27" w14:textId="77777777" w:rsidR="00411064" w:rsidRPr="00E22C11" w:rsidRDefault="00411064">
            <w:pPr>
              <w:spacing w:line="276" w:lineRule="auto"/>
              <w:ind w:left="-57" w:right="-57"/>
              <w:rPr>
                <w:b/>
                <w:color w:val="000000"/>
                <w:sz w:val="14"/>
                <w:szCs w:val="14"/>
              </w:rPr>
            </w:pPr>
          </w:p>
        </w:tc>
        <w:tc>
          <w:tcPr>
            <w:tcW w:w="382" w:type="pct"/>
            <w:tcBorders>
              <w:top w:val="nil"/>
              <w:left w:val="nil"/>
              <w:bottom w:val="single" w:sz="4" w:space="0" w:color="auto"/>
              <w:right w:val="single" w:sz="4" w:space="0" w:color="auto"/>
            </w:tcBorders>
            <w:shd w:val="clear" w:color="auto" w:fill="auto"/>
            <w:vAlign w:val="center"/>
            <w:hideMark/>
          </w:tcPr>
          <w:p w14:paraId="08874566"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Закон</w:t>
            </w:r>
            <w:r w:rsidRPr="00E22C11">
              <w:rPr>
                <w:b/>
                <w:color w:val="000000"/>
                <w:sz w:val="14"/>
                <w:szCs w:val="14"/>
              </w:rPr>
              <w:br/>
              <w:t>№ 390-ФЗ</w:t>
            </w:r>
          </w:p>
        </w:tc>
        <w:tc>
          <w:tcPr>
            <w:tcW w:w="357" w:type="pct"/>
            <w:tcBorders>
              <w:top w:val="nil"/>
              <w:left w:val="nil"/>
              <w:bottom w:val="single" w:sz="4" w:space="0" w:color="auto"/>
              <w:right w:val="single" w:sz="4" w:space="0" w:color="auto"/>
            </w:tcBorders>
            <w:shd w:val="clear" w:color="auto" w:fill="auto"/>
            <w:vAlign w:val="center"/>
            <w:hideMark/>
          </w:tcPr>
          <w:p w14:paraId="487DFF72" w14:textId="77777777" w:rsidR="00411064" w:rsidRPr="00E22C11" w:rsidRDefault="00411064">
            <w:pPr>
              <w:spacing w:line="276" w:lineRule="auto"/>
              <w:ind w:left="-57" w:right="-57"/>
              <w:jc w:val="center"/>
              <w:rPr>
                <w:b/>
                <w:color w:val="000000"/>
                <w:sz w:val="14"/>
                <w:szCs w:val="14"/>
              </w:rPr>
            </w:pPr>
            <w:proofErr w:type="spellStart"/>
            <w:r w:rsidRPr="00E22C11">
              <w:rPr>
                <w:b/>
                <w:color w:val="000000"/>
                <w:sz w:val="14"/>
                <w:szCs w:val="14"/>
              </w:rPr>
              <w:t>Закон</w:t>
            </w:r>
            <w:proofErr w:type="gramStart"/>
            <w:r w:rsidRPr="00E22C11">
              <w:rPr>
                <w:b/>
                <w:color w:val="000000"/>
                <w:sz w:val="14"/>
                <w:szCs w:val="14"/>
              </w:rPr>
              <w:t>о</w:t>
            </w:r>
            <w:proofErr w:type="spellEnd"/>
            <w:r w:rsidRPr="00E22C11">
              <w:rPr>
                <w:b/>
                <w:color w:val="000000"/>
                <w:sz w:val="14"/>
                <w:szCs w:val="14"/>
              </w:rPr>
              <w:t>-</w:t>
            </w:r>
            <w:proofErr w:type="gramEnd"/>
            <w:r w:rsidRPr="00E22C11">
              <w:rPr>
                <w:b/>
                <w:color w:val="000000"/>
                <w:sz w:val="14"/>
                <w:szCs w:val="14"/>
              </w:rPr>
              <w:br/>
              <w:t>проект</w:t>
            </w:r>
          </w:p>
        </w:tc>
        <w:tc>
          <w:tcPr>
            <w:tcW w:w="420" w:type="pct"/>
            <w:tcBorders>
              <w:top w:val="nil"/>
              <w:left w:val="nil"/>
              <w:bottom w:val="single" w:sz="4" w:space="0" w:color="auto"/>
              <w:right w:val="single" w:sz="4" w:space="0" w:color="auto"/>
            </w:tcBorders>
            <w:shd w:val="clear" w:color="auto" w:fill="auto"/>
            <w:vAlign w:val="center"/>
            <w:hideMark/>
          </w:tcPr>
          <w:p w14:paraId="24BD8465"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Δ к закону, %</w:t>
            </w:r>
          </w:p>
        </w:tc>
        <w:tc>
          <w:tcPr>
            <w:tcW w:w="326" w:type="pct"/>
            <w:tcBorders>
              <w:top w:val="nil"/>
              <w:left w:val="nil"/>
              <w:bottom w:val="single" w:sz="4" w:space="0" w:color="auto"/>
              <w:right w:val="single" w:sz="4" w:space="0" w:color="auto"/>
            </w:tcBorders>
            <w:shd w:val="clear" w:color="auto" w:fill="auto"/>
            <w:vAlign w:val="center"/>
            <w:hideMark/>
          </w:tcPr>
          <w:p w14:paraId="158CD137"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Закон</w:t>
            </w:r>
            <w:r w:rsidRPr="00E22C11">
              <w:rPr>
                <w:b/>
                <w:color w:val="000000"/>
                <w:sz w:val="14"/>
                <w:szCs w:val="14"/>
              </w:rPr>
              <w:br/>
              <w:t>№ 390-ФЗ</w:t>
            </w:r>
          </w:p>
        </w:tc>
        <w:tc>
          <w:tcPr>
            <w:tcW w:w="358" w:type="pct"/>
            <w:tcBorders>
              <w:top w:val="nil"/>
              <w:left w:val="nil"/>
              <w:bottom w:val="single" w:sz="4" w:space="0" w:color="auto"/>
              <w:right w:val="single" w:sz="4" w:space="0" w:color="auto"/>
            </w:tcBorders>
            <w:shd w:val="clear" w:color="auto" w:fill="auto"/>
            <w:vAlign w:val="center"/>
            <w:hideMark/>
          </w:tcPr>
          <w:p w14:paraId="5642D923" w14:textId="77777777" w:rsidR="00411064" w:rsidRPr="00E22C11" w:rsidRDefault="00411064">
            <w:pPr>
              <w:spacing w:line="276" w:lineRule="auto"/>
              <w:ind w:left="-57" w:right="-57"/>
              <w:jc w:val="center"/>
              <w:rPr>
                <w:b/>
                <w:color w:val="000000"/>
                <w:sz w:val="14"/>
                <w:szCs w:val="14"/>
              </w:rPr>
            </w:pPr>
            <w:proofErr w:type="spellStart"/>
            <w:r w:rsidRPr="00E22C11">
              <w:rPr>
                <w:b/>
                <w:color w:val="000000"/>
                <w:sz w:val="14"/>
                <w:szCs w:val="14"/>
              </w:rPr>
              <w:t>Закон</w:t>
            </w:r>
            <w:proofErr w:type="gramStart"/>
            <w:r w:rsidRPr="00E22C11">
              <w:rPr>
                <w:b/>
                <w:color w:val="000000"/>
                <w:sz w:val="14"/>
                <w:szCs w:val="14"/>
              </w:rPr>
              <w:t>о</w:t>
            </w:r>
            <w:proofErr w:type="spellEnd"/>
            <w:r w:rsidRPr="00E22C11">
              <w:rPr>
                <w:b/>
                <w:color w:val="000000"/>
                <w:sz w:val="14"/>
                <w:szCs w:val="14"/>
              </w:rPr>
              <w:t>-</w:t>
            </w:r>
            <w:proofErr w:type="gramEnd"/>
            <w:r w:rsidRPr="00E22C11">
              <w:rPr>
                <w:b/>
                <w:color w:val="000000"/>
                <w:sz w:val="14"/>
                <w:szCs w:val="14"/>
              </w:rPr>
              <w:br/>
              <w:t>проект</w:t>
            </w:r>
          </w:p>
        </w:tc>
        <w:tc>
          <w:tcPr>
            <w:tcW w:w="420" w:type="pct"/>
            <w:tcBorders>
              <w:top w:val="nil"/>
              <w:left w:val="nil"/>
              <w:bottom w:val="single" w:sz="4" w:space="0" w:color="auto"/>
              <w:right w:val="single" w:sz="4" w:space="0" w:color="auto"/>
            </w:tcBorders>
            <w:shd w:val="clear" w:color="auto" w:fill="auto"/>
            <w:vAlign w:val="center"/>
            <w:hideMark/>
          </w:tcPr>
          <w:p w14:paraId="5D90E95B"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Δ к закону, %</w:t>
            </w:r>
          </w:p>
        </w:tc>
        <w:tc>
          <w:tcPr>
            <w:tcW w:w="510" w:type="pct"/>
            <w:tcBorders>
              <w:top w:val="nil"/>
              <w:left w:val="nil"/>
              <w:bottom w:val="single" w:sz="4" w:space="0" w:color="auto"/>
              <w:right w:val="single" w:sz="4" w:space="0" w:color="auto"/>
            </w:tcBorders>
            <w:shd w:val="clear" w:color="auto" w:fill="auto"/>
            <w:vAlign w:val="center"/>
            <w:hideMark/>
          </w:tcPr>
          <w:p w14:paraId="1B553981"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Бюджетный прогноз</w:t>
            </w:r>
          </w:p>
        </w:tc>
        <w:tc>
          <w:tcPr>
            <w:tcW w:w="356" w:type="pct"/>
            <w:tcBorders>
              <w:top w:val="nil"/>
              <w:left w:val="nil"/>
              <w:bottom w:val="single" w:sz="4" w:space="0" w:color="auto"/>
              <w:right w:val="single" w:sz="4" w:space="0" w:color="auto"/>
            </w:tcBorders>
            <w:shd w:val="clear" w:color="auto" w:fill="auto"/>
            <w:vAlign w:val="center"/>
            <w:hideMark/>
          </w:tcPr>
          <w:p w14:paraId="2F8BBD7D" w14:textId="77777777" w:rsidR="00411064" w:rsidRPr="00E22C11" w:rsidRDefault="00411064">
            <w:pPr>
              <w:spacing w:line="276" w:lineRule="auto"/>
              <w:ind w:left="-57" w:right="-57"/>
              <w:jc w:val="center"/>
              <w:rPr>
                <w:b/>
                <w:color w:val="000000"/>
                <w:sz w:val="14"/>
                <w:szCs w:val="14"/>
              </w:rPr>
            </w:pPr>
            <w:proofErr w:type="spellStart"/>
            <w:r w:rsidRPr="00E22C11">
              <w:rPr>
                <w:b/>
                <w:color w:val="000000"/>
                <w:sz w:val="14"/>
                <w:szCs w:val="14"/>
              </w:rPr>
              <w:t>Закон</w:t>
            </w:r>
            <w:proofErr w:type="gramStart"/>
            <w:r w:rsidRPr="00E22C11">
              <w:rPr>
                <w:b/>
                <w:color w:val="000000"/>
                <w:sz w:val="14"/>
                <w:szCs w:val="14"/>
              </w:rPr>
              <w:t>о</w:t>
            </w:r>
            <w:proofErr w:type="spellEnd"/>
            <w:r w:rsidRPr="00E22C11">
              <w:rPr>
                <w:b/>
                <w:color w:val="000000"/>
                <w:sz w:val="14"/>
                <w:szCs w:val="14"/>
              </w:rPr>
              <w:t>-</w:t>
            </w:r>
            <w:proofErr w:type="gramEnd"/>
            <w:r w:rsidRPr="00E22C11">
              <w:rPr>
                <w:b/>
                <w:color w:val="000000"/>
                <w:sz w:val="14"/>
                <w:szCs w:val="14"/>
              </w:rPr>
              <w:br/>
              <w:t>проект</w:t>
            </w:r>
          </w:p>
        </w:tc>
        <w:tc>
          <w:tcPr>
            <w:tcW w:w="535" w:type="pct"/>
            <w:tcBorders>
              <w:top w:val="nil"/>
              <w:left w:val="nil"/>
              <w:bottom w:val="single" w:sz="4" w:space="0" w:color="auto"/>
              <w:right w:val="single" w:sz="4" w:space="0" w:color="auto"/>
            </w:tcBorders>
            <w:shd w:val="clear" w:color="auto" w:fill="auto"/>
            <w:vAlign w:val="center"/>
            <w:hideMark/>
          </w:tcPr>
          <w:p w14:paraId="1EF14405" w14:textId="77777777" w:rsidR="00411064" w:rsidRPr="00E22C11" w:rsidRDefault="00411064">
            <w:pPr>
              <w:spacing w:line="276" w:lineRule="auto"/>
              <w:ind w:left="-57" w:right="-57"/>
              <w:jc w:val="center"/>
              <w:rPr>
                <w:b/>
                <w:color w:val="000000"/>
                <w:sz w:val="14"/>
                <w:szCs w:val="14"/>
              </w:rPr>
            </w:pPr>
            <w:r w:rsidRPr="00E22C11">
              <w:rPr>
                <w:b/>
                <w:color w:val="000000"/>
                <w:sz w:val="14"/>
                <w:szCs w:val="14"/>
              </w:rPr>
              <w:t>Δ к Бюджетному прогнозу, %</w:t>
            </w:r>
          </w:p>
        </w:tc>
      </w:tr>
      <w:tr w:rsidR="00411064" w:rsidRPr="001E614B" w14:paraId="10F6EA9F" w14:textId="77777777" w:rsidTr="00EB0D09">
        <w:trPr>
          <w:trHeight w:val="26"/>
          <w:tblHeader/>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192186B5" w14:textId="77777777" w:rsidR="00411064" w:rsidRPr="001E614B" w:rsidRDefault="00411064">
            <w:pPr>
              <w:spacing w:line="276" w:lineRule="auto"/>
              <w:ind w:left="-57" w:right="-57"/>
              <w:jc w:val="center"/>
              <w:rPr>
                <w:color w:val="000000"/>
                <w:sz w:val="14"/>
                <w:szCs w:val="14"/>
              </w:rPr>
            </w:pPr>
            <w:r w:rsidRPr="001E614B">
              <w:rPr>
                <w:color w:val="000000"/>
                <w:sz w:val="14"/>
                <w:szCs w:val="14"/>
              </w:rPr>
              <w:t>1</w:t>
            </w:r>
          </w:p>
        </w:tc>
        <w:tc>
          <w:tcPr>
            <w:tcW w:w="371" w:type="pct"/>
            <w:tcBorders>
              <w:top w:val="nil"/>
              <w:left w:val="nil"/>
              <w:bottom w:val="single" w:sz="4" w:space="0" w:color="auto"/>
              <w:right w:val="single" w:sz="4" w:space="0" w:color="auto"/>
            </w:tcBorders>
            <w:shd w:val="clear" w:color="auto" w:fill="auto"/>
            <w:vAlign w:val="center"/>
            <w:hideMark/>
          </w:tcPr>
          <w:p w14:paraId="36399277" w14:textId="77777777" w:rsidR="00411064" w:rsidRPr="001E614B" w:rsidRDefault="00411064">
            <w:pPr>
              <w:spacing w:line="276" w:lineRule="auto"/>
              <w:ind w:left="-57" w:right="-57"/>
              <w:jc w:val="center"/>
              <w:rPr>
                <w:color w:val="000000"/>
                <w:sz w:val="14"/>
                <w:szCs w:val="14"/>
              </w:rPr>
            </w:pPr>
            <w:r w:rsidRPr="001E614B">
              <w:rPr>
                <w:color w:val="000000"/>
                <w:sz w:val="14"/>
                <w:szCs w:val="14"/>
              </w:rPr>
              <w:t>2</w:t>
            </w:r>
          </w:p>
        </w:tc>
        <w:tc>
          <w:tcPr>
            <w:tcW w:w="382" w:type="pct"/>
            <w:tcBorders>
              <w:top w:val="nil"/>
              <w:left w:val="nil"/>
              <w:bottom w:val="single" w:sz="4" w:space="0" w:color="auto"/>
              <w:right w:val="single" w:sz="4" w:space="0" w:color="auto"/>
            </w:tcBorders>
            <w:shd w:val="clear" w:color="auto" w:fill="auto"/>
            <w:vAlign w:val="center"/>
            <w:hideMark/>
          </w:tcPr>
          <w:p w14:paraId="59B4A85C" w14:textId="77777777" w:rsidR="00411064" w:rsidRPr="001E614B" w:rsidRDefault="00411064">
            <w:pPr>
              <w:spacing w:line="276" w:lineRule="auto"/>
              <w:ind w:left="-57" w:right="-57"/>
              <w:jc w:val="center"/>
              <w:rPr>
                <w:color w:val="000000"/>
                <w:sz w:val="14"/>
                <w:szCs w:val="14"/>
              </w:rPr>
            </w:pPr>
            <w:r w:rsidRPr="001E614B">
              <w:rPr>
                <w:color w:val="000000"/>
                <w:sz w:val="14"/>
                <w:szCs w:val="14"/>
              </w:rPr>
              <w:t>3</w:t>
            </w:r>
          </w:p>
        </w:tc>
        <w:tc>
          <w:tcPr>
            <w:tcW w:w="357" w:type="pct"/>
            <w:tcBorders>
              <w:top w:val="nil"/>
              <w:left w:val="nil"/>
              <w:bottom w:val="single" w:sz="4" w:space="0" w:color="auto"/>
              <w:right w:val="single" w:sz="4" w:space="0" w:color="auto"/>
            </w:tcBorders>
            <w:shd w:val="clear" w:color="auto" w:fill="auto"/>
            <w:vAlign w:val="center"/>
            <w:hideMark/>
          </w:tcPr>
          <w:p w14:paraId="02ABB60E" w14:textId="77777777" w:rsidR="00411064" w:rsidRPr="001E614B" w:rsidRDefault="00411064">
            <w:pPr>
              <w:spacing w:line="276" w:lineRule="auto"/>
              <w:ind w:left="-57" w:right="-57"/>
              <w:jc w:val="center"/>
              <w:rPr>
                <w:color w:val="000000"/>
                <w:sz w:val="14"/>
                <w:szCs w:val="14"/>
              </w:rPr>
            </w:pPr>
            <w:r w:rsidRPr="001E614B">
              <w:rPr>
                <w:color w:val="000000"/>
                <w:sz w:val="14"/>
                <w:szCs w:val="14"/>
              </w:rPr>
              <w:t>4</w:t>
            </w:r>
          </w:p>
        </w:tc>
        <w:tc>
          <w:tcPr>
            <w:tcW w:w="420" w:type="pct"/>
            <w:tcBorders>
              <w:top w:val="nil"/>
              <w:left w:val="nil"/>
              <w:bottom w:val="single" w:sz="4" w:space="0" w:color="auto"/>
              <w:right w:val="single" w:sz="4" w:space="0" w:color="auto"/>
            </w:tcBorders>
            <w:shd w:val="clear" w:color="auto" w:fill="auto"/>
            <w:vAlign w:val="center"/>
            <w:hideMark/>
          </w:tcPr>
          <w:p w14:paraId="1073E864" w14:textId="77777777" w:rsidR="00411064" w:rsidRPr="001E614B" w:rsidRDefault="00411064">
            <w:pPr>
              <w:spacing w:line="276" w:lineRule="auto"/>
              <w:ind w:left="-57" w:right="-57"/>
              <w:jc w:val="center"/>
              <w:rPr>
                <w:color w:val="000000"/>
                <w:sz w:val="14"/>
                <w:szCs w:val="14"/>
              </w:rPr>
            </w:pPr>
            <w:r w:rsidRPr="001E614B">
              <w:rPr>
                <w:color w:val="000000"/>
                <w:sz w:val="14"/>
                <w:szCs w:val="14"/>
              </w:rPr>
              <w:t>5=4/3*100</w:t>
            </w:r>
          </w:p>
        </w:tc>
        <w:tc>
          <w:tcPr>
            <w:tcW w:w="326" w:type="pct"/>
            <w:tcBorders>
              <w:top w:val="nil"/>
              <w:left w:val="nil"/>
              <w:bottom w:val="single" w:sz="4" w:space="0" w:color="auto"/>
              <w:right w:val="single" w:sz="4" w:space="0" w:color="auto"/>
            </w:tcBorders>
            <w:shd w:val="clear" w:color="auto" w:fill="auto"/>
            <w:vAlign w:val="center"/>
            <w:hideMark/>
          </w:tcPr>
          <w:p w14:paraId="49A70BBD" w14:textId="77777777" w:rsidR="00411064" w:rsidRPr="001E614B" w:rsidRDefault="00411064">
            <w:pPr>
              <w:spacing w:line="276" w:lineRule="auto"/>
              <w:ind w:left="-57" w:right="-57"/>
              <w:jc w:val="center"/>
              <w:rPr>
                <w:color w:val="000000"/>
                <w:sz w:val="14"/>
                <w:szCs w:val="14"/>
              </w:rPr>
            </w:pPr>
            <w:r w:rsidRPr="001E614B">
              <w:rPr>
                <w:color w:val="000000"/>
                <w:sz w:val="14"/>
                <w:szCs w:val="14"/>
              </w:rPr>
              <w:t>6</w:t>
            </w:r>
          </w:p>
        </w:tc>
        <w:tc>
          <w:tcPr>
            <w:tcW w:w="358" w:type="pct"/>
            <w:tcBorders>
              <w:top w:val="nil"/>
              <w:left w:val="nil"/>
              <w:bottom w:val="single" w:sz="4" w:space="0" w:color="auto"/>
              <w:right w:val="single" w:sz="4" w:space="0" w:color="auto"/>
            </w:tcBorders>
            <w:shd w:val="clear" w:color="auto" w:fill="auto"/>
            <w:vAlign w:val="center"/>
            <w:hideMark/>
          </w:tcPr>
          <w:p w14:paraId="287A201D" w14:textId="77777777" w:rsidR="00411064" w:rsidRPr="001E614B" w:rsidRDefault="00411064">
            <w:pPr>
              <w:spacing w:line="276" w:lineRule="auto"/>
              <w:ind w:left="-57" w:right="-57"/>
              <w:jc w:val="center"/>
              <w:rPr>
                <w:color w:val="000000"/>
                <w:sz w:val="14"/>
                <w:szCs w:val="14"/>
              </w:rPr>
            </w:pPr>
            <w:r w:rsidRPr="001E614B">
              <w:rPr>
                <w:color w:val="000000"/>
                <w:sz w:val="14"/>
                <w:szCs w:val="14"/>
              </w:rPr>
              <w:t>7</w:t>
            </w:r>
          </w:p>
        </w:tc>
        <w:tc>
          <w:tcPr>
            <w:tcW w:w="420" w:type="pct"/>
            <w:tcBorders>
              <w:top w:val="nil"/>
              <w:left w:val="nil"/>
              <w:bottom w:val="single" w:sz="4" w:space="0" w:color="auto"/>
              <w:right w:val="single" w:sz="4" w:space="0" w:color="auto"/>
            </w:tcBorders>
            <w:shd w:val="clear" w:color="auto" w:fill="auto"/>
            <w:vAlign w:val="center"/>
            <w:hideMark/>
          </w:tcPr>
          <w:p w14:paraId="702EB2D4" w14:textId="77777777" w:rsidR="00411064" w:rsidRPr="001E614B" w:rsidRDefault="00411064">
            <w:pPr>
              <w:spacing w:line="276" w:lineRule="auto"/>
              <w:ind w:left="-57" w:right="-57"/>
              <w:jc w:val="center"/>
              <w:rPr>
                <w:color w:val="000000"/>
                <w:sz w:val="14"/>
                <w:szCs w:val="14"/>
              </w:rPr>
            </w:pPr>
            <w:r w:rsidRPr="001E614B">
              <w:rPr>
                <w:color w:val="000000"/>
                <w:sz w:val="14"/>
                <w:szCs w:val="14"/>
              </w:rPr>
              <w:t>8=7/6*100</w:t>
            </w:r>
          </w:p>
        </w:tc>
        <w:tc>
          <w:tcPr>
            <w:tcW w:w="510" w:type="pct"/>
            <w:tcBorders>
              <w:top w:val="nil"/>
              <w:left w:val="nil"/>
              <w:bottom w:val="single" w:sz="4" w:space="0" w:color="auto"/>
              <w:right w:val="single" w:sz="4" w:space="0" w:color="auto"/>
            </w:tcBorders>
            <w:shd w:val="clear" w:color="auto" w:fill="auto"/>
            <w:vAlign w:val="center"/>
            <w:hideMark/>
          </w:tcPr>
          <w:p w14:paraId="4A8F54FE" w14:textId="77777777" w:rsidR="00411064" w:rsidRPr="001E614B" w:rsidRDefault="00411064">
            <w:pPr>
              <w:spacing w:line="276" w:lineRule="auto"/>
              <w:ind w:left="-57" w:right="-57"/>
              <w:jc w:val="center"/>
              <w:rPr>
                <w:color w:val="000000"/>
                <w:sz w:val="14"/>
                <w:szCs w:val="14"/>
              </w:rPr>
            </w:pPr>
            <w:r w:rsidRPr="001E614B">
              <w:rPr>
                <w:color w:val="000000"/>
                <w:sz w:val="14"/>
                <w:szCs w:val="14"/>
              </w:rPr>
              <w:t>9</w:t>
            </w:r>
          </w:p>
        </w:tc>
        <w:tc>
          <w:tcPr>
            <w:tcW w:w="356" w:type="pct"/>
            <w:tcBorders>
              <w:top w:val="nil"/>
              <w:left w:val="nil"/>
              <w:bottom w:val="single" w:sz="4" w:space="0" w:color="auto"/>
              <w:right w:val="single" w:sz="4" w:space="0" w:color="auto"/>
            </w:tcBorders>
            <w:shd w:val="clear" w:color="auto" w:fill="auto"/>
            <w:vAlign w:val="center"/>
            <w:hideMark/>
          </w:tcPr>
          <w:p w14:paraId="77BC765A" w14:textId="77777777" w:rsidR="00411064" w:rsidRPr="001E614B" w:rsidRDefault="00411064">
            <w:pPr>
              <w:spacing w:line="276" w:lineRule="auto"/>
              <w:ind w:left="-57" w:right="-57"/>
              <w:jc w:val="center"/>
              <w:rPr>
                <w:color w:val="000000"/>
                <w:sz w:val="14"/>
                <w:szCs w:val="14"/>
              </w:rPr>
            </w:pPr>
            <w:r w:rsidRPr="001E614B">
              <w:rPr>
                <w:color w:val="000000"/>
                <w:sz w:val="14"/>
                <w:szCs w:val="14"/>
              </w:rPr>
              <w:t>10</w:t>
            </w:r>
          </w:p>
        </w:tc>
        <w:tc>
          <w:tcPr>
            <w:tcW w:w="535" w:type="pct"/>
            <w:tcBorders>
              <w:top w:val="nil"/>
              <w:left w:val="nil"/>
              <w:bottom w:val="single" w:sz="4" w:space="0" w:color="auto"/>
              <w:right w:val="single" w:sz="4" w:space="0" w:color="auto"/>
            </w:tcBorders>
            <w:shd w:val="clear" w:color="auto" w:fill="auto"/>
            <w:vAlign w:val="center"/>
            <w:hideMark/>
          </w:tcPr>
          <w:p w14:paraId="141551FC" w14:textId="77777777" w:rsidR="00411064" w:rsidRPr="001E614B" w:rsidRDefault="00411064">
            <w:pPr>
              <w:spacing w:line="276" w:lineRule="auto"/>
              <w:ind w:left="-57" w:right="-57"/>
              <w:jc w:val="center"/>
              <w:rPr>
                <w:color w:val="000000"/>
                <w:sz w:val="14"/>
                <w:szCs w:val="14"/>
              </w:rPr>
            </w:pPr>
            <w:r w:rsidRPr="001E614B">
              <w:rPr>
                <w:color w:val="000000"/>
                <w:sz w:val="14"/>
                <w:szCs w:val="14"/>
              </w:rPr>
              <w:t>11=10/9*100</w:t>
            </w:r>
          </w:p>
        </w:tc>
      </w:tr>
      <w:tr w:rsidR="00411064" w:rsidRPr="001E614B" w14:paraId="3A0C99E4" w14:textId="77777777" w:rsidTr="00EB0D09">
        <w:trPr>
          <w:trHeight w:val="44"/>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6B938078" w14:textId="77777777" w:rsidR="00411064" w:rsidRPr="001E614B" w:rsidRDefault="00411064">
            <w:pPr>
              <w:spacing w:line="276" w:lineRule="auto"/>
              <w:ind w:left="-57" w:right="-57"/>
              <w:rPr>
                <w:b/>
                <w:bCs/>
                <w:color w:val="000000"/>
                <w:sz w:val="16"/>
                <w:szCs w:val="16"/>
              </w:rPr>
            </w:pPr>
            <w:r w:rsidRPr="001E614B">
              <w:rPr>
                <w:b/>
                <w:bCs/>
                <w:color w:val="000000"/>
                <w:sz w:val="16"/>
                <w:szCs w:val="16"/>
              </w:rPr>
              <w:t>Всего</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4B469F7" w14:textId="77777777" w:rsidR="00411064" w:rsidRPr="001E614B" w:rsidRDefault="00411064">
            <w:pPr>
              <w:spacing w:line="276" w:lineRule="auto"/>
              <w:ind w:left="-57" w:right="-57"/>
              <w:jc w:val="center"/>
              <w:rPr>
                <w:b/>
                <w:bCs/>
                <w:color w:val="000000"/>
                <w:spacing w:val="-6"/>
                <w:sz w:val="15"/>
                <w:szCs w:val="15"/>
              </w:rPr>
            </w:pPr>
            <w:r w:rsidRPr="001E614B">
              <w:rPr>
                <w:b/>
                <w:bCs/>
                <w:color w:val="000000"/>
                <w:spacing w:val="-6"/>
                <w:sz w:val="15"/>
                <w:szCs w:val="15"/>
              </w:rPr>
              <w:t>2 824 794,6</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851F1A2" w14:textId="77777777" w:rsidR="00411064" w:rsidRPr="001E614B" w:rsidRDefault="00411064">
            <w:pPr>
              <w:spacing w:line="276" w:lineRule="auto"/>
              <w:ind w:left="-57" w:right="-57"/>
              <w:jc w:val="center"/>
              <w:rPr>
                <w:b/>
                <w:bCs/>
                <w:color w:val="000000"/>
                <w:spacing w:val="-6"/>
                <w:sz w:val="15"/>
                <w:szCs w:val="15"/>
              </w:rPr>
            </w:pPr>
            <w:r w:rsidRPr="001E614B">
              <w:rPr>
                <w:b/>
                <w:bCs/>
                <w:color w:val="000000"/>
                <w:spacing w:val="-6"/>
                <w:sz w:val="15"/>
                <w:szCs w:val="15"/>
              </w:rPr>
              <w:t>2 416 372,4</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AAFC9F1" w14:textId="77777777" w:rsidR="00411064" w:rsidRPr="001E614B" w:rsidRDefault="00411064">
            <w:pPr>
              <w:spacing w:line="276" w:lineRule="auto"/>
              <w:ind w:left="-57" w:right="-57"/>
              <w:jc w:val="center"/>
              <w:rPr>
                <w:b/>
                <w:bCs/>
                <w:color w:val="000000"/>
                <w:spacing w:val="-6"/>
                <w:sz w:val="15"/>
                <w:szCs w:val="15"/>
              </w:rPr>
            </w:pPr>
            <w:r w:rsidRPr="001E614B">
              <w:rPr>
                <w:b/>
                <w:bCs/>
                <w:color w:val="000000"/>
                <w:spacing w:val="-6"/>
                <w:sz w:val="15"/>
                <w:szCs w:val="15"/>
              </w:rPr>
              <w:t>3 140 672,0</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4E2E038" w14:textId="77777777" w:rsidR="00411064" w:rsidRPr="001E614B" w:rsidRDefault="00411064">
            <w:pPr>
              <w:spacing w:line="276" w:lineRule="auto"/>
              <w:ind w:left="-57" w:right="-57"/>
              <w:jc w:val="center"/>
              <w:rPr>
                <w:b/>
                <w:bCs/>
                <w:color w:val="000000"/>
                <w:spacing w:val="-6"/>
                <w:sz w:val="15"/>
                <w:szCs w:val="15"/>
              </w:rPr>
            </w:pPr>
            <w:r w:rsidRPr="001E614B">
              <w:rPr>
                <w:b/>
                <w:bCs/>
                <w:color w:val="000000"/>
                <w:spacing w:val="-6"/>
                <w:sz w:val="15"/>
                <w:szCs w:val="15"/>
              </w:rPr>
              <w:t>130,0</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EC08A9F" w14:textId="77777777" w:rsidR="00411064" w:rsidRPr="001E614B" w:rsidRDefault="00411064">
            <w:pPr>
              <w:spacing w:line="276" w:lineRule="auto"/>
              <w:ind w:left="-57" w:right="-57"/>
              <w:jc w:val="center"/>
              <w:rPr>
                <w:b/>
                <w:bCs/>
                <w:color w:val="000000"/>
                <w:spacing w:val="-6"/>
                <w:sz w:val="15"/>
                <w:szCs w:val="15"/>
              </w:rPr>
            </w:pPr>
            <w:r w:rsidRPr="001E614B">
              <w:rPr>
                <w:b/>
                <w:bCs/>
                <w:color w:val="000000"/>
                <w:spacing w:val="-6"/>
                <w:sz w:val="15"/>
                <w:szCs w:val="15"/>
              </w:rPr>
              <w:t>2 583 555,0</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B930480" w14:textId="77777777" w:rsidR="00411064" w:rsidRPr="001E614B" w:rsidRDefault="00411064">
            <w:pPr>
              <w:spacing w:line="276" w:lineRule="auto"/>
              <w:ind w:left="-57" w:right="-57"/>
              <w:jc w:val="center"/>
              <w:rPr>
                <w:b/>
                <w:bCs/>
                <w:color w:val="000000"/>
                <w:spacing w:val="-6"/>
                <w:sz w:val="15"/>
                <w:szCs w:val="15"/>
              </w:rPr>
            </w:pPr>
            <w:r w:rsidRPr="001E614B">
              <w:rPr>
                <w:b/>
                <w:bCs/>
                <w:color w:val="000000"/>
                <w:spacing w:val="-6"/>
                <w:sz w:val="15"/>
                <w:szCs w:val="15"/>
              </w:rPr>
              <w:t>3 210 194,5</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2207D64" w14:textId="77777777" w:rsidR="00411064" w:rsidRPr="001E614B" w:rsidRDefault="00411064">
            <w:pPr>
              <w:spacing w:line="276" w:lineRule="auto"/>
              <w:ind w:left="-57" w:right="-57"/>
              <w:jc w:val="center"/>
              <w:rPr>
                <w:b/>
                <w:bCs/>
                <w:color w:val="000000"/>
                <w:spacing w:val="-6"/>
                <w:sz w:val="15"/>
                <w:szCs w:val="15"/>
              </w:rPr>
            </w:pPr>
            <w:r w:rsidRPr="001E614B">
              <w:rPr>
                <w:b/>
                <w:bCs/>
                <w:color w:val="000000"/>
                <w:spacing w:val="-6"/>
                <w:sz w:val="15"/>
                <w:szCs w:val="15"/>
              </w:rPr>
              <w:t>124,3</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3772579" w14:textId="77777777" w:rsidR="00411064" w:rsidRPr="001E614B" w:rsidRDefault="00411064">
            <w:pPr>
              <w:spacing w:line="276" w:lineRule="auto"/>
              <w:ind w:left="-57" w:right="-57"/>
              <w:jc w:val="center"/>
              <w:rPr>
                <w:b/>
                <w:bCs/>
                <w:color w:val="000000"/>
                <w:spacing w:val="-6"/>
                <w:sz w:val="15"/>
                <w:szCs w:val="15"/>
              </w:rPr>
            </w:pPr>
            <w:r w:rsidRPr="001E614B">
              <w:rPr>
                <w:b/>
                <w:bCs/>
                <w:color w:val="000000"/>
                <w:spacing w:val="-6"/>
                <w:sz w:val="15"/>
                <w:szCs w:val="15"/>
              </w:rPr>
              <w:t>2 739 098,7</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CE532A8" w14:textId="77777777" w:rsidR="00411064" w:rsidRPr="001E614B" w:rsidRDefault="00411064">
            <w:pPr>
              <w:spacing w:line="276" w:lineRule="auto"/>
              <w:ind w:left="-57" w:right="-57"/>
              <w:jc w:val="center"/>
              <w:rPr>
                <w:b/>
                <w:bCs/>
                <w:color w:val="000000"/>
                <w:spacing w:val="-6"/>
                <w:sz w:val="15"/>
                <w:szCs w:val="15"/>
              </w:rPr>
            </w:pPr>
            <w:r w:rsidRPr="001E614B">
              <w:rPr>
                <w:b/>
                <w:bCs/>
                <w:color w:val="000000"/>
                <w:spacing w:val="-6"/>
                <w:sz w:val="15"/>
                <w:szCs w:val="15"/>
              </w:rPr>
              <w:t>3 293 360,0</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FD50423" w14:textId="77777777" w:rsidR="00411064" w:rsidRPr="001E614B" w:rsidRDefault="00411064">
            <w:pPr>
              <w:spacing w:line="276" w:lineRule="auto"/>
              <w:ind w:left="-57" w:right="-57"/>
              <w:jc w:val="center"/>
              <w:rPr>
                <w:b/>
                <w:bCs/>
                <w:color w:val="000000"/>
                <w:spacing w:val="-6"/>
                <w:sz w:val="15"/>
                <w:szCs w:val="15"/>
              </w:rPr>
            </w:pPr>
            <w:r w:rsidRPr="001E614B">
              <w:rPr>
                <w:b/>
                <w:bCs/>
                <w:color w:val="000000"/>
                <w:spacing w:val="-6"/>
                <w:sz w:val="15"/>
                <w:szCs w:val="15"/>
              </w:rPr>
              <w:t>120,2</w:t>
            </w:r>
          </w:p>
        </w:tc>
      </w:tr>
      <w:tr w:rsidR="00411064" w:rsidRPr="001E614B" w14:paraId="17217604" w14:textId="77777777" w:rsidTr="00EB0D09">
        <w:trPr>
          <w:trHeight w:val="56"/>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10789E3E" w14:textId="77777777" w:rsidR="00411064" w:rsidRPr="001E614B" w:rsidRDefault="00411064">
            <w:pPr>
              <w:spacing w:line="276" w:lineRule="auto"/>
              <w:ind w:left="-57" w:right="-57"/>
              <w:jc w:val="both"/>
              <w:rPr>
                <w:color w:val="000000"/>
                <w:sz w:val="16"/>
                <w:szCs w:val="16"/>
              </w:rPr>
            </w:pPr>
            <w:r w:rsidRPr="001E614B">
              <w:rPr>
                <w:color w:val="000000"/>
                <w:sz w:val="16"/>
                <w:szCs w:val="16"/>
              </w:rPr>
              <w:t>Федеральные проекты</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E5B5EE7"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1 089 442,4</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254AE78"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1 201 940,2</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5B5F075"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1 049 101,5</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FD6A18E"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87,3</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800916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1 306 233,4</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8D663C6"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888 956,1</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3BE707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68,1</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BEDF87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1 409 832,3</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3611E7B"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848 204,4</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FDB3231"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60,2</w:t>
            </w:r>
          </w:p>
        </w:tc>
      </w:tr>
      <w:tr w:rsidR="00411064" w:rsidRPr="001E614B" w14:paraId="29E994BA" w14:textId="77777777" w:rsidTr="00EB0D09">
        <w:trPr>
          <w:trHeight w:val="259"/>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79B946CD" w14:textId="77777777" w:rsidR="00411064" w:rsidRPr="001E614B" w:rsidRDefault="00411064">
            <w:pPr>
              <w:spacing w:line="276" w:lineRule="auto"/>
              <w:ind w:left="-57" w:right="-57"/>
              <w:jc w:val="both"/>
              <w:rPr>
                <w:color w:val="000000"/>
                <w:sz w:val="16"/>
                <w:szCs w:val="16"/>
              </w:rPr>
            </w:pPr>
            <w:r w:rsidRPr="001E614B">
              <w:rPr>
                <w:color w:val="000000"/>
                <w:sz w:val="16"/>
                <w:szCs w:val="16"/>
              </w:rPr>
              <w:t>Федеральный проект «Модернизация сферы социального обслуживания и развитие сектора негосударственных организаций в сфере оказания социальных услуг»</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3DE0E06"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2 679,3</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8CCD739"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2 659,2</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5694D6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2 510,0</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3CBE60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94,4</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04554F1"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2 659,6</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ED881AF"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2 510,5</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2F3F22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94,4</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39D013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1 819,6</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9441596"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1 675,8</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3FCF255"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92,1</w:t>
            </w:r>
          </w:p>
        </w:tc>
      </w:tr>
      <w:tr w:rsidR="00411064" w:rsidRPr="001E614B" w14:paraId="6D5FD36A" w14:textId="77777777" w:rsidTr="00EB0D09">
        <w:trPr>
          <w:trHeight w:val="148"/>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00FB61FD" w14:textId="77777777" w:rsidR="00411064" w:rsidRPr="001E614B" w:rsidRDefault="00411064">
            <w:pPr>
              <w:spacing w:line="276" w:lineRule="auto"/>
              <w:ind w:left="-57" w:right="-57"/>
              <w:jc w:val="both"/>
              <w:rPr>
                <w:color w:val="000000"/>
                <w:sz w:val="16"/>
                <w:szCs w:val="16"/>
              </w:rPr>
            </w:pPr>
            <w:r w:rsidRPr="001E614B">
              <w:rPr>
                <w:color w:val="000000"/>
                <w:sz w:val="16"/>
                <w:szCs w:val="16"/>
              </w:rPr>
              <w:t>Федеральный проект «Содействие субъектам Российской Федерации в реализации адресной социальной поддержки граждан»</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6EAE626"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397 024,3</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C8C2556"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387 694,7</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78117E6"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249 619,2</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E7ED39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64,4</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287CCBA"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413 799,9</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EC5CDF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95 744,7</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57C5B9F"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23,1</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ED3AE36"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437 233,3</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9CF4A7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98 413,9</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067E8EE"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22,5</w:t>
            </w:r>
          </w:p>
        </w:tc>
      </w:tr>
      <w:tr w:rsidR="00411064" w:rsidRPr="001E614B" w14:paraId="514765CE" w14:textId="77777777" w:rsidTr="00EB0D09">
        <w:trPr>
          <w:trHeight w:val="110"/>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103E8B5D" w14:textId="77777777" w:rsidR="00411064" w:rsidRPr="001E614B" w:rsidRDefault="00411064">
            <w:pPr>
              <w:spacing w:line="276" w:lineRule="auto"/>
              <w:ind w:left="-57" w:right="-57"/>
              <w:jc w:val="both"/>
              <w:rPr>
                <w:color w:val="000000"/>
                <w:sz w:val="16"/>
                <w:szCs w:val="16"/>
              </w:rPr>
            </w:pPr>
            <w:r w:rsidRPr="001E614B">
              <w:rPr>
                <w:color w:val="000000"/>
                <w:sz w:val="16"/>
                <w:szCs w:val="16"/>
              </w:rPr>
              <w:t>Федеральный проект «Финансовая поддержка семей при рождении детей»</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A751A05"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677 000,1</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974043E"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798 007,6</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2D36A82"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777 457,7</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3A9C89B"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97,4</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381B1CE"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874 676,4</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18F215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769 669,3</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AFE3FC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88,0</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6E25C5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955 108,1</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4FE2657"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747 534,1</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511A72E"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78,3</w:t>
            </w:r>
          </w:p>
        </w:tc>
      </w:tr>
      <w:tr w:rsidR="00411064" w:rsidRPr="001E614B" w14:paraId="4063AC5B" w14:textId="77777777" w:rsidTr="00EB0D09">
        <w:trPr>
          <w:trHeight w:val="88"/>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3B195E5D" w14:textId="77777777" w:rsidR="00411064" w:rsidRPr="001E614B" w:rsidRDefault="00411064">
            <w:pPr>
              <w:spacing w:line="276" w:lineRule="auto"/>
              <w:ind w:left="-57" w:right="-57"/>
              <w:jc w:val="both"/>
              <w:rPr>
                <w:color w:val="000000"/>
                <w:sz w:val="16"/>
                <w:szCs w:val="16"/>
              </w:rPr>
            </w:pPr>
            <w:r w:rsidRPr="001E614B">
              <w:rPr>
                <w:color w:val="000000"/>
                <w:sz w:val="16"/>
                <w:szCs w:val="16"/>
              </w:rPr>
              <w:t>Федеральный проект «Старшее поколение»</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745D70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12 200,7</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D57C938"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13 040,8</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BCF255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18 975,0</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4D92737"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145,5</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9C25F4B"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15 097,5</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0CE92E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21 031,7</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FE61C1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139,3</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9D010A5"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15 097,5</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E1B5A90"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0,0</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A6E313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0,0</w:t>
            </w:r>
          </w:p>
        </w:tc>
      </w:tr>
      <w:tr w:rsidR="00411064" w:rsidRPr="001E614B" w14:paraId="33AD072C" w14:textId="77777777" w:rsidTr="00EB0D09">
        <w:trPr>
          <w:trHeight w:val="74"/>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4AD7E591" w14:textId="77777777" w:rsidR="00411064" w:rsidRPr="001E614B" w:rsidRDefault="00411064">
            <w:pPr>
              <w:spacing w:line="276" w:lineRule="auto"/>
              <w:ind w:left="-57" w:right="-57"/>
              <w:jc w:val="both"/>
              <w:rPr>
                <w:color w:val="000000"/>
                <w:sz w:val="16"/>
                <w:szCs w:val="16"/>
              </w:rPr>
            </w:pPr>
            <w:r w:rsidRPr="001E614B">
              <w:rPr>
                <w:color w:val="000000"/>
                <w:sz w:val="16"/>
                <w:szCs w:val="16"/>
              </w:rPr>
              <w:t>Комплексы процессных мероприятий</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78EC297"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1 735 352,2</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ACC0FA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1 214 432,2</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181F3C8"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2 091 570,5</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171FF46"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172,2</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D5ADC12"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1 277 321,6</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1B98ED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2 321 238,4</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6AA4C1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181,7</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E36C53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1 329 266,3</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639715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2 445 155,6</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4BD77E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183,9</w:t>
            </w:r>
          </w:p>
        </w:tc>
      </w:tr>
      <w:tr w:rsidR="00411064" w:rsidRPr="001E614B" w14:paraId="51E7212B" w14:textId="77777777" w:rsidTr="00EB0D09">
        <w:trPr>
          <w:trHeight w:val="222"/>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0FF8F64F" w14:textId="77777777" w:rsidR="00411064" w:rsidRPr="001E614B" w:rsidRDefault="00411064">
            <w:pPr>
              <w:spacing w:line="276" w:lineRule="auto"/>
              <w:ind w:left="-57" w:right="-57"/>
              <w:jc w:val="both"/>
              <w:rPr>
                <w:color w:val="000000"/>
                <w:sz w:val="16"/>
                <w:szCs w:val="16"/>
              </w:rPr>
            </w:pPr>
            <w:r w:rsidRPr="001E614B">
              <w:rPr>
                <w:color w:val="000000"/>
                <w:sz w:val="16"/>
                <w:szCs w:val="16"/>
              </w:rPr>
              <w:t>Комплекс процессных мероприятий «Предоставление мер социальной поддержки ветеранам Великой Отечественной войны и боевых действий»</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D0DE79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79 759,8</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979D90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83 295,8</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288C21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91 536,3</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38A6AEE"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109,9</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0351B5B"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87 263,4</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067454E"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97 467,8</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4DA939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111,7</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05D8C15"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91 462,2</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FD3D53F"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102 479,2</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CA8C700"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112,0</w:t>
            </w:r>
          </w:p>
        </w:tc>
      </w:tr>
      <w:tr w:rsidR="00411064" w:rsidRPr="001E614B" w14:paraId="60E7C214" w14:textId="77777777" w:rsidTr="00EB0D09">
        <w:trPr>
          <w:trHeight w:val="148"/>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2AF0441E" w14:textId="77777777" w:rsidR="00411064" w:rsidRPr="001E614B" w:rsidRDefault="00411064">
            <w:pPr>
              <w:spacing w:line="276" w:lineRule="auto"/>
              <w:ind w:left="-57" w:right="-57"/>
              <w:jc w:val="both"/>
              <w:rPr>
                <w:color w:val="000000"/>
                <w:sz w:val="16"/>
                <w:szCs w:val="16"/>
              </w:rPr>
            </w:pPr>
            <w:r w:rsidRPr="001E614B">
              <w:rPr>
                <w:color w:val="000000"/>
                <w:sz w:val="16"/>
                <w:szCs w:val="16"/>
              </w:rPr>
              <w:t>Комплекс процессных мероприятий «Предоставление мер государственной поддержки инвалидам»</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E71F00A"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339 758,4</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41291D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350 022,6</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772AA2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382 304,0</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4F625A2"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109,2</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20E89A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360 167,5</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2C472CF"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395 090,5</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5755B8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109,7</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245D65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368 652,1</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C3D72B8"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403 368,0</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C66DAE2"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109,4</w:t>
            </w:r>
          </w:p>
        </w:tc>
      </w:tr>
      <w:tr w:rsidR="00411064" w:rsidRPr="001E614B" w14:paraId="1C19B990" w14:textId="77777777" w:rsidTr="00EB0D09">
        <w:trPr>
          <w:trHeight w:val="148"/>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360D5906" w14:textId="77777777" w:rsidR="00411064" w:rsidRPr="001E614B" w:rsidRDefault="00411064">
            <w:pPr>
              <w:spacing w:line="276" w:lineRule="auto"/>
              <w:ind w:left="-57" w:right="-57"/>
              <w:jc w:val="both"/>
              <w:rPr>
                <w:color w:val="000000"/>
                <w:sz w:val="16"/>
                <w:szCs w:val="16"/>
              </w:rPr>
            </w:pPr>
            <w:r w:rsidRPr="001E614B">
              <w:rPr>
                <w:color w:val="000000"/>
                <w:sz w:val="16"/>
                <w:szCs w:val="16"/>
              </w:rPr>
              <w:t>Комплекс процессных мероприятий «Предоставление мер государственной поддержки семьям с детьми»</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91D1A4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558 376,1</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C856970"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213 564,8</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52AB326"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1 031 227,5</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2277AE5"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482,9</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FA25E9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228 804,8</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3146215"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1 218 170,7</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003B08B"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532,4</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898BA82"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242 881,1</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637EA5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1 309 537,0</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A26C328"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539,2</w:t>
            </w:r>
          </w:p>
        </w:tc>
      </w:tr>
      <w:tr w:rsidR="00411064" w:rsidRPr="001E614B" w14:paraId="09D2C41A" w14:textId="77777777" w:rsidTr="00EB0D09">
        <w:trPr>
          <w:trHeight w:val="148"/>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21F08F99" w14:textId="77777777" w:rsidR="00411064" w:rsidRPr="001E614B" w:rsidRDefault="00411064">
            <w:pPr>
              <w:spacing w:line="276" w:lineRule="auto"/>
              <w:ind w:left="-57" w:right="-57"/>
              <w:jc w:val="both"/>
              <w:rPr>
                <w:color w:val="000000"/>
                <w:sz w:val="16"/>
                <w:szCs w:val="16"/>
              </w:rPr>
            </w:pPr>
            <w:r w:rsidRPr="001E614B">
              <w:rPr>
                <w:color w:val="000000"/>
                <w:sz w:val="16"/>
                <w:szCs w:val="16"/>
              </w:rPr>
              <w:t>Комплекс процессных мероприятий «Предоставление мер социальной поддержки пенсионерам»</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4C1A299"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82 032,6</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3877C08"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94 627,5</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FAE1E70"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129 820,9</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5D29F3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137,2</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C336DA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111 488,0</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C037E7B"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136 524,9</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D181F9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122,5</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1815ED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119 713,4</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B213129"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141 141,3</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367A287"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117,9</w:t>
            </w:r>
          </w:p>
        </w:tc>
      </w:tr>
      <w:tr w:rsidR="00411064" w:rsidRPr="001E614B" w14:paraId="0685F6DA" w14:textId="77777777" w:rsidTr="00EB0D09">
        <w:trPr>
          <w:trHeight w:val="148"/>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75B9CF9E" w14:textId="77777777" w:rsidR="00411064" w:rsidRPr="001E614B" w:rsidRDefault="00411064">
            <w:pPr>
              <w:spacing w:line="276" w:lineRule="auto"/>
              <w:ind w:left="-57" w:right="-57"/>
              <w:jc w:val="both"/>
              <w:rPr>
                <w:color w:val="000000"/>
                <w:sz w:val="16"/>
                <w:szCs w:val="16"/>
              </w:rPr>
            </w:pPr>
            <w:r w:rsidRPr="001E614B">
              <w:rPr>
                <w:color w:val="000000"/>
                <w:sz w:val="16"/>
                <w:szCs w:val="16"/>
              </w:rPr>
              <w:t>Комплекс процессных мероприятий «Предоставление мер социальной поддержки отдельным категориям граждан»</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45EC6BF"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270 095,6</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2FB9262"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273 360,8</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82BA35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270 948,5</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D258C61"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99,1</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4874E4A"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279 989,3</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5D339D5"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276 809,3</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35E8F20"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98,9</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DA58416"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287 953,7</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1C90214"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283 119,2</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7619B0C"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98,3</w:t>
            </w:r>
          </w:p>
        </w:tc>
      </w:tr>
      <w:tr w:rsidR="00411064" w:rsidRPr="001E614B" w14:paraId="62C56A32" w14:textId="77777777" w:rsidTr="00EB0D09">
        <w:trPr>
          <w:trHeight w:val="498"/>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5C5BB45A" w14:textId="77777777" w:rsidR="00411064" w:rsidRPr="001E614B" w:rsidRDefault="00411064">
            <w:pPr>
              <w:spacing w:line="276" w:lineRule="auto"/>
              <w:ind w:left="-57" w:right="-57"/>
              <w:jc w:val="both"/>
              <w:rPr>
                <w:color w:val="000000"/>
                <w:sz w:val="16"/>
                <w:szCs w:val="16"/>
              </w:rPr>
            </w:pPr>
            <w:r w:rsidRPr="001E614B">
              <w:rPr>
                <w:color w:val="000000"/>
                <w:sz w:val="16"/>
                <w:szCs w:val="16"/>
              </w:rPr>
              <w:t>Комплекс процессных мероприятий «Предоставление мер государственной поддержки отдельным категориям государственных служащих, уволенным из их числа, военнослужащим, сотрудникам некоторых федеральных органов государственной власти, гражданам, проходившим военные сборы, инвалидам вследствие военной травмы, погибшим (умершим) или получившим увечья при исполнении служебных обязанностей, и членам их семей»</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522D28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210 273,9</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3F2C20E"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40 395,1</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30B847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44 552,4</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BE5292A"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110,3</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168EDA0"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41 971,5</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170E3E5"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46 457,1</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2E3C10E"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110,7</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671E91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43 283,5</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B08CBC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47 728,9</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B7DC398"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110,3</w:t>
            </w:r>
          </w:p>
        </w:tc>
      </w:tr>
      <w:tr w:rsidR="00411064" w:rsidRPr="001E614B" w14:paraId="70B8B464" w14:textId="77777777" w:rsidTr="00EB0D09">
        <w:trPr>
          <w:trHeight w:val="334"/>
        </w:trPr>
        <w:tc>
          <w:tcPr>
            <w:tcW w:w="963" w:type="pct"/>
            <w:tcBorders>
              <w:top w:val="nil"/>
              <w:left w:val="single" w:sz="4" w:space="0" w:color="auto"/>
              <w:bottom w:val="single" w:sz="4" w:space="0" w:color="auto"/>
              <w:right w:val="single" w:sz="4" w:space="0" w:color="auto"/>
            </w:tcBorders>
            <w:shd w:val="clear" w:color="auto" w:fill="auto"/>
            <w:vAlign w:val="center"/>
            <w:hideMark/>
          </w:tcPr>
          <w:p w14:paraId="4A87E10C" w14:textId="77777777" w:rsidR="00411064" w:rsidRPr="001E614B" w:rsidRDefault="00411064">
            <w:pPr>
              <w:spacing w:line="276" w:lineRule="auto"/>
              <w:ind w:left="-57" w:right="-57"/>
              <w:jc w:val="both"/>
              <w:rPr>
                <w:color w:val="000000"/>
                <w:sz w:val="16"/>
                <w:szCs w:val="16"/>
              </w:rPr>
            </w:pPr>
            <w:r w:rsidRPr="001E614B">
              <w:rPr>
                <w:color w:val="000000"/>
                <w:sz w:val="16"/>
                <w:szCs w:val="16"/>
              </w:rPr>
              <w:t>Комплекс процессных мероприятий «Предоставление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71"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9D15DE1"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15 322,0</w:t>
            </w:r>
          </w:p>
        </w:tc>
        <w:tc>
          <w:tcPr>
            <w:tcW w:w="382"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00B5661"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15 552,4</w:t>
            </w:r>
          </w:p>
        </w:tc>
        <w:tc>
          <w:tcPr>
            <w:tcW w:w="35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DFDB8AE"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16 611,4</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9A2C53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106,8</w:t>
            </w:r>
          </w:p>
        </w:tc>
        <w:tc>
          <w:tcPr>
            <w:tcW w:w="32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474152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16 011,1</w:t>
            </w:r>
          </w:p>
        </w:tc>
        <w:tc>
          <w:tcPr>
            <w:tcW w:w="35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45BB0D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17 388,0</w:t>
            </w:r>
          </w:p>
        </w:tc>
        <w:tc>
          <w:tcPr>
            <w:tcW w:w="42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C9CDD43"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108,6</w:t>
            </w:r>
          </w:p>
        </w:tc>
        <w:tc>
          <w:tcPr>
            <w:tcW w:w="510"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8E1180D"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16 485,4</w:t>
            </w:r>
          </w:p>
        </w:tc>
        <w:tc>
          <w:tcPr>
            <w:tcW w:w="35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E6473D9"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17 947,7</w:t>
            </w:r>
          </w:p>
        </w:tc>
        <w:tc>
          <w:tcPr>
            <w:tcW w:w="535"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EBD56D2" w14:textId="77777777" w:rsidR="00411064" w:rsidRPr="001E614B" w:rsidRDefault="00411064">
            <w:pPr>
              <w:spacing w:line="276" w:lineRule="auto"/>
              <w:ind w:left="-57" w:right="-57"/>
              <w:jc w:val="center"/>
              <w:rPr>
                <w:color w:val="000000"/>
                <w:spacing w:val="-6"/>
                <w:sz w:val="15"/>
                <w:szCs w:val="15"/>
              </w:rPr>
            </w:pPr>
            <w:r w:rsidRPr="001E614B">
              <w:rPr>
                <w:color w:val="000000"/>
                <w:spacing w:val="-6"/>
                <w:sz w:val="15"/>
                <w:szCs w:val="15"/>
              </w:rPr>
              <w:t>108,9</w:t>
            </w:r>
          </w:p>
        </w:tc>
      </w:tr>
    </w:tbl>
    <w:p w14:paraId="3B438C49" w14:textId="7028568D" w:rsidR="00EB0D09" w:rsidRDefault="00EB0D09" w:rsidP="00EB0D09">
      <w:pPr>
        <w:spacing w:line="276" w:lineRule="auto"/>
        <w:ind w:firstLine="709"/>
        <w:contextualSpacing/>
        <w:jc w:val="both"/>
        <w:rPr>
          <w:rFonts w:eastAsia="Calibri"/>
          <w:sz w:val="20"/>
          <w:szCs w:val="20"/>
        </w:rPr>
      </w:pPr>
      <w:r w:rsidRPr="00EB0D09">
        <w:rPr>
          <w:rFonts w:eastAsia="Calibri"/>
          <w:i/>
          <w:sz w:val="20"/>
          <w:szCs w:val="20"/>
        </w:rPr>
        <w:t>Источник</w:t>
      </w:r>
      <w:r w:rsidRPr="00EB0D09">
        <w:rPr>
          <w:rFonts w:eastAsia="Calibri"/>
          <w:sz w:val="20"/>
          <w:szCs w:val="20"/>
        </w:rPr>
        <w:t xml:space="preserve">: </w:t>
      </w:r>
      <w:r>
        <w:rPr>
          <w:rFonts w:eastAsia="Calibri"/>
          <w:sz w:val="20"/>
          <w:szCs w:val="20"/>
        </w:rPr>
        <w:t>Пояснительная записка</w:t>
      </w:r>
    </w:p>
    <w:p w14:paraId="568D4A4B" w14:textId="67DD896D" w:rsidR="00EB0D09" w:rsidRPr="00EB0D09" w:rsidRDefault="00EB0D09" w:rsidP="00EB0D09">
      <w:pPr>
        <w:spacing w:line="276" w:lineRule="auto"/>
        <w:ind w:firstLine="709"/>
        <w:contextualSpacing/>
        <w:jc w:val="both"/>
        <w:rPr>
          <w:rFonts w:eastAsia="Calibri"/>
          <w:sz w:val="20"/>
          <w:szCs w:val="20"/>
        </w:rPr>
      </w:pPr>
      <w:r>
        <w:rPr>
          <w:rFonts w:eastAsia="Calibri"/>
          <w:sz w:val="20"/>
          <w:szCs w:val="20"/>
        </w:rPr>
        <w:t>___________________</w:t>
      </w:r>
    </w:p>
    <w:p w14:paraId="78ED5523" w14:textId="05045E4B" w:rsidR="00411064" w:rsidRPr="00EB0D09" w:rsidRDefault="00EB0D09" w:rsidP="00411064">
      <w:pPr>
        <w:keepNext/>
        <w:spacing w:line="276" w:lineRule="auto"/>
        <w:ind w:firstLine="709"/>
        <w:contextualSpacing/>
        <w:jc w:val="both"/>
        <w:rPr>
          <w:color w:val="FF0000"/>
          <w:sz w:val="20"/>
          <w:szCs w:val="20"/>
        </w:rPr>
      </w:pPr>
      <w:r>
        <w:rPr>
          <w:sz w:val="20"/>
          <w:szCs w:val="20"/>
        </w:rPr>
        <w:t xml:space="preserve">Примечание - </w:t>
      </w:r>
      <w:r w:rsidR="00411064" w:rsidRPr="00EB0D09">
        <w:rPr>
          <w:sz w:val="20"/>
          <w:szCs w:val="20"/>
        </w:rPr>
        <w:t>* показатели сводной бюджетной росписи по состоянию на 1 сентября 2022 г.</w:t>
      </w:r>
      <w:r w:rsidR="00411064" w:rsidRPr="00EB0D09">
        <w:rPr>
          <w:color w:val="000000" w:themeColor="text1"/>
          <w:sz w:val="20"/>
          <w:szCs w:val="20"/>
        </w:rPr>
        <w:t xml:space="preserve"> </w:t>
      </w:r>
    </w:p>
    <w:p w14:paraId="3C25C038" w14:textId="77777777" w:rsidR="00411064" w:rsidRPr="007515F6" w:rsidRDefault="00411064" w:rsidP="00411064">
      <w:pPr>
        <w:spacing w:line="276" w:lineRule="auto"/>
        <w:ind w:firstLine="709"/>
        <w:contextualSpacing/>
        <w:jc w:val="both"/>
        <w:rPr>
          <w:rFonts w:ascii="Calibri" w:eastAsia="Calibri" w:hAnsi="Calibri"/>
        </w:rPr>
      </w:pPr>
    </w:p>
    <w:p w14:paraId="0F4C0933" w14:textId="01D7D152" w:rsidR="00411064" w:rsidRPr="001E614B" w:rsidRDefault="00411064" w:rsidP="00EB0D09">
      <w:pPr>
        <w:spacing w:line="360" w:lineRule="auto"/>
        <w:ind w:firstLine="709"/>
        <w:contextualSpacing/>
        <w:jc w:val="both"/>
        <w:rPr>
          <w:sz w:val="28"/>
          <w:szCs w:val="28"/>
        </w:rPr>
      </w:pPr>
      <w:r w:rsidRPr="001E614B">
        <w:rPr>
          <w:sz w:val="28"/>
          <w:szCs w:val="20"/>
        </w:rPr>
        <w:t>Из таблицы 1</w:t>
      </w:r>
      <w:r w:rsidR="00901ACF">
        <w:rPr>
          <w:sz w:val="28"/>
          <w:szCs w:val="20"/>
        </w:rPr>
        <w:t>5</w:t>
      </w:r>
      <w:r w:rsidRPr="001E614B">
        <w:rPr>
          <w:sz w:val="28"/>
          <w:szCs w:val="20"/>
        </w:rPr>
        <w:t xml:space="preserve"> видно, что бюджетные ассигнования, предусмотренные на реализацию государственной программы </w:t>
      </w:r>
      <w:r w:rsidRPr="001E614B">
        <w:rPr>
          <w:i/>
          <w:sz w:val="28"/>
          <w:szCs w:val="20"/>
        </w:rPr>
        <w:t>«Социальная поддержка граждан»</w:t>
      </w:r>
      <w:r w:rsidRPr="001E614B">
        <w:rPr>
          <w:sz w:val="28"/>
          <w:szCs w:val="20"/>
        </w:rPr>
        <w:t xml:space="preserve">, в 2023 году составят 3 140 672,0 </w:t>
      </w:r>
      <w:proofErr w:type="gramStart"/>
      <w:r w:rsidR="00E40C69">
        <w:rPr>
          <w:sz w:val="28"/>
          <w:szCs w:val="20"/>
        </w:rPr>
        <w:t>млн</w:t>
      </w:r>
      <w:proofErr w:type="gramEnd"/>
      <w:r>
        <w:rPr>
          <w:sz w:val="28"/>
          <w:szCs w:val="20"/>
        </w:rPr>
        <w:t xml:space="preserve"> руб.</w:t>
      </w:r>
      <w:r w:rsidRPr="001E614B">
        <w:rPr>
          <w:sz w:val="28"/>
          <w:szCs w:val="20"/>
        </w:rPr>
        <w:t>, в 2024 г</w:t>
      </w:r>
      <w:r>
        <w:rPr>
          <w:sz w:val="28"/>
          <w:szCs w:val="20"/>
        </w:rPr>
        <w:t xml:space="preserve">оду </w:t>
      </w:r>
      <w:r w:rsidRPr="001E614B">
        <w:rPr>
          <w:sz w:val="28"/>
          <w:szCs w:val="20"/>
        </w:rPr>
        <w:t xml:space="preserve">3 210 194,5 </w:t>
      </w:r>
      <w:r w:rsidR="00E40C69">
        <w:rPr>
          <w:sz w:val="28"/>
          <w:szCs w:val="20"/>
        </w:rPr>
        <w:t>млн</w:t>
      </w:r>
      <w:r>
        <w:rPr>
          <w:sz w:val="28"/>
          <w:szCs w:val="20"/>
        </w:rPr>
        <w:t xml:space="preserve"> руб.</w:t>
      </w:r>
      <w:r w:rsidRPr="001E614B">
        <w:rPr>
          <w:sz w:val="28"/>
          <w:szCs w:val="20"/>
        </w:rPr>
        <w:t xml:space="preserve"> и </w:t>
      </w:r>
      <w:r>
        <w:rPr>
          <w:sz w:val="28"/>
          <w:szCs w:val="20"/>
        </w:rPr>
        <w:t xml:space="preserve">в 2025 году </w:t>
      </w:r>
      <w:r w:rsidRPr="001E614B">
        <w:rPr>
          <w:sz w:val="28"/>
          <w:szCs w:val="20"/>
        </w:rPr>
        <w:t xml:space="preserve">3 293 360,0 </w:t>
      </w:r>
      <w:r w:rsidR="00E40C69">
        <w:rPr>
          <w:sz w:val="28"/>
          <w:szCs w:val="20"/>
        </w:rPr>
        <w:t>млн</w:t>
      </w:r>
      <w:r w:rsidRPr="001E614B">
        <w:rPr>
          <w:sz w:val="28"/>
          <w:szCs w:val="20"/>
        </w:rPr>
        <w:t xml:space="preserve"> </w:t>
      </w:r>
      <w:r>
        <w:rPr>
          <w:sz w:val="28"/>
          <w:szCs w:val="20"/>
        </w:rPr>
        <w:t>руб</w:t>
      </w:r>
      <w:r w:rsidRPr="001E614B">
        <w:rPr>
          <w:sz w:val="28"/>
          <w:szCs w:val="20"/>
        </w:rPr>
        <w:t>.</w:t>
      </w:r>
    </w:p>
    <w:p w14:paraId="7309AFBB" w14:textId="2E7F6991" w:rsidR="00411064" w:rsidRDefault="00411064" w:rsidP="00EB0D09">
      <w:pPr>
        <w:spacing w:line="360" w:lineRule="auto"/>
        <w:ind w:firstLine="709"/>
        <w:contextualSpacing/>
        <w:jc w:val="both"/>
        <w:rPr>
          <w:sz w:val="28"/>
          <w:szCs w:val="20"/>
        </w:rPr>
      </w:pPr>
      <w:r w:rsidRPr="001E614B">
        <w:rPr>
          <w:sz w:val="28"/>
          <w:szCs w:val="20"/>
        </w:rPr>
        <w:t xml:space="preserve">Предусмотренные в Законопроекте объемы бюджетных ассигнований по сравнению с объемами, утвержденными Законом № 390-ФЗ, в 2023 году увеличены на 724 299,6 </w:t>
      </w:r>
      <w:proofErr w:type="gramStart"/>
      <w:r w:rsidR="00E40C69">
        <w:rPr>
          <w:sz w:val="28"/>
          <w:szCs w:val="20"/>
        </w:rPr>
        <w:t>млн</w:t>
      </w:r>
      <w:proofErr w:type="gramEnd"/>
      <w:r>
        <w:rPr>
          <w:sz w:val="28"/>
          <w:szCs w:val="20"/>
        </w:rPr>
        <w:t xml:space="preserve"> руб., в 2024 году </w:t>
      </w:r>
      <w:r w:rsidRPr="001E614B">
        <w:rPr>
          <w:sz w:val="28"/>
          <w:szCs w:val="20"/>
        </w:rPr>
        <w:t xml:space="preserve">на 626 639,4 </w:t>
      </w:r>
      <w:r w:rsidR="00E40C69">
        <w:rPr>
          <w:sz w:val="28"/>
          <w:szCs w:val="20"/>
        </w:rPr>
        <w:t>млн</w:t>
      </w:r>
      <w:r>
        <w:rPr>
          <w:sz w:val="28"/>
          <w:szCs w:val="20"/>
        </w:rPr>
        <w:t xml:space="preserve"> руб.</w:t>
      </w:r>
      <w:r w:rsidRPr="001E614B">
        <w:rPr>
          <w:sz w:val="28"/>
          <w:szCs w:val="20"/>
        </w:rPr>
        <w:t xml:space="preserve">, в 2025 году по сравнению с показателями объема соответствующих расходов, установленных Бюджетным прогнозом увеличены на 554 261,3 </w:t>
      </w:r>
      <w:r w:rsidR="00E40C69">
        <w:rPr>
          <w:sz w:val="28"/>
          <w:szCs w:val="20"/>
        </w:rPr>
        <w:t>млн</w:t>
      </w:r>
      <w:r>
        <w:rPr>
          <w:sz w:val="28"/>
          <w:szCs w:val="20"/>
        </w:rPr>
        <w:t xml:space="preserve"> руб</w:t>
      </w:r>
      <w:r w:rsidRPr="001E614B">
        <w:rPr>
          <w:sz w:val="28"/>
          <w:szCs w:val="20"/>
        </w:rPr>
        <w:t>.</w:t>
      </w:r>
    </w:p>
    <w:p w14:paraId="55A7A0B4" w14:textId="77777777" w:rsidR="00411064" w:rsidRPr="009C4762" w:rsidRDefault="00411064" w:rsidP="00EB0D09">
      <w:pPr>
        <w:spacing w:line="360" w:lineRule="auto"/>
        <w:contextualSpacing/>
        <w:jc w:val="center"/>
        <w:rPr>
          <w:bCs/>
          <w:i/>
          <w:iCs/>
          <w:sz w:val="28"/>
          <w:szCs w:val="28"/>
        </w:rPr>
      </w:pPr>
      <w:bookmarkStart w:id="7" w:name="_Hlk116479976"/>
      <w:r w:rsidRPr="009C4762">
        <w:rPr>
          <w:bCs/>
          <w:i/>
          <w:iCs/>
          <w:sz w:val="28"/>
          <w:szCs w:val="28"/>
        </w:rPr>
        <w:t>Государственная программа «Демография и социальная политика»</w:t>
      </w:r>
    </w:p>
    <w:bookmarkEnd w:id="7"/>
    <w:p w14:paraId="1ACCF854" w14:textId="0F2786DE" w:rsidR="00411064" w:rsidRPr="00934D38" w:rsidRDefault="00411064" w:rsidP="00EB0D09">
      <w:pPr>
        <w:spacing w:line="360" w:lineRule="auto"/>
        <w:ind w:firstLine="709"/>
        <w:contextualSpacing/>
        <w:jc w:val="both"/>
        <w:rPr>
          <w:bCs/>
          <w:sz w:val="28"/>
          <w:szCs w:val="28"/>
          <w:lang w:bidi="ru-RU"/>
        </w:rPr>
      </w:pPr>
      <w:r w:rsidRPr="00934D38">
        <w:rPr>
          <w:sz w:val="28"/>
          <w:szCs w:val="28"/>
        </w:rPr>
        <w:t>По оценке Росстата, численность постоянного населения Российской Федерации на 1 августа 2022 г</w:t>
      </w:r>
      <w:r w:rsidR="00C571A0">
        <w:rPr>
          <w:sz w:val="28"/>
          <w:szCs w:val="28"/>
        </w:rPr>
        <w:t>ода</w:t>
      </w:r>
      <w:r w:rsidRPr="00934D38">
        <w:rPr>
          <w:sz w:val="28"/>
          <w:szCs w:val="28"/>
        </w:rPr>
        <w:t xml:space="preserve"> составила 145,1 </w:t>
      </w:r>
      <w:proofErr w:type="gramStart"/>
      <w:r w:rsidR="00E40C69">
        <w:rPr>
          <w:sz w:val="28"/>
          <w:szCs w:val="28"/>
        </w:rPr>
        <w:t>млн</w:t>
      </w:r>
      <w:proofErr w:type="gramEnd"/>
      <w:r w:rsidRPr="00934D38">
        <w:rPr>
          <w:sz w:val="28"/>
          <w:szCs w:val="28"/>
        </w:rPr>
        <w:t xml:space="preserve"> человек. С начала года численность населения сократилась на 475,5 тыс. человек, или на 0,32% (за аналог</w:t>
      </w:r>
      <w:r>
        <w:rPr>
          <w:sz w:val="28"/>
          <w:szCs w:val="28"/>
        </w:rPr>
        <w:t xml:space="preserve">ичный период предыдущего года </w:t>
      </w:r>
      <w:r w:rsidRPr="00934D38">
        <w:rPr>
          <w:sz w:val="28"/>
          <w:szCs w:val="28"/>
        </w:rPr>
        <w:t xml:space="preserve">уменьшилась на 351,5 тыс. человек, или на 0,24%). В </w:t>
      </w:r>
      <w:proofErr w:type="gramStart"/>
      <w:r w:rsidRPr="00934D38">
        <w:rPr>
          <w:sz w:val="28"/>
          <w:szCs w:val="28"/>
        </w:rPr>
        <w:t>январе-июле</w:t>
      </w:r>
      <w:proofErr w:type="gramEnd"/>
      <w:r w:rsidRPr="00934D38">
        <w:rPr>
          <w:sz w:val="28"/>
          <w:szCs w:val="28"/>
        </w:rPr>
        <w:t xml:space="preserve"> 2022 г</w:t>
      </w:r>
      <w:r w:rsidR="00C571A0">
        <w:rPr>
          <w:sz w:val="28"/>
          <w:szCs w:val="28"/>
        </w:rPr>
        <w:t>ода</w:t>
      </w:r>
      <w:r w:rsidRPr="00934D38">
        <w:rPr>
          <w:sz w:val="28"/>
          <w:szCs w:val="28"/>
        </w:rPr>
        <w:t xml:space="preserve"> наряду с естественной убылью (-401,6) тыс. человек наблюдался и миграционный отток (-73,9) тыс. человек.</w:t>
      </w:r>
      <w:r w:rsidRPr="00934D38">
        <w:rPr>
          <w:b/>
          <w:bCs/>
          <w:color w:val="000000"/>
          <w:sz w:val="19"/>
          <w:szCs w:val="19"/>
          <w:lang w:bidi="ru-RU"/>
        </w:rPr>
        <w:t xml:space="preserve"> </w:t>
      </w:r>
      <w:r w:rsidRPr="00934D38">
        <w:rPr>
          <w:bCs/>
          <w:sz w:val="28"/>
          <w:szCs w:val="28"/>
          <w:lang w:bidi="ru-RU"/>
        </w:rPr>
        <w:t xml:space="preserve">В </w:t>
      </w:r>
      <w:proofErr w:type="gramStart"/>
      <w:r w:rsidRPr="00934D38">
        <w:rPr>
          <w:bCs/>
          <w:sz w:val="28"/>
          <w:szCs w:val="28"/>
          <w:lang w:bidi="ru-RU"/>
        </w:rPr>
        <w:t>январе-июле</w:t>
      </w:r>
      <w:proofErr w:type="gramEnd"/>
      <w:r w:rsidRPr="00934D38">
        <w:rPr>
          <w:bCs/>
          <w:sz w:val="28"/>
          <w:szCs w:val="28"/>
          <w:lang w:bidi="ru-RU"/>
        </w:rPr>
        <w:t xml:space="preserve"> 2022 </w:t>
      </w:r>
      <w:r w:rsidR="00C571A0">
        <w:rPr>
          <w:bCs/>
          <w:sz w:val="28"/>
          <w:szCs w:val="28"/>
          <w:lang w:bidi="ru-RU"/>
        </w:rPr>
        <w:t>года</w:t>
      </w:r>
      <w:r w:rsidRPr="00934D38">
        <w:rPr>
          <w:bCs/>
          <w:sz w:val="28"/>
          <w:szCs w:val="28"/>
          <w:lang w:bidi="ru-RU"/>
        </w:rPr>
        <w:t xml:space="preserve"> по сравнению с аналогичным периодом 2021 г</w:t>
      </w:r>
      <w:r w:rsidR="00C571A0">
        <w:rPr>
          <w:bCs/>
          <w:sz w:val="28"/>
          <w:szCs w:val="28"/>
          <w:lang w:bidi="ru-RU"/>
        </w:rPr>
        <w:t>ода</w:t>
      </w:r>
      <w:r w:rsidRPr="00934D38">
        <w:rPr>
          <w:bCs/>
          <w:sz w:val="28"/>
          <w:szCs w:val="28"/>
          <w:lang w:bidi="ru-RU"/>
        </w:rPr>
        <w:t xml:space="preserve"> в России отмечалось снижение числа родившихся (в 81 субъекте Российской Федерации) и числа умерших (в 78 субъектах).</w:t>
      </w:r>
    </w:p>
    <w:p w14:paraId="445F6750" w14:textId="6D639B38" w:rsidR="00411064" w:rsidRDefault="00411064" w:rsidP="00EB0D09">
      <w:pPr>
        <w:spacing w:line="360" w:lineRule="auto"/>
        <w:ind w:firstLine="709"/>
        <w:contextualSpacing/>
        <w:jc w:val="both"/>
        <w:rPr>
          <w:bCs/>
          <w:sz w:val="28"/>
          <w:szCs w:val="28"/>
          <w:lang w:bidi="ru-RU"/>
        </w:rPr>
      </w:pPr>
      <w:r w:rsidRPr="00934D38">
        <w:rPr>
          <w:bCs/>
          <w:noProof/>
          <w:sz w:val="28"/>
          <w:szCs w:val="28"/>
        </w:rPr>
        <mc:AlternateContent>
          <mc:Choice Requires="wps">
            <w:drawing>
              <wp:anchor distT="0" distB="0" distL="63500" distR="731520" simplePos="0" relativeHeight="251660288" behindDoc="1" locked="0" layoutInCell="1" allowOverlap="1" wp14:anchorId="29EF948A" wp14:editId="245FFCA2">
                <wp:simplePos x="0" y="0"/>
                <wp:positionH relativeFrom="margin">
                  <wp:posOffset>3420110</wp:posOffset>
                </wp:positionH>
                <wp:positionV relativeFrom="paragraph">
                  <wp:posOffset>2897505</wp:posOffset>
                </wp:positionV>
                <wp:extent cx="1310640" cy="222250"/>
                <wp:effectExtent l="635" t="1905" r="3175" b="3175"/>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203A2" w14:textId="77777777" w:rsidR="00005928" w:rsidRDefault="00005928" w:rsidP="00411064">
                            <w:pPr>
                              <w:tabs>
                                <w:tab w:val="left" w:pos="1536"/>
                              </w:tabs>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69.3pt;margin-top:228.15pt;width:103.2pt;height:17.5pt;z-index:-251656192;visibility:visible;mso-wrap-style:square;mso-width-percent:0;mso-height-percent:0;mso-wrap-distance-left:5pt;mso-wrap-distance-top:0;mso-wrap-distance-right:57.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" filled="f" stroked="f">
                <v:textbox style="mso-fit-shape-to-text:t" inset="0,0,0,0">
                  <w:txbxContent>
                    <w:p w14:paraId="108203A2" w14:textId="77777777" w:rsidR="00005928" w:rsidRDefault="00005928" w:rsidP="00411064">
                      <w:pPr>
                        <w:tabs>
                          <w:tab w:val="left" w:pos="1536"/>
                        </w:tabs>
                        <w:spacing w:line="170" w:lineRule="exact"/>
                      </w:pPr>
                    </w:p>
                  </w:txbxContent>
                </v:textbox>
                <w10:wrap type="topAndBottom" anchorx="margin"/>
              </v:shape>
            </w:pict>
          </mc:Fallback>
        </mc:AlternateContent>
      </w:r>
      <w:r w:rsidRPr="00934D38">
        <w:rPr>
          <w:bCs/>
          <w:sz w:val="28"/>
          <w:szCs w:val="28"/>
          <w:lang w:bidi="ru-RU"/>
        </w:rPr>
        <w:t xml:space="preserve">В </w:t>
      </w:r>
      <w:proofErr w:type="gramStart"/>
      <w:r w:rsidRPr="00934D38">
        <w:rPr>
          <w:bCs/>
          <w:sz w:val="28"/>
          <w:szCs w:val="28"/>
          <w:lang w:bidi="ru-RU"/>
        </w:rPr>
        <w:t>целом</w:t>
      </w:r>
      <w:proofErr w:type="gramEnd"/>
      <w:r w:rsidRPr="00934D38">
        <w:rPr>
          <w:bCs/>
          <w:sz w:val="28"/>
          <w:szCs w:val="28"/>
          <w:lang w:bidi="ru-RU"/>
        </w:rPr>
        <w:t xml:space="preserve"> по стране в январе-июле 2022 г</w:t>
      </w:r>
      <w:r w:rsidR="00C571A0">
        <w:rPr>
          <w:bCs/>
          <w:sz w:val="28"/>
          <w:szCs w:val="28"/>
          <w:lang w:bidi="ru-RU"/>
        </w:rPr>
        <w:t>ода</w:t>
      </w:r>
      <w:r w:rsidRPr="00934D38">
        <w:rPr>
          <w:bCs/>
          <w:sz w:val="28"/>
          <w:szCs w:val="28"/>
          <w:lang w:bidi="ru-RU"/>
        </w:rPr>
        <w:t xml:space="preserve"> число умерших превысило число родившихся в 1,5 раза (в январе-июле</w:t>
      </w:r>
      <w:r>
        <w:rPr>
          <w:bCs/>
          <w:sz w:val="28"/>
          <w:szCs w:val="28"/>
          <w:lang w:bidi="ru-RU"/>
        </w:rPr>
        <w:t xml:space="preserve"> 2021 г</w:t>
      </w:r>
      <w:r w:rsidR="00C571A0">
        <w:rPr>
          <w:bCs/>
          <w:sz w:val="28"/>
          <w:szCs w:val="28"/>
          <w:lang w:bidi="ru-RU"/>
        </w:rPr>
        <w:t>ода</w:t>
      </w:r>
      <w:r>
        <w:rPr>
          <w:bCs/>
          <w:sz w:val="28"/>
          <w:szCs w:val="28"/>
          <w:lang w:bidi="ru-RU"/>
        </w:rPr>
        <w:t xml:space="preserve"> </w:t>
      </w:r>
      <w:r w:rsidRPr="00934D38">
        <w:rPr>
          <w:bCs/>
          <w:sz w:val="28"/>
          <w:szCs w:val="28"/>
          <w:lang w:bidi="ru-RU"/>
        </w:rPr>
        <w:t xml:space="preserve">в 1,6 раза), в 59 субъектах Российской Федерации это превышение составило 1,5-2,9 раза </w:t>
      </w:r>
      <w:r>
        <w:rPr>
          <w:bCs/>
          <w:sz w:val="28"/>
          <w:szCs w:val="28"/>
          <w:lang w:bidi="ru-RU"/>
        </w:rPr>
        <w:t>(</w:t>
      </w:r>
      <w:r w:rsidRPr="00934D38">
        <w:rPr>
          <w:bCs/>
          <w:sz w:val="28"/>
          <w:szCs w:val="28"/>
          <w:lang w:bidi="ru-RU"/>
        </w:rPr>
        <w:t>рис</w:t>
      </w:r>
      <w:r w:rsidR="00EB0D09">
        <w:rPr>
          <w:bCs/>
          <w:sz w:val="28"/>
          <w:szCs w:val="28"/>
          <w:lang w:bidi="ru-RU"/>
        </w:rPr>
        <w:t>унок 4</w:t>
      </w:r>
      <w:r>
        <w:rPr>
          <w:bCs/>
          <w:sz w:val="28"/>
          <w:szCs w:val="28"/>
          <w:lang w:bidi="ru-RU"/>
        </w:rPr>
        <w:t>)</w:t>
      </w:r>
      <w:r w:rsidRPr="00934D38">
        <w:rPr>
          <w:bCs/>
          <w:sz w:val="28"/>
          <w:szCs w:val="28"/>
          <w:lang w:bidi="ru-RU"/>
        </w:rPr>
        <w:t>.</w:t>
      </w:r>
    </w:p>
    <w:p w14:paraId="635E6A17" w14:textId="77777777" w:rsidR="00EB0D09" w:rsidRPr="00934D38" w:rsidRDefault="00EB0D09" w:rsidP="00EB0D09">
      <w:pPr>
        <w:spacing w:line="360" w:lineRule="auto"/>
        <w:ind w:firstLine="709"/>
        <w:contextualSpacing/>
        <w:jc w:val="both"/>
        <w:rPr>
          <w:bCs/>
          <w:sz w:val="28"/>
          <w:szCs w:val="28"/>
          <w:lang w:bidi="ru-RU"/>
        </w:rPr>
      </w:pPr>
    </w:p>
    <w:p w14:paraId="1B0B35C4" w14:textId="77777777" w:rsidR="00411064" w:rsidRPr="00934D38" w:rsidRDefault="00411064" w:rsidP="00EB0D09">
      <w:pPr>
        <w:spacing w:line="276" w:lineRule="auto"/>
        <w:jc w:val="both"/>
        <w:rPr>
          <w:sz w:val="28"/>
          <w:szCs w:val="28"/>
        </w:rPr>
      </w:pPr>
      <w:r w:rsidRPr="00934D38">
        <w:rPr>
          <w:noProof/>
        </w:rPr>
        <w:drawing>
          <wp:inline distT="0" distB="0" distL="0" distR="0" wp14:anchorId="24CD1A8D" wp14:editId="3E115547">
            <wp:extent cx="5284563" cy="19497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918" t="33278" r="34995" b="29714"/>
                    <a:stretch/>
                  </pic:blipFill>
                  <pic:spPr bwMode="auto">
                    <a:xfrm>
                      <a:off x="0" y="0"/>
                      <a:ext cx="5408395" cy="1995428"/>
                    </a:xfrm>
                    <a:prstGeom prst="rect">
                      <a:avLst/>
                    </a:prstGeom>
                    <a:ln>
                      <a:noFill/>
                    </a:ln>
                    <a:extLst>
                      <a:ext uri="{53640926-AAD7-44D8-BBD7-CCE9431645EC}">
                        <a14:shadowObscured xmlns:a14="http://schemas.microsoft.com/office/drawing/2010/main"/>
                      </a:ext>
                    </a:extLst>
                  </pic:spPr>
                </pic:pic>
              </a:graphicData>
            </a:graphic>
          </wp:inline>
        </w:drawing>
      </w:r>
    </w:p>
    <w:p w14:paraId="3558D433" w14:textId="3C227CF3" w:rsidR="00EB0D09" w:rsidRDefault="00EB0D09" w:rsidP="00EB0D09">
      <w:pPr>
        <w:spacing w:line="276" w:lineRule="auto"/>
        <w:contextualSpacing/>
        <w:jc w:val="both"/>
        <w:rPr>
          <w:rFonts w:eastAsia="Calibri"/>
          <w:sz w:val="20"/>
          <w:szCs w:val="20"/>
        </w:rPr>
      </w:pPr>
      <w:r w:rsidRPr="00EB0D09">
        <w:rPr>
          <w:rFonts w:eastAsia="Calibri"/>
          <w:i/>
          <w:iCs/>
          <w:sz w:val="20"/>
          <w:szCs w:val="20"/>
        </w:rPr>
        <w:t>Источник:</w:t>
      </w:r>
      <w:r>
        <w:rPr>
          <w:rFonts w:eastAsia="Calibri"/>
          <w:sz w:val="20"/>
          <w:szCs w:val="20"/>
        </w:rPr>
        <w:t xml:space="preserve"> </w:t>
      </w:r>
      <w:r w:rsidRPr="00742EF3">
        <w:rPr>
          <w:rFonts w:eastAsia="Calibri"/>
          <w:sz w:val="20"/>
          <w:szCs w:val="20"/>
        </w:rPr>
        <w:t xml:space="preserve">составлено по </w:t>
      </w:r>
      <w:r>
        <w:rPr>
          <w:rFonts w:eastAsia="Calibri"/>
          <w:sz w:val="20"/>
          <w:szCs w:val="20"/>
        </w:rPr>
        <w:t>данным</w:t>
      </w:r>
      <w:r w:rsidRPr="00742EF3">
        <w:rPr>
          <w:rFonts w:eastAsia="Calibri"/>
          <w:sz w:val="20"/>
          <w:szCs w:val="20"/>
        </w:rPr>
        <w:t xml:space="preserve"> Росстата</w:t>
      </w:r>
      <w:r>
        <w:rPr>
          <w:rFonts w:eastAsia="Calibri"/>
          <w:sz w:val="20"/>
          <w:szCs w:val="20"/>
        </w:rPr>
        <w:t xml:space="preserve"> – </w:t>
      </w:r>
      <w:r>
        <w:rPr>
          <w:rFonts w:eastAsia="Calibri"/>
          <w:sz w:val="20"/>
          <w:szCs w:val="20"/>
          <w:lang w:val="en-US"/>
        </w:rPr>
        <w:t>URL</w:t>
      </w:r>
      <w:r w:rsidRPr="00742EF3">
        <w:rPr>
          <w:rFonts w:eastAsia="Calibri"/>
          <w:sz w:val="20"/>
          <w:szCs w:val="20"/>
        </w:rPr>
        <w:t>:</w:t>
      </w:r>
      <w:r>
        <w:rPr>
          <w:rFonts w:eastAsia="Calibri"/>
          <w:sz w:val="20"/>
          <w:szCs w:val="20"/>
          <w:lang w:val="en-US"/>
        </w:rPr>
        <w:t>http</w:t>
      </w:r>
      <w:r w:rsidRPr="00742EF3">
        <w:rPr>
          <w:rFonts w:eastAsia="Calibri"/>
          <w:sz w:val="20"/>
          <w:szCs w:val="20"/>
        </w:rPr>
        <w:t>://</w:t>
      </w:r>
      <w:r>
        <w:rPr>
          <w:rFonts w:eastAsia="Calibri"/>
          <w:sz w:val="20"/>
          <w:szCs w:val="20"/>
          <w:lang w:val="en-US"/>
        </w:rPr>
        <w:t>www</w:t>
      </w:r>
      <w:r w:rsidRPr="00742EF3">
        <w:rPr>
          <w:rFonts w:eastAsia="Calibri"/>
          <w:sz w:val="20"/>
          <w:szCs w:val="20"/>
        </w:rPr>
        <w:t>.</w:t>
      </w:r>
      <w:proofErr w:type="spellStart"/>
      <w:r>
        <w:rPr>
          <w:rFonts w:eastAsia="Calibri"/>
          <w:sz w:val="20"/>
          <w:szCs w:val="20"/>
          <w:lang w:val="en-US"/>
        </w:rPr>
        <w:t>gks</w:t>
      </w:r>
      <w:proofErr w:type="spellEnd"/>
      <w:r w:rsidRPr="00742EF3">
        <w:rPr>
          <w:rFonts w:eastAsia="Calibri"/>
          <w:sz w:val="20"/>
          <w:szCs w:val="20"/>
        </w:rPr>
        <w:t>.</w:t>
      </w:r>
      <w:proofErr w:type="spellStart"/>
      <w:r>
        <w:rPr>
          <w:rFonts w:eastAsia="Calibri"/>
          <w:sz w:val="20"/>
          <w:szCs w:val="20"/>
          <w:lang w:val="en-US"/>
        </w:rPr>
        <w:t>ru</w:t>
      </w:r>
      <w:proofErr w:type="spellEnd"/>
      <w:r w:rsidRPr="00742EF3">
        <w:rPr>
          <w:rFonts w:eastAsia="Calibri"/>
          <w:sz w:val="20"/>
          <w:szCs w:val="20"/>
        </w:rPr>
        <w:t xml:space="preserve"> (</w:t>
      </w:r>
      <w:r>
        <w:rPr>
          <w:rFonts w:eastAsia="Calibri"/>
          <w:sz w:val="20"/>
          <w:szCs w:val="20"/>
        </w:rPr>
        <w:t>дата обращения: 09.10.22)</w:t>
      </w:r>
    </w:p>
    <w:p w14:paraId="181A618B" w14:textId="750AAB41" w:rsidR="00411064" w:rsidRPr="00EB0D09" w:rsidRDefault="00411064" w:rsidP="00EB0D09">
      <w:pPr>
        <w:spacing w:line="276" w:lineRule="auto"/>
        <w:contextualSpacing/>
        <w:jc w:val="both"/>
        <w:rPr>
          <w:bCs/>
          <w:sz w:val="28"/>
          <w:szCs w:val="28"/>
        </w:rPr>
      </w:pPr>
      <w:r w:rsidRPr="00EB0D09">
        <w:rPr>
          <w:bCs/>
          <w:sz w:val="28"/>
          <w:szCs w:val="28"/>
        </w:rPr>
        <w:t xml:space="preserve">Рисунок </w:t>
      </w:r>
      <w:r w:rsidR="00EB0D09" w:rsidRPr="00EB0D09">
        <w:rPr>
          <w:bCs/>
          <w:sz w:val="28"/>
          <w:szCs w:val="28"/>
        </w:rPr>
        <w:t xml:space="preserve">4 - </w:t>
      </w:r>
      <w:r w:rsidRPr="00EB0D09">
        <w:rPr>
          <w:bCs/>
          <w:sz w:val="28"/>
          <w:szCs w:val="28"/>
        </w:rPr>
        <w:t>Число родившихся и умерших за период 2021-2022 г</w:t>
      </w:r>
      <w:r w:rsidR="00EB0D09">
        <w:rPr>
          <w:bCs/>
          <w:sz w:val="28"/>
          <w:szCs w:val="28"/>
        </w:rPr>
        <w:t>одов</w:t>
      </w:r>
      <w:r w:rsidRPr="00EB0D09">
        <w:rPr>
          <w:bCs/>
          <w:sz w:val="28"/>
          <w:szCs w:val="28"/>
        </w:rPr>
        <w:t>, тыс. чел.</w:t>
      </w:r>
    </w:p>
    <w:p w14:paraId="37FC3C44" w14:textId="77777777" w:rsidR="00411064" w:rsidRPr="00934D38" w:rsidRDefault="00411064" w:rsidP="00411064">
      <w:pPr>
        <w:spacing w:line="276" w:lineRule="auto"/>
        <w:ind w:firstLine="709"/>
        <w:contextualSpacing/>
        <w:jc w:val="both"/>
      </w:pPr>
    </w:p>
    <w:p w14:paraId="62A0C382" w14:textId="60959793" w:rsidR="00411064" w:rsidRDefault="00411064" w:rsidP="00EB0D09">
      <w:pPr>
        <w:spacing w:line="360" w:lineRule="auto"/>
        <w:ind w:firstLine="709"/>
        <w:contextualSpacing/>
        <w:jc w:val="both"/>
        <w:rPr>
          <w:sz w:val="28"/>
          <w:szCs w:val="28"/>
        </w:rPr>
      </w:pPr>
      <w:r>
        <w:rPr>
          <w:sz w:val="28"/>
          <w:szCs w:val="28"/>
        </w:rPr>
        <w:t xml:space="preserve">В таблице </w:t>
      </w:r>
      <w:r w:rsidR="00E22C11">
        <w:rPr>
          <w:sz w:val="28"/>
          <w:szCs w:val="28"/>
        </w:rPr>
        <w:t>1</w:t>
      </w:r>
      <w:r w:rsidR="00901ACF">
        <w:rPr>
          <w:sz w:val="28"/>
          <w:szCs w:val="28"/>
        </w:rPr>
        <w:t>6</w:t>
      </w:r>
      <w:r w:rsidRPr="00934D38">
        <w:rPr>
          <w:sz w:val="28"/>
          <w:szCs w:val="28"/>
        </w:rPr>
        <w:t xml:space="preserve"> приведены</w:t>
      </w:r>
      <w:r w:rsidRPr="00934D38">
        <w:t xml:space="preserve"> </w:t>
      </w:r>
      <w:r w:rsidRPr="00934D38">
        <w:rPr>
          <w:sz w:val="28"/>
          <w:szCs w:val="28"/>
        </w:rPr>
        <w:t>показатели естественного движения населения</w:t>
      </w:r>
      <w:r>
        <w:rPr>
          <w:sz w:val="28"/>
          <w:szCs w:val="28"/>
        </w:rPr>
        <w:t xml:space="preserve"> за </w:t>
      </w:r>
      <w:r w:rsidR="00EB0D09">
        <w:rPr>
          <w:sz w:val="28"/>
          <w:szCs w:val="28"/>
          <w:lang w:val="en-US"/>
        </w:rPr>
        <w:t>I</w:t>
      </w:r>
      <w:r>
        <w:rPr>
          <w:sz w:val="28"/>
          <w:szCs w:val="28"/>
        </w:rPr>
        <w:t xml:space="preserve"> полугодие 2021-2022 г</w:t>
      </w:r>
      <w:r w:rsidR="00EB0D09">
        <w:rPr>
          <w:sz w:val="28"/>
          <w:szCs w:val="28"/>
        </w:rPr>
        <w:t>одов.</w:t>
      </w:r>
      <w:r w:rsidRPr="00934D38">
        <w:rPr>
          <w:sz w:val="28"/>
          <w:szCs w:val="28"/>
        </w:rPr>
        <w:t xml:space="preserve"> Рассмотрим показатель «естественный прирост (убыль) населения», который определяется как разность числа родившихся и числа умерших на данной территории за определённый период, как </w:t>
      </w:r>
      <w:proofErr w:type="gramStart"/>
      <w:r w:rsidRPr="00934D38">
        <w:rPr>
          <w:sz w:val="28"/>
          <w:szCs w:val="28"/>
        </w:rPr>
        <w:t>правило</w:t>
      </w:r>
      <w:proofErr w:type="gramEnd"/>
      <w:r w:rsidRPr="00934D38">
        <w:rPr>
          <w:sz w:val="28"/>
          <w:szCs w:val="28"/>
        </w:rPr>
        <w:t xml:space="preserve"> за год. Показатель может быть положительным, отрицательным и равным нулю в зависимости от соотношения уровней и динамики рождаемости и смертности.</w:t>
      </w:r>
      <w:r w:rsidRPr="00934D38">
        <w:t xml:space="preserve"> </w:t>
      </w:r>
      <w:r w:rsidRPr="00934D38">
        <w:rPr>
          <w:sz w:val="28"/>
          <w:szCs w:val="28"/>
        </w:rPr>
        <w:t>Коэффициент естественного прироста (убыль) населения характеризует темп роста (убыли) населения за счет превышения числа рождений над числом смертей; равен разности между коэффициентом рождаемости и смертности или выраженному в промилле</w:t>
      </w:r>
      <w:proofErr w:type="gramStart"/>
      <w:r w:rsidRPr="00934D38">
        <w:rPr>
          <w:sz w:val="28"/>
          <w:szCs w:val="28"/>
        </w:rPr>
        <w:t xml:space="preserve"> (‰) </w:t>
      </w:r>
      <w:proofErr w:type="gramEnd"/>
      <w:r w:rsidRPr="00934D38">
        <w:rPr>
          <w:sz w:val="28"/>
          <w:szCs w:val="28"/>
        </w:rPr>
        <w:t>отношению разности абсолютных величин, родившихся и умерших к среднегодовой численности населения.</w:t>
      </w:r>
    </w:p>
    <w:p w14:paraId="3815F4DE" w14:textId="77777777" w:rsidR="00EB0D09" w:rsidRDefault="00EB0D09" w:rsidP="00EB0D09">
      <w:pPr>
        <w:spacing w:line="276" w:lineRule="auto"/>
        <w:contextualSpacing/>
        <w:jc w:val="both"/>
        <w:rPr>
          <w:bCs/>
          <w:sz w:val="28"/>
          <w:szCs w:val="28"/>
        </w:rPr>
      </w:pPr>
    </w:p>
    <w:p w14:paraId="4C794504" w14:textId="12D16B4D" w:rsidR="00411064" w:rsidRDefault="00411064" w:rsidP="00EB0D09">
      <w:pPr>
        <w:spacing w:line="276" w:lineRule="auto"/>
        <w:contextualSpacing/>
        <w:jc w:val="both"/>
        <w:rPr>
          <w:bCs/>
          <w:sz w:val="28"/>
          <w:szCs w:val="28"/>
        </w:rPr>
      </w:pPr>
      <w:r w:rsidRPr="00EB0D09">
        <w:rPr>
          <w:bCs/>
          <w:sz w:val="28"/>
          <w:szCs w:val="28"/>
        </w:rPr>
        <w:t>Таблица 1</w:t>
      </w:r>
      <w:r w:rsidR="00901ACF">
        <w:rPr>
          <w:bCs/>
          <w:sz w:val="28"/>
          <w:szCs w:val="28"/>
        </w:rPr>
        <w:t>6</w:t>
      </w:r>
      <w:r w:rsidR="00EB0D09" w:rsidRPr="00EB0D09">
        <w:rPr>
          <w:bCs/>
          <w:sz w:val="28"/>
          <w:szCs w:val="28"/>
        </w:rPr>
        <w:t xml:space="preserve"> -</w:t>
      </w:r>
      <w:r w:rsidRPr="00EB0D09">
        <w:rPr>
          <w:bCs/>
          <w:sz w:val="28"/>
          <w:szCs w:val="28"/>
        </w:rPr>
        <w:t xml:space="preserve"> Показатели естественного движения населения</w:t>
      </w:r>
    </w:p>
    <w:p w14:paraId="533E159C" w14:textId="77777777" w:rsidR="00EB0D09" w:rsidRPr="00EB0D09" w:rsidRDefault="00EB0D09" w:rsidP="00EB0D09">
      <w:pPr>
        <w:spacing w:line="276" w:lineRule="auto"/>
        <w:contextualSpacing/>
        <w:jc w:val="both"/>
        <w:rPr>
          <w:bCs/>
          <w:sz w:val="28"/>
          <w:szCs w:val="28"/>
        </w:rPr>
      </w:pPr>
    </w:p>
    <w:tbl>
      <w:tblPr>
        <w:tblStyle w:val="ae"/>
        <w:tblW w:w="0" w:type="auto"/>
        <w:tblLook w:val="04A0" w:firstRow="1" w:lastRow="0" w:firstColumn="1" w:lastColumn="0" w:noHBand="0" w:noVBand="1"/>
      </w:tblPr>
      <w:tblGrid>
        <w:gridCol w:w="2689"/>
        <w:gridCol w:w="850"/>
        <w:gridCol w:w="851"/>
        <w:gridCol w:w="1701"/>
        <w:gridCol w:w="992"/>
        <w:gridCol w:w="927"/>
        <w:gridCol w:w="1335"/>
      </w:tblGrid>
      <w:tr w:rsidR="00411064" w:rsidRPr="00EB0D09" w14:paraId="177C2476" w14:textId="77777777">
        <w:tc>
          <w:tcPr>
            <w:tcW w:w="2689" w:type="dxa"/>
            <w:vMerge w:val="restart"/>
          </w:tcPr>
          <w:p w14:paraId="63598EC8" w14:textId="77777777" w:rsidR="00411064" w:rsidRPr="00EB0D09" w:rsidRDefault="00411064">
            <w:pPr>
              <w:spacing w:line="276" w:lineRule="auto"/>
              <w:contextualSpacing/>
              <w:jc w:val="center"/>
              <w:rPr>
                <w:b/>
                <w:sz w:val="20"/>
                <w:szCs w:val="20"/>
              </w:rPr>
            </w:pPr>
          </w:p>
        </w:tc>
        <w:tc>
          <w:tcPr>
            <w:tcW w:w="5321" w:type="dxa"/>
            <w:gridSpan w:val="5"/>
          </w:tcPr>
          <w:p w14:paraId="7DC770CF" w14:textId="77777777" w:rsidR="00411064" w:rsidRPr="00EB0D09" w:rsidRDefault="00411064">
            <w:pPr>
              <w:spacing w:line="276" w:lineRule="auto"/>
              <w:contextualSpacing/>
              <w:jc w:val="center"/>
              <w:rPr>
                <w:b/>
                <w:sz w:val="20"/>
                <w:szCs w:val="20"/>
              </w:rPr>
            </w:pPr>
            <w:r w:rsidRPr="00EB0D09">
              <w:rPr>
                <w:b/>
                <w:sz w:val="20"/>
                <w:szCs w:val="20"/>
              </w:rPr>
              <w:t>январь-июль</w:t>
            </w:r>
          </w:p>
        </w:tc>
        <w:tc>
          <w:tcPr>
            <w:tcW w:w="1335" w:type="dxa"/>
            <w:vMerge w:val="restart"/>
          </w:tcPr>
          <w:p w14:paraId="11D44588" w14:textId="4D126013" w:rsidR="00411064" w:rsidRPr="00EB0D09" w:rsidRDefault="00411064" w:rsidP="00281131">
            <w:pPr>
              <w:spacing w:line="276" w:lineRule="auto"/>
              <w:contextualSpacing/>
              <w:jc w:val="center"/>
              <w:rPr>
                <w:b/>
                <w:sz w:val="20"/>
                <w:szCs w:val="20"/>
              </w:rPr>
            </w:pPr>
            <w:proofErr w:type="spellStart"/>
            <w:r w:rsidRPr="00EB0D09">
              <w:rPr>
                <w:b/>
                <w:sz w:val="20"/>
                <w:szCs w:val="20"/>
              </w:rPr>
              <w:t>Справочно</w:t>
            </w:r>
            <w:proofErr w:type="spellEnd"/>
            <w:r w:rsidRPr="00EB0D09">
              <w:rPr>
                <w:b/>
                <w:sz w:val="20"/>
                <w:szCs w:val="20"/>
              </w:rPr>
              <w:t xml:space="preserve"> на 1000 человек населения за 2021 г. в целом</w:t>
            </w:r>
          </w:p>
        </w:tc>
      </w:tr>
      <w:tr w:rsidR="00411064" w:rsidRPr="00EB0D09" w14:paraId="0924E7E2" w14:textId="77777777">
        <w:tc>
          <w:tcPr>
            <w:tcW w:w="2689" w:type="dxa"/>
            <w:vMerge/>
          </w:tcPr>
          <w:p w14:paraId="108F833C" w14:textId="77777777" w:rsidR="00411064" w:rsidRPr="00EB0D09" w:rsidRDefault="00411064">
            <w:pPr>
              <w:spacing w:line="276" w:lineRule="auto"/>
              <w:contextualSpacing/>
              <w:jc w:val="center"/>
              <w:rPr>
                <w:b/>
                <w:sz w:val="20"/>
                <w:szCs w:val="20"/>
              </w:rPr>
            </w:pPr>
          </w:p>
        </w:tc>
        <w:tc>
          <w:tcPr>
            <w:tcW w:w="3402" w:type="dxa"/>
            <w:gridSpan w:val="3"/>
          </w:tcPr>
          <w:p w14:paraId="6CAA4965" w14:textId="77777777" w:rsidR="00411064" w:rsidRPr="00EB0D09" w:rsidRDefault="00411064">
            <w:pPr>
              <w:spacing w:line="276" w:lineRule="auto"/>
              <w:contextualSpacing/>
              <w:jc w:val="center"/>
              <w:rPr>
                <w:b/>
                <w:sz w:val="20"/>
                <w:szCs w:val="20"/>
              </w:rPr>
            </w:pPr>
            <w:r w:rsidRPr="00EB0D09">
              <w:rPr>
                <w:b/>
                <w:sz w:val="20"/>
                <w:szCs w:val="20"/>
              </w:rPr>
              <w:t>тысяч</w:t>
            </w:r>
          </w:p>
        </w:tc>
        <w:tc>
          <w:tcPr>
            <w:tcW w:w="1919" w:type="dxa"/>
            <w:gridSpan w:val="2"/>
          </w:tcPr>
          <w:p w14:paraId="5BCE9529" w14:textId="77777777" w:rsidR="00411064" w:rsidRPr="00EB0D09" w:rsidRDefault="00411064">
            <w:pPr>
              <w:spacing w:line="276" w:lineRule="auto"/>
              <w:contextualSpacing/>
              <w:jc w:val="center"/>
              <w:rPr>
                <w:b/>
                <w:sz w:val="20"/>
                <w:szCs w:val="20"/>
              </w:rPr>
            </w:pPr>
            <w:r w:rsidRPr="00EB0D09">
              <w:rPr>
                <w:b/>
                <w:sz w:val="20"/>
                <w:szCs w:val="20"/>
              </w:rPr>
              <w:t>на 1000 человек населения*</w:t>
            </w:r>
          </w:p>
        </w:tc>
        <w:tc>
          <w:tcPr>
            <w:tcW w:w="1335" w:type="dxa"/>
            <w:vMerge/>
          </w:tcPr>
          <w:p w14:paraId="1F3D2E46" w14:textId="77777777" w:rsidR="00411064" w:rsidRPr="00EB0D09" w:rsidRDefault="00411064">
            <w:pPr>
              <w:spacing w:line="276" w:lineRule="auto"/>
              <w:contextualSpacing/>
              <w:jc w:val="center"/>
              <w:rPr>
                <w:b/>
                <w:sz w:val="20"/>
                <w:szCs w:val="20"/>
              </w:rPr>
            </w:pPr>
          </w:p>
        </w:tc>
      </w:tr>
      <w:tr w:rsidR="00411064" w:rsidRPr="00EB0D09" w14:paraId="6C792771" w14:textId="77777777">
        <w:tc>
          <w:tcPr>
            <w:tcW w:w="2689" w:type="dxa"/>
            <w:vMerge/>
          </w:tcPr>
          <w:p w14:paraId="67E08245" w14:textId="77777777" w:rsidR="00411064" w:rsidRPr="00EB0D09" w:rsidRDefault="00411064">
            <w:pPr>
              <w:spacing w:line="276" w:lineRule="auto"/>
              <w:contextualSpacing/>
              <w:jc w:val="center"/>
              <w:rPr>
                <w:b/>
                <w:sz w:val="20"/>
                <w:szCs w:val="20"/>
              </w:rPr>
            </w:pPr>
          </w:p>
        </w:tc>
        <w:tc>
          <w:tcPr>
            <w:tcW w:w="850" w:type="dxa"/>
          </w:tcPr>
          <w:p w14:paraId="2AF2819C" w14:textId="77777777" w:rsidR="00411064" w:rsidRPr="00EB0D09" w:rsidRDefault="00411064">
            <w:pPr>
              <w:spacing w:line="276" w:lineRule="auto"/>
              <w:contextualSpacing/>
              <w:jc w:val="center"/>
              <w:rPr>
                <w:b/>
                <w:sz w:val="20"/>
                <w:szCs w:val="20"/>
              </w:rPr>
            </w:pPr>
            <w:r w:rsidRPr="00EB0D09">
              <w:rPr>
                <w:b/>
                <w:sz w:val="20"/>
                <w:szCs w:val="20"/>
              </w:rPr>
              <w:t>2022 г.</w:t>
            </w:r>
            <w:r w:rsidRPr="00EB0D09">
              <w:rPr>
                <w:b/>
                <w:sz w:val="20"/>
                <w:szCs w:val="20"/>
              </w:rPr>
              <w:tab/>
            </w:r>
          </w:p>
        </w:tc>
        <w:tc>
          <w:tcPr>
            <w:tcW w:w="851" w:type="dxa"/>
          </w:tcPr>
          <w:p w14:paraId="346310C5" w14:textId="77777777" w:rsidR="00411064" w:rsidRPr="00EB0D09" w:rsidRDefault="00411064">
            <w:pPr>
              <w:spacing w:line="276" w:lineRule="auto"/>
              <w:contextualSpacing/>
              <w:jc w:val="center"/>
              <w:rPr>
                <w:b/>
                <w:sz w:val="20"/>
                <w:szCs w:val="20"/>
              </w:rPr>
            </w:pPr>
            <w:r w:rsidRPr="00EB0D09">
              <w:rPr>
                <w:b/>
                <w:sz w:val="20"/>
                <w:szCs w:val="20"/>
              </w:rPr>
              <w:t>2021 г.</w:t>
            </w:r>
            <w:r w:rsidRPr="00EB0D09">
              <w:rPr>
                <w:b/>
                <w:sz w:val="20"/>
                <w:szCs w:val="20"/>
              </w:rPr>
              <w:tab/>
            </w:r>
          </w:p>
        </w:tc>
        <w:tc>
          <w:tcPr>
            <w:tcW w:w="1701" w:type="dxa"/>
          </w:tcPr>
          <w:p w14:paraId="578719E6" w14:textId="77777777" w:rsidR="00411064" w:rsidRPr="00EB0D09" w:rsidRDefault="00411064">
            <w:pPr>
              <w:spacing w:line="276" w:lineRule="auto"/>
              <w:contextualSpacing/>
              <w:jc w:val="center"/>
              <w:rPr>
                <w:b/>
                <w:sz w:val="20"/>
                <w:szCs w:val="20"/>
              </w:rPr>
            </w:pPr>
            <w:r w:rsidRPr="00EB0D09">
              <w:rPr>
                <w:b/>
                <w:sz w:val="20"/>
                <w:szCs w:val="20"/>
              </w:rPr>
              <w:t>прирост</w:t>
            </w:r>
            <w:proofErr w:type="gramStart"/>
            <w:r w:rsidRPr="00EB0D09">
              <w:rPr>
                <w:b/>
                <w:sz w:val="20"/>
                <w:szCs w:val="20"/>
              </w:rPr>
              <w:t xml:space="preserve"> (+), </w:t>
            </w:r>
            <w:proofErr w:type="gramEnd"/>
            <w:r w:rsidRPr="00EB0D09">
              <w:rPr>
                <w:b/>
                <w:sz w:val="20"/>
                <w:szCs w:val="20"/>
              </w:rPr>
              <w:t>снижение (-)</w:t>
            </w:r>
          </w:p>
        </w:tc>
        <w:tc>
          <w:tcPr>
            <w:tcW w:w="992" w:type="dxa"/>
          </w:tcPr>
          <w:p w14:paraId="74F97F91" w14:textId="77777777" w:rsidR="00411064" w:rsidRPr="00EB0D09" w:rsidRDefault="00411064">
            <w:pPr>
              <w:spacing w:line="276" w:lineRule="auto"/>
              <w:contextualSpacing/>
              <w:jc w:val="center"/>
              <w:rPr>
                <w:b/>
                <w:sz w:val="20"/>
                <w:szCs w:val="20"/>
              </w:rPr>
            </w:pPr>
            <w:r w:rsidRPr="00EB0D09">
              <w:rPr>
                <w:b/>
                <w:sz w:val="20"/>
                <w:szCs w:val="20"/>
              </w:rPr>
              <w:t>2022 г.</w:t>
            </w:r>
            <w:r w:rsidRPr="00EB0D09">
              <w:rPr>
                <w:b/>
                <w:sz w:val="20"/>
                <w:szCs w:val="20"/>
              </w:rPr>
              <w:tab/>
            </w:r>
          </w:p>
        </w:tc>
        <w:tc>
          <w:tcPr>
            <w:tcW w:w="927" w:type="dxa"/>
          </w:tcPr>
          <w:p w14:paraId="229FD6E9" w14:textId="77777777" w:rsidR="00411064" w:rsidRPr="00EB0D09" w:rsidRDefault="00411064">
            <w:pPr>
              <w:spacing w:line="276" w:lineRule="auto"/>
              <w:contextualSpacing/>
              <w:jc w:val="center"/>
              <w:rPr>
                <w:b/>
                <w:sz w:val="20"/>
                <w:szCs w:val="20"/>
              </w:rPr>
            </w:pPr>
            <w:r w:rsidRPr="00EB0D09">
              <w:rPr>
                <w:b/>
                <w:sz w:val="20"/>
                <w:szCs w:val="20"/>
              </w:rPr>
              <w:t>2021 г.</w:t>
            </w:r>
          </w:p>
        </w:tc>
        <w:tc>
          <w:tcPr>
            <w:tcW w:w="1335" w:type="dxa"/>
            <w:vMerge/>
          </w:tcPr>
          <w:p w14:paraId="69047E96" w14:textId="77777777" w:rsidR="00411064" w:rsidRPr="00EB0D09" w:rsidRDefault="00411064">
            <w:pPr>
              <w:spacing w:line="276" w:lineRule="auto"/>
              <w:contextualSpacing/>
              <w:jc w:val="center"/>
              <w:rPr>
                <w:b/>
                <w:sz w:val="20"/>
                <w:szCs w:val="20"/>
              </w:rPr>
            </w:pPr>
          </w:p>
        </w:tc>
      </w:tr>
      <w:tr w:rsidR="00411064" w:rsidRPr="00EB0D09" w14:paraId="706621FE" w14:textId="77777777">
        <w:tc>
          <w:tcPr>
            <w:tcW w:w="2689" w:type="dxa"/>
          </w:tcPr>
          <w:p w14:paraId="7EEB09EA" w14:textId="77777777" w:rsidR="00411064" w:rsidRPr="00EB0D09" w:rsidRDefault="00411064">
            <w:pPr>
              <w:spacing w:line="276" w:lineRule="auto"/>
              <w:contextualSpacing/>
              <w:rPr>
                <w:sz w:val="20"/>
                <w:szCs w:val="20"/>
              </w:rPr>
            </w:pPr>
            <w:r w:rsidRPr="00EB0D09">
              <w:rPr>
                <w:sz w:val="20"/>
                <w:szCs w:val="20"/>
              </w:rPr>
              <w:t>Родившихся</w:t>
            </w:r>
          </w:p>
        </w:tc>
        <w:tc>
          <w:tcPr>
            <w:tcW w:w="850" w:type="dxa"/>
          </w:tcPr>
          <w:p w14:paraId="19E85D8E" w14:textId="77777777" w:rsidR="00411064" w:rsidRPr="00EB0D09" w:rsidRDefault="00411064">
            <w:pPr>
              <w:spacing w:line="276" w:lineRule="auto"/>
              <w:contextualSpacing/>
              <w:jc w:val="center"/>
              <w:rPr>
                <w:sz w:val="20"/>
                <w:szCs w:val="20"/>
              </w:rPr>
            </w:pPr>
            <w:r w:rsidRPr="00EB0D09">
              <w:rPr>
                <w:sz w:val="20"/>
                <w:szCs w:val="20"/>
              </w:rPr>
              <w:t>749,2</w:t>
            </w:r>
          </w:p>
        </w:tc>
        <w:tc>
          <w:tcPr>
            <w:tcW w:w="851" w:type="dxa"/>
          </w:tcPr>
          <w:p w14:paraId="0259DAB2" w14:textId="77777777" w:rsidR="00411064" w:rsidRPr="00EB0D09" w:rsidRDefault="00411064">
            <w:pPr>
              <w:spacing w:line="276" w:lineRule="auto"/>
              <w:contextualSpacing/>
              <w:jc w:val="center"/>
              <w:rPr>
                <w:sz w:val="20"/>
                <w:szCs w:val="20"/>
              </w:rPr>
            </w:pPr>
            <w:r w:rsidRPr="00EB0D09">
              <w:rPr>
                <w:sz w:val="20"/>
                <w:szCs w:val="20"/>
              </w:rPr>
              <w:t>802,8</w:t>
            </w:r>
          </w:p>
        </w:tc>
        <w:tc>
          <w:tcPr>
            <w:tcW w:w="1701" w:type="dxa"/>
          </w:tcPr>
          <w:p w14:paraId="4C27846D" w14:textId="77777777" w:rsidR="00411064" w:rsidRPr="00EB0D09" w:rsidRDefault="00411064">
            <w:pPr>
              <w:spacing w:line="276" w:lineRule="auto"/>
              <w:contextualSpacing/>
              <w:jc w:val="center"/>
              <w:rPr>
                <w:sz w:val="20"/>
                <w:szCs w:val="20"/>
              </w:rPr>
            </w:pPr>
            <w:r w:rsidRPr="00EB0D09">
              <w:rPr>
                <w:sz w:val="20"/>
                <w:szCs w:val="20"/>
              </w:rPr>
              <w:t>-53,6</w:t>
            </w:r>
            <w:r w:rsidRPr="00EB0D09">
              <w:rPr>
                <w:sz w:val="20"/>
                <w:szCs w:val="20"/>
              </w:rPr>
              <w:tab/>
            </w:r>
          </w:p>
        </w:tc>
        <w:tc>
          <w:tcPr>
            <w:tcW w:w="992" w:type="dxa"/>
          </w:tcPr>
          <w:p w14:paraId="2310386C" w14:textId="77777777" w:rsidR="00411064" w:rsidRPr="00EB0D09" w:rsidRDefault="00411064">
            <w:pPr>
              <w:spacing w:line="276" w:lineRule="auto"/>
              <w:contextualSpacing/>
              <w:jc w:val="center"/>
              <w:rPr>
                <w:sz w:val="20"/>
                <w:szCs w:val="20"/>
              </w:rPr>
            </w:pPr>
            <w:r w:rsidRPr="00EB0D09">
              <w:rPr>
                <w:sz w:val="20"/>
                <w:szCs w:val="20"/>
              </w:rPr>
              <w:t>8,9</w:t>
            </w:r>
          </w:p>
        </w:tc>
        <w:tc>
          <w:tcPr>
            <w:tcW w:w="927" w:type="dxa"/>
          </w:tcPr>
          <w:p w14:paraId="40514427" w14:textId="77777777" w:rsidR="00411064" w:rsidRPr="00EB0D09" w:rsidRDefault="00411064">
            <w:pPr>
              <w:spacing w:line="276" w:lineRule="auto"/>
              <w:contextualSpacing/>
              <w:jc w:val="center"/>
              <w:rPr>
                <w:sz w:val="20"/>
                <w:szCs w:val="20"/>
              </w:rPr>
            </w:pPr>
            <w:r w:rsidRPr="00EB0D09">
              <w:rPr>
                <w:sz w:val="20"/>
                <w:szCs w:val="20"/>
              </w:rPr>
              <w:t>9,5</w:t>
            </w:r>
          </w:p>
        </w:tc>
        <w:tc>
          <w:tcPr>
            <w:tcW w:w="1335" w:type="dxa"/>
          </w:tcPr>
          <w:p w14:paraId="08B0597F" w14:textId="77777777" w:rsidR="00411064" w:rsidRPr="00EB0D09" w:rsidRDefault="00411064">
            <w:pPr>
              <w:spacing w:line="276" w:lineRule="auto"/>
              <w:contextualSpacing/>
              <w:jc w:val="center"/>
              <w:rPr>
                <w:sz w:val="20"/>
                <w:szCs w:val="20"/>
              </w:rPr>
            </w:pPr>
            <w:r w:rsidRPr="00EB0D09">
              <w:rPr>
                <w:sz w:val="20"/>
                <w:szCs w:val="20"/>
              </w:rPr>
              <w:t>9,6</w:t>
            </w:r>
          </w:p>
        </w:tc>
      </w:tr>
      <w:tr w:rsidR="00411064" w:rsidRPr="00EB0D09" w14:paraId="102E7092" w14:textId="77777777">
        <w:tc>
          <w:tcPr>
            <w:tcW w:w="2689" w:type="dxa"/>
          </w:tcPr>
          <w:p w14:paraId="19330AB5" w14:textId="77777777" w:rsidR="00411064" w:rsidRPr="00EB0D09" w:rsidRDefault="00411064">
            <w:pPr>
              <w:spacing w:line="276" w:lineRule="auto"/>
              <w:contextualSpacing/>
              <w:rPr>
                <w:sz w:val="20"/>
                <w:szCs w:val="20"/>
              </w:rPr>
            </w:pPr>
            <w:proofErr w:type="gramStart"/>
            <w:r w:rsidRPr="00EB0D09">
              <w:rPr>
                <w:sz w:val="20"/>
                <w:szCs w:val="20"/>
              </w:rPr>
              <w:t>Умерших</w:t>
            </w:r>
            <w:proofErr w:type="gramEnd"/>
          </w:p>
        </w:tc>
        <w:tc>
          <w:tcPr>
            <w:tcW w:w="850" w:type="dxa"/>
          </w:tcPr>
          <w:p w14:paraId="562E77ED" w14:textId="54FC9776" w:rsidR="00411064" w:rsidRPr="00EB0D09" w:rsidRDefault="00411064" w:rsidP="00281131">
            <w:pPr>
              <w:spacing w:line="276" w:lineRule="auto"/>
              <w:contextualSpacing/>
              <w:jc w:val="center"/>
              <w:rPr>
                <w:sz w:val="20"/>
                <w:szCs w:val="20"/>
              </w:rPr>
            </w:pPr>
            <w:r w:rsidRPr="00EB0D09">
              <w:rPr>
                <w:sz w:val="20"/>
                <w:szCs w:val="20"/>
              </w:rPr>
              <w:t>1150,8</w:t>
            </w:r>
          </w:p>
        </w:tc>
        <w:tc>
          <w:tcPr>
            <w:tcW w:w="851" w:type="dxa"/>
          </w:tcPr>
          <w:p w14:paraId="4FBBA573" w14:textId="794B6C8B" w:rsidR="00411064" w:rsidRPr="00EB0D09" w:rsidRDefault="00411064" w:rsidP="00281131">
            <w:pPr>
              <w:spacing w:line="276" w:lineRule="auto"/>
              <w:contextualSpacing/>
              <w:jc w:val="center"/>
              <w:rPr>
                <w:sz w:val="20"/>
                <w:szCs w:val="20"/>
              </w:rPr>
            </w:pPr>
            <w:r w:rsidRPr="00EB0D09">
              <w:rPr>
                <w:sz w:val="20"/>
                <w:szCs w:val="20"/>
              </w:rPr>
              <w:t>1315,3</w:t>
            </w:r>
          </w:p>
        </w:tc>
        <w:tc>
          <w:tcPr>
            <w:tcW w:w="1701" w:type="dxa"/>
          </w:tcPr>
          <w:p w14:paraId="6CC70B42" w14:textId="77777777" w:rsidR="00411064" w:rsidRPr="00EB0D09" w:rsidRDefault="00411064">
            <w:pPr>
              <w:spacing w:line="276" w:lineRule="auto"/>
              <w:contextualSpacing/>
              <w:jc w:val="center"/>
              <w:rPr>
                <w:sz w:val="20"/>
                <w:szCs w:val="20"/>
              </w:rPr>
            </w:pPr>
            <w:r w:rsidRPr="00EB0D09">
              <w:rPr>
                <w:sz w:val="20"/>
                <w:szCs w:val="20"/>
              </w:rPr>
              <w:t>-164,5</w:t>
            </w:r>
            <w:r w:rsidRPr="00EB0D09">
              <w:rPr>
                <w:sz w:val="20"/>
                <w:szCs w:val="20"/>
              </w:rPr>
              <w:tab/>
            </w:r>
          </w:p>
        </w:tc>
        <w:tc>
          <w:tcPr>
            <w:tcW w:w="992" w:type="dxa"/>
          </w:tcPr>
          <w:p w14:paraId="2B07E50E" w14:textId="77777777" w:rsidR="00411064" w:rsidRPr="00EB0D09" w:rsidRDefault="00411064">
            <w:pPr>
              <w:spacing w:line="276" w:lineRule="auto"/>
              <w:contextualSpacing/>
              <w:jc w:val="center"/>
              <w:rPr>
                <w:sz w:val="20"/>
                <w:szCs w:val="20"/>
              </w:rPr>
            </w:pPr>
            <w:r w:rsidRPr="00EB0D09">
              <w:rPr>
                <w:sz w:val="20"/>
                <w:szCs w:val="20"/>
              </w:rPr>
              <w:t>13,6</w:t>
            </w:r>
          </w:p>
        </w:tc>
        <w:tc>
          <w:tcPr>
            <w:tcW w:w="927" w:type="dxa"/>
          </w:tcPr>
          <w:p w14:paraId="68EB0A26" w14:textId="77777777" w:rsidR="00411064" w:rsidRPr="00EB0D09" w:rsidRDefault="00411064">
            <w:pPr>
              <w:spacing w:line="276" w:lineRule="auto"/>
              <w:contextualSpacing/>
              <w:jc w:val="center"/>
              <w:rPr>
                <w:sz w:val="20"/>
                <w:szCs w:val="20"/>
              </w:rPr>
            </w:pPr>
            <w:r w:rsidRPr="00EB0D09">
              <w:rPr>
                <w:sz w:val="20"/>
                <w:szCs w:val="20"/>
              </w:rPr>
              <w:t>15,5</w:t>
            </w:r>
          </w:p>
        </w:tc>
        <w:tc>
          <w:tcPr>
            <w:tcW w:w="1335" w:type="dxa"/>
          </w:tcPr>
          <w:p w14:paraId="1BF13943" w14:textId="77777777" w:rsidR="00411064" w:rsidRPr="00EB0D09" w:rsidRDefault="00411064">
            <w:pPr>
              <w:spacing w:line="276" w:lineRule="auto"/>
              <w:contextualSpacing/>
              <w:jc w:val="center"/>
              <w:rPr>
                <w:sz w:val="20"/>
                <w:szCs w:val="20"/>
              </w:rPr>
            </w:pPr>
            <w:r w:rsidRPr="00EB0D09">
              <w:rPr>
                <w:sz w:val="20"/>
                <w:szCs w:val="20"/>
              </w:rPr>
              <w:t>16,7</w:t>
            </w:r>
          </w:p>
        </w:tc>
      </w:tr>
      <w:tr w:rsidR="00411064" w:rsidRPr="00EB0D09" w14:paraId="2E33B423" w14:textId="77777777">
        <w:tc>
          <w:tcPr>
            <w:tcW w:w="2689" w:type="dxa"/>
          </w:tcPr>
          <w:p w14:paraId="60A1517A" w14:textId="77777777" w:rsidR="00411064" w:rsidRPr="00EB0D09" w:rsidRDefault="00411064">
            <w:pPr>
              <w:spacing w:line="276" w:lineRule="auto"/>
              <w:contextualSpacing/>
              <w:rPr>
                <w:sz w:val="20"/>
                <w:szCs w:val="20"/>
              </w:rPr>
            </w:pPr>
            <w:r w:rsidRPr="00EB0D09">
              <w:rPr>
                <w:sz w:val="20"/>
                <w:szCs w:val="20"/>
              </w:rPr>
              <w:t>из них детей в возрасте до 1 года</w:t>
            </w:r>
          </w:p>
        </w:tc>
        <w:tc>
          <w:tcPr>
            <w:tcW w:w="850" w:type="dxa"/>
          </w:tcPr>
          <w:p w14:paraId="27BF9741" w14:textId="77777777" w:rsidR="00411064" w:rsidRPr="00EB0D09" w:rsidRDefault="00411064">
            <w:pPr>
              <w:spacing w:line="276" w:lineRule="auto"/>
              <w:contextualSpacing/>
              <w:jc w:val="center"/>
              <w:rPr>
                <w:sz w:val="20"/>
                <w:szCs w:val="20"/>
              </w:rPr>
            </w:pPr>
            <w:r w:rsidRPr="00EB0D09">
              <w:rPr>
                <w:sz w:val="20"/>
                <w:szCs w:val="20"/>
              </w:rPr>
              <w:t>3,5</w:t>
            </w:r>
          </w:p>
        </w:tc>
        <w:tc>
          <w:tcPr>
            <w:tcW w:w="851" w:type="dxa"/>
          </w:tcPr>
          <w:p w14:paraId="7C1A5B99" w14:textId="77777777" w:rsidR="00411064" w:rsidRPr="00EB0D09" w:rsidRDefault="00411064">
            <w:pPr>
              <w:spacing w:line="276" w:lineRule="auto"/>
              <w:contextualSpacing/>
              <w:jc w:val="center"/>
              <w:rPr>
                <w:sz w:val="20"/>
                <w:szCs w:val="20"/>
              </w:rPr>
            </w:pPr>
            <w:r w:rsidRPr="00EB0D09">
              <w:rPr>
                <w:sz w:val="20"/>
                <w:szCs w:val="20"/>
              </w:rPr>
              <w:t>3,7</w:t>
            </w:r>
          </w:p>
        </w:tc>
        <w:tc>
          <w:tcPr>
            <w:tcW w:w="1701" w:type="dxa"/>
          </w:tcPr>
          <w:p w14:paraId="1A38E542" w14:textId="77777777" w:rsidR="00411064" w:rsidRPr="00EB0D09" w:rsidRDefault="00411064">
            <w:pPr>
              <w:spacing w:line="276" w:lineRule="auto"/>
              <w:contextualSpacing/>
              <w:jc w:val="center"/>
              <w:rPr>
                <w:sz w:val="20"/>
                <w:szCs w:val="20"/>
              </w:rPr>
            </w:pPr>
            <w:r w:rsidRPr="00EB0D09">
              <w:rPr>
                <w:sz w:val="20"/>
                <w:szCs w:val="20"/>
              </w:rPr>
              <w:t>-0,2</w:t>
            </w:r>
          </w:p>
        </w:tc>
        <w:tc>
          <w:tcPr>
            <w:tcW w:w="992" w:type="dxa"/>
          </w:tcPr>
          <w:p w14:paraId="13BFE561" w14:textId="77777777" w:rsidR="00411064" w:rsidRPr="00EB0D09" w:rsidRDefault="00411064">
            <w:pPr>
              <w:spacing w:line="276" w:lineRule="auto"/>
              <w:contextualSpacing/>
              <w:jc w:val="center"/>
              <w:rPr>
                <w:sz w:val="20"/>
                <w:szCs w:val="20"/>
              </w:rPr>
            </w:pPr>
            <w:r w:rsidRPr="00EB0D09">
              <w:rPr>
                <w:sz w:val="20"/>
                <w:szCs w:val="20"/>
              </w:rPr>
              <w:t>4,4**</w:t>
            </w:r>
          </w:p>
        </w:tc>
        <w:tc>
          <w:tcPr>
            <w:tcW w:w="927" w:type="dxa"/>
          </w:tcPr>
          <w:p w14:paraId="43CF69E5" w14:textId="77777777" w:rsidR="00411064" w:rsidRPr="00EB0D09" w:rsidRDefault="00411064">
            <w:pPr>
              <w:spacing w:line="276" w:lineRule="auto"/>
              <w:contextualSpacing/>
              <w:jc w:val="center"/>
              <w:rPr>
                <w:sz w:val="20"/>
                <w:szCs w:val="20"/>
              </w:rPr>
            </w:pPr>
            <w:r w:rsidRPr="00EB0D09">
              <w:rPr>
                <w:sz w:val="20"/>
                <w:szCs w:val="20"/>
              </w:rPr>
              <w:t>4,4**</w:t>
            </w:r>
          </w:p>
        </w:tc>
        <w:tc>
          <w:tcPr>
            <w:tcW w:w="1335" w:type="dxa"/>
          </w:tcPr>
          <w:p w14:paraId="071E3DC0" w14:textId="77777777" w:rsidR="00411064" w:rsidRPr="00EB0D09" w:rsidRDefault="00411064">
            <w:pPr>
              <w:spacing w:line="276" w:lineRule="auto"/>
              <w:contextualSpacing/>
              <w:jc w:val="center"/>
              <w:rPr>
                <w:sz w:val="20"/>
                <w:szCs w:val="20"/>
              </w:rPr>
            </w:pPr>
            <w:r w:rsidRPr="00EB0D09">
              <w:rPr>
                <w:sz w:val="20"/>
                <w:szCs w:val="20"/>
              </w:rPr>
              <w:t>4,6**</w:t>
            </w:r>
          </w:p>
        </w:tc>
      </w:tr>
      <w:tr w:rsidR="00411064" w:rsidRPr="00EB0D09" w14:paraId="38494495" w14:textId="77777777">
        <w:tc>
          <w:tcPr>
            <w:tcW w:w="2689" w:type="dxa"/>
          </w:tcPr>
          <w:p w14:paraId="10925DD6" w14:textId="77777777" w:rsidR="00411064" w:rsidRPr="00EB0D09" w:rsidRDefault="00411064">
            <w:pPr>
              <w:spacing w:line="276" w:lineRule="auto"/>
              <w:contextualSpacing/>
              <w:rPr>
                <w:sz w:val="20"/>
                <w:szCs w:val="20"/>
              </w:rPr>
            </w:pPr>
            <w:r w:rsidRPr="00EB0D09">
              <w:rPr>
                <w:sz w:val="20"/>
                <w:szCs w:val="20"/>
              </w:rPr>
              <w:t>Естественный прирост</w:t>
            </w:r>
            <w:proofErr w:type="gramStart"/>
            <w:r w:rsidRPr="00EB0D09">
              <w:rPr>
                <w:sz w:val="20"/>
                <w:szCs w:val="20"/>
              </w:rPr>
              <w:t xml:space="preserve"> (+), </w:t>
            </w:r>
            <w:proofErr w:type="gramEnd"/>
            <w:r w:rsidRPr="00EB0D09">
              <w:rPr>
                <w:sz w:val="20"/>
                <w:szCs w:val="20"/>
              </w:rPr>
              <w:t>убыль (-)</w:t>
            </w:r>
          </w:p>
        </w:tc>
        <w:tc>
          <w:tcPr>
            <w:tcW w:w="850" w:type="dxa"/>
          </w:tcPr>
          <w:p w14:paraId="5A269A48" w14:textId="77777777" w:rsidR="00411064" w:rsidRPr="00EB0D09" w:rsidRDefault="00411064">
            <w:pPr>
              <w:spacing w:line="276" w:lineRule="auto"/>
              <w:contextualSpacing/>
              <w:jc w:val="center"/>
              <w:rPr>
                <w:sz w:val="20"/>
                <w:szCs w:val="20"/>
              </w:rPr>
            </w:pPr>
            <w:r w:rsidRPr="00EB0D09">
              <w:rPr>
                <w:sz w:val="20"/>
                <w:szCs w:val="20"/>
              </w:rPr>
              <w:t>-401,6</w:t>
            </w:r>
          </w:p>
        </w:tc>
        <w:tc>
          <w:tcPr>
            <w:tcW w:w="851" w:type="dxa"/>
          </w:tcPr>
          <w:p w14:paraId="15F99732" w14:textId="77777777" w:rsidR="00411064" w:rsidRPr="00EB0D09" w:rsidRDefault="00411064">
            <w:pPr>
              <w:spacing w:line="276" w:lineRule="auto"/>
              <w:contextualSpacing/>
              <w:jc w:val="center"/>
              <w:rPr>
                <w:sz w:val="20"/>
                <w:szCs w:val="20"/>
              </w:rPr>
            </w:pPr>
            <w:r w:rsidRPr="00EB0D09">
              <w:rPr>
                <w:sz w:val="20"/>
                <w:szCs w:val="20"/>
              </w:rPr>
              <w:t>-512,5</w:t>
            </w:r>
          </w:p>
        </w:tc>
        <w:tc>
          <w:tcPr>
            <w:tcW w:w="1701" w:type="dxa"/>
          </w:tcPr>
          <w:p w14:paraId="232A273E" w14:textId="77777777" w:rsidR="00411064" w:rsidRPr="00EB0D09" w:rsidRDefault="00411064">
            <w:pPr>
              <w:spacing w:line="276" w:lineRule="auto"/>
              <w:contextualSpacing/>
              <w:jc w:val="center"/>
              <w:rPr>
                <w:sz w:val="20"/>
                <w:szCs w:val="20"/>
              </w:rPr>
            </w:pPr>
          </w:p>
        </w:tc>
        <w:tc>
          <w:tcPr>
            <w:tcW w:w="992" w:type="dxa"/>
          </w:tcPr>
          <w:p w14:paraId="23303357" w14:textId="77777777" w:rsidR="00411064" w:rsidRPr="00EB0D09" w:rsidRDefault="00411064">
            <w:pPr>
              <w:spacing w:line="276" w:lineRule="auto"/>
              <w:contextualSpacing/>
              <w:jc w:val="center"/>
              <w:rPr>
                <w:sz w:val="20"/>
                <w:szCs w:val="20"/>
              </w:rPr>
            </w:pPr>
            <w:r w:rsidRPr="00EB0D09">
              <w:rPr>
                <w:sz w:val="20"/>
                <w:szCs w:val="20"/>
              </w:rPr>
              <w:t>-4,7</w:t>
            </w:r>
          </w:p>
        </w:tc>
        <w:tc>
          <w:tcPr>
            <w:tcW w:w="927" w:type="dxa"/>
          </w:tcPr>
          <w:p w14:paraId="0B2E64D4" w14:textId="77777777" w:rsidR="00411064" w:rsidRPr="00EB0D09" w:rsidRDefault="00411064">
            <w:pPr>
              <w:spacing w:line="276" w:lineRule="auto"/>
              <w:contextualSpacing/>
              <w:jc w:val="center"/>
              <w:rPr>
                <w:sz w:val="20"/>
                <w:szCs w:val="20"/>
              </w:rPr>
            </w:pPr>
            <w:r w:rsidRPr="00EB0D09">
              <w:rPr>
                <w:sz w:val="20"/>
                <w:szCs w:val="20"/>
              </w:rPr>
              <w:t>-6,0</w:t>
            </w:r>
          </w:p>
        </w:tc>
        <w:tc>
          <w:tcPr>
            <w:tcW w:w="1335" w:type="dxa"/>
          </w:tcPr>
          <w:p w14:paraId="0DDED2CA" w14:textId="77777777" w:rsidR="00411064" w:rsidRPr="00EB0D09" w:rsidRDefault="00411064">
            <w:pPr>
              <w:spacing w:line="276" w:lineRule="auto"/>
              <w:contextualSpacing/>
              <w:jc w:val="center"/>
              <w:rPr>
                <w:sz w:val="20"/>
                <w:szCs w:val="20"/>
              </w:rPr>
            </w:pPr>
            <w:r w:rsidRPr="00EB0D09">
              <w:rPr>
                <w:sz w:val="20"/>
                <w:szCs w:val="20"/>
              </w:rPr>
              <w:t>-7,1</w:t>
            </w:r>
          </w:p>
        </w:tc>
      </w:tr>
      <w:tr w:rsidR="00411064" w:rsidRPr="00EB0D09" w14:paraId="375C1622" w14:textId="77777777">
        <w:tc>
          <w:tcPr>
            <w:tcW w:w="2689" w:type="dxa"/>
          </w:tcPr>
          <w:p w14:paraId="6DD8E09E" w14:textId="77777777" w:rsidR="00411064" w:rsidRPr="00EB0D09" w:rsidRDefault="00411064">
            <w:pPr>
              <w:spacing w:line="276" w:lineRule="auto"/>
              <w:contextualSpacing/>
              <w:rPr>
                <w:sz w:val="20"/>
                <w:szCs w:val="20"/>
              </w:rPr>
            </w:pPr>
            <w:r w:rsidRPr="00EB0D09">
              <w:rPr>
                <w:sz w:val="20"/>
                <w:szCs w:val="20"/>
              </w:rPr>
              <w:t>Браков</w:t>
            </w:r>
          </w:p>
        </w:tc>
        <w:tc>
          <w:tcPr>
            <w:tcW w:w="850" w:type="dxa"/>
          </w:tcPr>
          <w:p w14:paraId="342DFB18" w14:textId="77777777" w:rsidR="00411064" w:rsidRPr="00EB0D09" w:rsidRDefault="00411064">
            <w:pPr>
              <w:spacing w:line="276" w:lineRule="auto"/>
              <w:contextualSpacing/>
              <w:jc w:val="center"/>
              <w:rPr>
                <w:sz w:val="20"/>
                <w:szCs w:val="20"/>
              </w:rPr>
            </w:pPr>
            <w:r w:rsidRPr="00EB0D09">
              <w:rPr>
                <w:sz w:val="20"/>
                <w:szCs w:val="20"/>
              </w:rPr>
              <w:t>492,0</w:t>
            </w:r>
          </w:p>
        </w:tc>
        <w:tc>
          <w:tcPr>
            <w:tcW w:w="851" w:type="dxa"/>
          </w:tcPr>
          <w:p w14:paraId="63069E8F" w14:textId="77777777" w:rsidR="00411064" w:rsidRPr="00EB0D09" w:rsidRDefault="00411064">
            <w:pPr>
              <w:spacing w:line="276" w:lineRule="auto"/>
              <w:contextualSpacing/>
              <w:jc w:val="center"/>
              <w:rPr>
                <w:sz w:val="20"/>
                <w:szCs w:val="20"/>
              </w:rPr>
            </w:pPr>
            <w:r w:rsidRPr="00EB0D09">
              <w:rPr>
                <w:sz w:val="20"/>
                <w:szCs w:val="20"/>
              </w:rPr>
              <w:t>493,5</w:t>
            </w:r>
          </w:p>
        </w:tc>
        <w:tc>
          <w:tcPr>
            <w:tcW w:w="1701" w:type="dxa"/>
          </w:tcPr>
          <w:p w14:paraId="0FFDC1CC" w14:textId="77777777" w:rsidR="00411064" w:rsidRPr="00EB0D09" w:rsidRDefault="00411064">
            <w:pPr>
              <w:spacing w:line="276" w:lineRule="auto"/>
              <w:contextualSpacing/>
              <w:jc w:val="center"/>
              <w:rPr>
                <w:sz w:val="20"/>
                <w:szCs w:val="20"/>
              </w:rPr>
            </w:pPr>
            <w:r w:rsidRPr="00EB0D09">
              <w:rPr>
                <w:sz w:val="20"/>
                <w:szCs w:val="20"/>
              </w:rPr>
              <w:t>-1,5</w:t>
            </w:r>
          </w:p>
        </w:tc>
        <w:tc>
          <w:tcPr>
            <w:tcW w:w="992" w:type="dxa"/>
          </w:tcPr>
          <w:p w14:paraId="15006D87" w14:textId="77777777" w:rsidR="00411064" w:rsidRPr="00EB0D09" w:rsidRDefault="00411064">
            <w:pPr>
              <w:spacing w:line="276" w:lineRule="auto"/>
              <w:contextualSpacing/>
              <w:jc w:val="center"/>
              <w:rPr>
                <w:sz w:val="20"/>
                <w:szCs w:val="20"/>
              </w:rPr>
            </w:pPr>
            <w:r w:rsidRPr="00EB0D09">
              <w:rPr>
                <w:sz w:val="20"/>
                <w:szCs w:val="20"/>
              </w:rPr>
              <w:t>5,8</w:t>
            </w:r>
          </w:p>
        </w:tc>
        <w:tc>
          <w:tcPr>
            <w:tcW w:w="927" w:type="dxa"/>
          </w:tcPr>
          <w:p w14:paraId="4C769348" w14:textId="77777777" w:rsidR="00411064" w:rsidRPr="00EB0D09" w:rsidRDefault="00411064">
            <w:pPr>
              <w:spacing w:line="276" w:lineRule="auto"/>
              <w:contextualSpacing/>
              <w:jc w:val="center"/>
              <w:rPr>
                <w:sz w:val="20"/>
                <w:szCs w:val="20"/>
              </w:rPr>
            </w:pPr>
            <w:r w:rsidRPr="00EB0D09">
              <w:rPr>
                <w:sz w:val="20"/>
                <w:szCs w:val="20"/>
              </w:rPr>
              <w:t>5,8</w:t>
            </w:r>
          </w:p>
        </w:tc>
        <w:tc>
          <w:tcPr>
            <w:tcW w:w="1335" w:type="dxa"/>
          </w:tcPr>
          <w:p w14:paraId="7BFD16AE" w14:textId="77777777" w:rsidR="00411064" w:rsidRPr="00EB0D09" w:rsidRDefault="00411064">
            <w:pPr>
              <w:spacing w:line="276" w:lineRule="auto"/>
              <w:contextualSpacing/>
              <w:jc w:val="center"/>
              <w:rPr>
                <w:sz w:val="20"/>
                <w:szCs w:val="20"/>
              </w:rPr>
            </w:pPr>
            <w:r w:rsidRPr="00EB0D09">
              <w:rPr>
                <w:sz w:val="20"/>
                <w:szCs w:val="20"/>
              </w:rPr>
              <w:t>6,3</w:t>
            </w:r>
          </w:p>
        </w:tc>
      </w:tr>
      <w:tr w:rsidR="00411064" w:rsidRPr="00EB0D09" w14:paraId="6D19E690" w14:textId="77777777">
        <w:tc>
          <w:tcPr>
            <w:tcW w:w="2689" w:type="dxa"/>
          </w:tcPr>
          <w:p w14:paraId="62C9F92E" w14:textId="77777777" w:rsidR="00411064" w:rsidRPr="00EB0D09" w:rsidRDefault="00411064">
            <w:pPr>
              <w:spacing w:line="276" w:lineRule="auto"/>
              <w:contextualSpacing/>
              <w:rPr>
                <w:sz w:val="20"/>
                <w:szCs w:val="20"/>
              </w:rPr>
            </w:pPr>
            <w:r w:rsidRPr="00EB0D09">
              <w:rPr>
                <w:sz w:val="20"/>
                <w:szCs w:val="20"/>
              </w:rPr>
              <w:t>Разводов</w:t>
            </w:r>
          </w:p>
        </w:tc>
        <w:tc>
          <w:tcPr>
            <w:tcW w:w="850" w:type="dxa"/>
          </w:tcPr>
          <w:p w14:paraId="796949F3" w14:textId="77777777" w:rsidR="00411064" w:rsidRPr="00EB0D09" w:rsidRDefault="00411064">
            <w:pPr>
              <w:spacing w:line="276" w:lineRule="auto"/>
              <w:contextualSpacing/>
              <w:jc w:val="center"/>
              <w:rPr>
                <w:sz w:val="20"/>
                <w:szCs w:val="20"/>
              </w:rPr>
            </w:pPr>
            <w:r w:rsidRPr="00EB0D09">
              <w:rPr>
                <w:sz w:val="20"/>
                <w:szCs w:val="20"/>
              </w:rPr>
              <w:t>376,5</w:t>
            </w:r>
          </w:p>
        </w:tc>
        <w:tc>
          <w:tcPr>
            <w:tcW w:w="851" w:type="dxa"/>
          </w:tcPr>
          <w:p w14:paraId="5746F33A" w14:textId="77777777" w:rsidR="00411064" w:rsidRPr="00EB0D09" w:rsidRDefault="00411064">
            <w:pPr>
              <w:spacing w:line="276" w:lineRule="auto"/>
              <w:contextualSpacing/>
              <w:jc w:val="center"/>
              <w:rPr>
                <w:sz w:val="20"/>
                <w:szCs w:val="20"/>
              </w:rPr>
            </w:pPr>
            <w:r w:rsidRPr="00EB0D09">
              <w:rPr>
                <w:sz w:val="20"/>
                <w:szCs w:val="20"/>
              </w:rPr>
              <w:t>370,5</w:t>
            </w:r>
          </w:p>
        </w:tc>
        <w:tc>
          <w:tcPr>
            <w:tcW w:w="1701" w:type="dxa"/>
          </w:tcPr>
          <w:p w14:paraId="57EDCCF7" w14:textId="77777777" w:rsidR="00411064" w:rsidRPr="00EB0D09" w:rsidRDefault="00411064">
            <w:pPr>
              <w:spacing w:line="276" w:lineRule="auto"/>
              <w:contextualSpacing/>
              <w:jc w:val="center"/>
              <w:rPr>
                <w:sz w:val="20"/>
                <w:szCs w:val="20"/>
              </w:rPr>
            </w:pPr>
            <w:r w:rsidRPr="00EB0D09">
              <w:rPr>
                <w:sz w:val="20"/>
                <w:szCs w:val="20"/>
              </w:rPr>
              <w:t>+6,0</w:t>
            </w:r>
          </w:p>
        </w:tc>
        <w:tc>
          <w:tcPr>
            <w:tcW w:w="992" w:type="dxa"/>
          </w:tcPr>
          <w:p w14:paraId="58DCF1DA" w14:textId="77777777" w:rsidR="00411064" w:rsidRPr="00EB0D09" w:rsidRDefault="00411064">
            <w:pPr>
              <w:spacing w:line="276" w:lineRule="auto"/>
              <w:contextualSpacing/>
              <w:jc w:val="center"/>
              <w:rPr>
                <w:sz w:val="20"/>
                <w:szCs w:val="20"/>
              </w:rPr>
            </w:pPr>
            <w:r w:rsidRPr="00EB0D09">
              <w:rPr>
                <w:sz w:val="20"/>
                <w:szCs w:val="20"/>
              </w:rPr>
              <w:t>4,5</w:t>
            </w:r>
          </w:p>
        </w:tc>
        <w:tc>
          <w:tcPr>
            <w:tcW w:w="927" w:type="dxa"/>
          </w:tcPr>
          <w:p w14:paraId="2F371508" w14:textId="77777777" w:rsidR="00411064" w:rsidRPr="00EB0D09" w:rsidRDefault="00411064">
            <w:pPr>
              <w:spacing w:line="276" w:lineRule="auto"/>
              <w:contextualSpacing/>
              <w:jc w:val="center"/>
              <w:rPr>
                <w:sz w:val="20"/>
                <w:szCs w:val="20"/>
              </w:rPr>
            </w:pPr>
            <w:r w:rsidRPr="00EB0D09">
              <w:rPr>
                <w:sz w:val="20"/>
                <w:szCs w:val="20"/>
              </w:rPr>
              <w:t>4,5</w:t>
            </w:r>
          </w:p>
        </w:tc>
        <w:tc>
          <w:tcPr>
            <w:tcW w:w="1335" w:type="dxa"/>
          </w:tcPr>
          <w:p w14:paraId="6F2EAFC4" w14:textId="77777777" w:rsidR="00411064" w:rsidRPr="00EB0D09" w:rsidRDefault="00411064">
            <w:pPr>
              <w:spacing w:line="276" w:lineRule="auto"/>
              <w:contextualSpacing/>
              <w:jc w:val="center"/>
              <w:rPr>
                <w:sz w:val="20"/>
                <w:szCs w:val="20"/>
              </w:rPr>
            </w:pPr>
            <w:r w:rsidRPr="00EB0D09">
              <w:rPr>
                <w:sz w:val="20"/>
                <w:szCs w:val="20"/>
              </w:rPr>
              <w:t>4,4</w:t>
            </w:r>
          </w:p>
        </w:tc>
      </w:tr>
    </w:tbl>
    <w:p w14:paraId="1DC1A027" w14:textId="77777777" w:rsidR="00EB0D09" w:rsidRDefault="00EB0D09" w:rsidP="00EB0D09">
      <w:pPr>
        <w:spacing w:line="276" w:lineRule="auto"/>
        <w:contextualSpacing/>
        <w:jc w:val="both"/>
        <w:rPr>
          <w:rFonts w:eastAsia="Calibri"/>
          <w:sz w:val="20"/>
          <w:szCs w:val="20"/>
        </w:rPr>
      </w:pPr>
      <w:r w:rsidRPr="00EB0D09">
        <w:rPr>
          <w:rFonts w:eastAsia="Calibri"/>
          <w:i/>
          <w:iCs/>
          <w:sz w:val="20"/>
          <w:szCs w:val="20"/>
        </w:rPr>
        <w:t>Источник:</w:t>
      </w:r>
      <w:r>
        <w:rPr>
          <w:rFonts w:eastAsia="Calibri"/>
          <w:sz w:val="20"/>
          <w:szCs w:val="20"/>
        </w:rPr>
        <w:t xml:space="preserve"> </w:t>
      </w:r>
      <w:r w:rsidRPr="00742EF3">
        <w:rPr>
          <w:rFonts w:eastAsia="Calibri"/>
          <w:sz w:val="20"/>
          <w:szCs w:val="20"/>
        </w:rPr>
        <w:t xml:space="preserve">составлено по </w:t>
      </w:r>
      <w:r>
        <w:rPr>
          <w:rFonts w:eastAsia="Calibri"/>
          <w:sz w:val="20"/>
          <w:szCs w:val="20"/>
        </w:rPr>
        <w:t>данным</w:t>
      </w:r>
      <w:r w:rsidRPr="00742EF3">
        <w:rPr>
          <w:rFonts w:eastAsia="Calibri"/>
          <w:sz w:val="20"/>
          <w:szCs w:val="20"/>
        </w:rPr>
        <w:t xml:space="preserve"> Росстата</w:t>
      </w:r>
      <w:r>
        <w:rPr>
          <w:rFonts w:eastAsia="Calibri"/>
          <w:sz w:val="20"/>
          <w:szCs w:val="20"/>
        </w:rPr>
        <w:t xml:space="preserve"> – </w:t>
      </w:r>
      <w:r>
        <w:rPr>
          <w:rFonts w:eastAsia="Calibri"/>
          <w:sz w:val="20"/>
          <w:szCs w:val="20"/>
          <w:lang w:val="en-US"/>
        </w:rPr>
        <w:t>URL</w:t>
      </w:r>
      <w:r w:rsidRPr="00742EF3">
        <w:rPr>
          <w:rFonts w:eastAsia="Calibri"/>
          <w:sz w:val="20"/>
          <w:szCs w:val="20"/>
        </w:rPr>
        <w:t>:</w:t>
      </w:r>
      <w:r>
        <w:rPr>
          <w:rFonts w:eastAsia="Calibri"/>
          <w:sz w:val="20"/>
          <w:szCs w:val="20"/>
          <w:lang w:val="en-US"/>
        </w:rPr>
        <w:t>http</w:t>
      </w:r>
      <w:r w:rsidRPr="00742EF3">
        <w:rPr>
          <w:rFonts w:eastAsia="Calibri"/>
          <w:sz w:val="20"/>
          <w:szCs w:val="20"/>
        </w:rPr>
        <w:t>://</w:t>
      </w:r>
      <w:r>
        <w:rPr>
          <w:rFonts w:eastAsia="Calibri"/>
          <w:sz w:val="20"/>
          <w:szCs w:val="20"/>
          <w:lang w:val="en-US"/>
        </w:rPr>
        <w:t>www</w:t>
      </w:r>
      <w:r w:rsidRPr="00742EF3">
        <w:rPr>
          <w:rFonts w:eastAsia="Calibri"/>
          <w:sz w:val="20"/>
          <w:szCs w:val="20"/>
        </w:rPr>
        <w:t>.</w:t>
      </w:r>
      <w:proofErr w:type="spellStart"/>
      <w:r>
        <w:rPr>
          <w:rFonts w:eastAsia="Calibri"/>
          <w:sz w:val="20"/>
          <w:szCs w:val="20"/>
          <w:lang w:val="en-US"/>
        </w:rPr>
        <w:t>gks</w:t>
      </w:r>
      <w:proofErr w:type="spellEnd"/>
      <w:r w:rsidRPr="00742EF3">
        <w:rPr>
          <w:rFonts w:eastAsia="Calibri"/>
          <w:sz w:val="20"/>
          <w:szCs w:val="20"/>
        </w:rPr>
        <w:t>.</w:t>
      </w:r>
      <w:proofErr w:type="spellStart"/>
      <w:r>
        <w:rPr>
          <w:rFonts w:eastAsia="Calibri"/>
          <w:sz w:val="20"/>
          <w:szCs w:val="20"/>
          <w:lang w:val="en-US"/>
        </w:rPr>
        <w:t>ru</w:t>
      </w:r>
      <w:proofErr w:type="spellEnd"/>
      <w:r w:rsidRPr="00742EF3">
        <w:rPr>
          <w:rFonts w:eastAsia="Calibri"/>
          <w:sz w:val="20"/>
          <w:szCs w:val="20"/>
        </w:rPr>
        <w:t xml:space="preserve"> (</w:t>
      </w:r>
      <w:r>
        <w:rPr>
          <w:rFonts w:eastAsia="Calibri"/>
          <w:sz w:val="20"/>
          <w:szCs w:val="20"/>
        </w:rPr>
        <w:t>дата обращения: 09.10.22)</w:t>
      </w:r>
    </w:p>
    <w:p w14:paraId="7EE15DA9" w14:textId="77777777" w:rsidR="00EB0D09" w:rsidRDefault="00EB0D09">
      <w:r>
        <w:t>_______________</w:t>
      </w:r>
    </w:p>
    <w:p w14:paraId="68B54581" w14:textId="4247C397" w:rsidR="00EB0D09" w:rsidRPr="00EB0D09" w:rsidRDefault="00EB0D09" w:rsidP="00411064">
      <w:pPr>
        <w:spacing w:line="276" w:lineRule="auto"/>
        <w:ind w:firstLine="709"/>
        <w:contextualSpacing/>
        <w:jc w:val="both"/>
        <w:rPr>
          <w:sz w:val="20"/>
          <w:szCs w:val="20"/>
        </w:rPr>
      </w:pPr>
      <w:r w:rsidRPr="00EB0D09">
        <w:rPr>
          <w:sz w:val="20"/>
          <w:szCs w:val="20"/>
        </w:rPr>
        <w:t>Примечани</w:t>
      </w:r>
      <w:r w:rsidR="00940ACB">
        <w:rPr>
          <w:sz w:val="20"/>
          <w:szCs w:val="20"/>
        </w:rPr>
        <w:t>я:</w:t>
      </w:r>
    </w:p>
    <w:p w14:paraId="15AF25F7" w14:textId="5C95E414" w:rsidR="00411064" w:rsidRPr="00EB0D09" w:rsidRDefault="00411064" w:rsidP="00411064">
      <w:pPr>
        <w:spacing w:line="276" w:lineRule="auto"/>
        <w:ind w:firstLine="709"/>
        <w:contextualSpacing/>
        <w:jc w:val="both"/>
        <w:rPr>
          <w:sz w:val="20"/>
          <w:szCs w:val="20"/>
        </w:rPr>
      </w:pPr>
      <w:r w:rsidRPr="00EB0D09">
        <w:rPr>
          <w:sz w:val="20"/>
          <w:szCs w:val="20"/>
        </w:rPr>
        <w:t>*Здесь и далее в разделе показатели регистрации приведены в пересчете на год.</w:t>
      </w:r>
    </w:p>
    <w:p w14:paraId="7B502DBF" w14:textId="77777777" w:rsidR="00411064" w:rsidRPr="00EB0D09" w:rsidRDefault="00411064" w:rsidP="00411064">
      <w:pPr>
        <w:spacing w:line="276" w:lineRule="auto"/>
        <w:ind w:firstLine="709"/>
        <w:contextualSpacing/>
        <w:jc w:val="both"/>
        <w:rPr>
          <w:sz w:val="20"/>
          <w:szCs w:val="20"/>
        </w:rPr>
      </w:pPr>
      <w:r w:rsidRPr="00EB0D09">
        <w:rPr>
          <w:sz w:val="20"/>
          <w:szCs w:val="20"/>
        </w:rPr>
        <w:t xml:space="preserve">**На 1000 </w:t>
      </w:r>
      <w:proofErr w:type="gramStart"/>
      <w:r w:rsidRPr="00EB0D09">
        <w:rPr>
          <w:sz w:val="20"/>
          <w:szCs w:val="20"/>
        </w:rPr>
        <w:t>родившихся</w:t>
      </w:r>
      <w:proofErr w:type="gramEnd"/>
      <w:r w:rsidRPr="00EB0D09">
        <w:rPr>
          <w:sz w:val="20"/>
          <w:szCs w:val="20"/>
        </w:rPr>
        <w:t xml:space="preserve"> живыми.</w:t>
      </w:r>
    </w:p>
    <w:p w14:paraId="3E58DB66" w14:textId="77777777" w:rsidR="00411064" w:rsidRPr="00934D38" w:rsidRDefault="00411064" w:rsidP="00411064">
      <w:pPr>
        <w:spacing w:line="276" w:lineRule="auto"/>
        <w:contextualSpacing/>
      </w:pPr>
    </w:p>
    <w:p w14:paraId="71E59BA3" w14:textId="46A7D3F2" w:rsidR="00411064" w:rsidRPr="00B51864" w:rsidRDefault="00411064" w:rsidP="00940ACB">
      <w:pPr>
        <w:spacing w:line="360" w:lineRule="auto"/>
        <w:ind w:firstLine="709"/>
        <w:contextualSpacing/>
        <w:jc w:val="both"/>
        <w:rPr>
          <w:sz w:val="28"/>
          <w:szCs w:val="28"/>
        </w:rPr>
      </w:pPr>
      <w:r w:rsidRPr="00B51864">
        <w:rPr>
          <w:sz w:val="28"/>
          <w:szCs w:val="28"/>
        </w:rPr>
        <w:t>Как видно из таблицы 1</w:t>
      </w:r>
      <w:r w:rsidR="00901ACF">
        <w:rPr>
          <w:sz w:val="28"/>
          <w:szCs w:val="28"/>
        </w:rPr>
        <w:t>6</w:t>
      </w:r>
      <w:r>
        <w:rPr>
          <w:sz w:val="28"/>
          <w:szCs w:val="28"/>
        </w:rPr>
        <w:t>,</w:t>
      </w:r>
      <w:r w:rsidRPr="00B51864">
        <w:rPr>
          <w:sz w:val="28"/>
          <w:szCs w:val="28"/>
        </w:rPr>
        <w:t xml:space="preserve"> естественная убыль за январь-июль 2022 года составила 401,6 тыс. чел. или сократилась на 22,0% против аналогичного периода прошлого года.</w:t>
      </w:r>
    </w:p>
    <w:p w14:paraId="1090B647" w14:textId="12E97CA7" w:rsidR="00411064" w:rsidRDefault="00411064" w:rsidP="00940ACB">
      <w:pPr>
        <w:spacing w:line="360" w:lineRule="auto"/>
        <w:ind w:firstLine="709"/>
        <w:contextualSpacing/>
        <w:jc w:val="both"/>
        <w:rPr>
          <w:sz w:val="28"/>
          <w:szCs w:val="28"/>
        </w:rPr>
      </w:pPr>
      <w:r w:rsidRPr="00B51864">
        <w:rPr>
          <w:sz w:val="28"/>
          <w:szCs w:val="28"/>
        </w:rPr>
        <w:t>Рассмотрим основные характеристики численности пенсионеров, п</w:t>
      </w:r>
      <w:r>
        <w:rPr>
          <w:sz w:val="28"/>
          <w:szCs w:val="28"/>
        </w:rPr>
        <w:t>олучающих пенсии (табл</w:t>
      </w:r>
      <w:r w:rsidR="00940ACB">
        <w:rPr>
          <w:sz w:val="28"/>
          <w:szCs w:val="28"/>
        </w:rPr>
        <w:t>ица</w:t>
      </w:r>
      <w:r w:rsidRPr="00B51864">
        <w:rPr>
          <w:sz w:val="28"/>
          <w:szCs w:val="28"/>
        </w:rPr>
        <w:t xml:space="preserve"> 1</w:t>
      </w:r>
      <w:r w:rsidR="00901ACF">
        <w:rPr>
          <w:sz w:val="28"/>
          <w:szCs w:val="28"/>
        </w:rPr>
        <w:t>7</w:t>
      </w:r>
      <w:r>
        <w:rPr>
          <w:sz w:val="28"/>
          <w:szCs w:val="28"/>
        </w:rPr>
        <w:t>)</w:t>
      </w:r>
      <w:r w:rsidRPr="00B51864">
        <w:rPr>
          <w:sz w:val="28"/>
          <w:szCs w:val="28"/>
        </w:rPr>
        <w:t>.</w:t>
      </w:r>
      <w:r w:rsidRPr="00B51864">
        <w:rPr>
          <w:sz w:val="28"/>
          <w:szCs w:val="28"/>
        </w:rPr>
        <w:tab/>
      </w:r>
    </w:p>
    <w:p w14:paraId="49E78E10" w14:textId="77777777" w:rsidR="00281131" w:rsidRPr="00B51864" w:rsidRDefault="00281131" w:rsidP="00411064">
      <w:pPr>
        <w:spacing w:line="276" w:lineRule="auto"/>
        <w:ind w:firstLine="709"/>
        <w:contextualSpacing/>
        <w:jc w:val="both"/>
        <w:rPr>
          <w:sz w:val="28"/>
          <w:szCs w:val="28"/>
        </w:rPr>
      </w:pPr>
    </w:p>
    <w:p w14:paraId="0ADD70BA" w14:textId="4F528A56" w:rsidR="00411064" w:rsidRDefault="00411064" w:rsidP="00940ACB">
      <w:pPr>
        <w:contextualSpacing/>
        <w:jc w:val="both"/>
        <w:rPr>
          <w:bCs/>
          <w:sz w:val="28"/>
          <w:szCs w:val="28"/>
        </w:rPr>
      </w:pPr>
      <w:r w:rsidRPr="00940ACB">
        <w:rPr>
          <w:bCs/>
          <w:sz w:val="28"/>
          <w:szCs w:val="28"/>
        </w:rPr>
        <w:t>Таблица 1</w:t>
      </w:r>
      <w:r w:rsidR="00901ACF">
        <w:rPr>
          <w:bCs/>
          <w:sz w:val="28"/>
          <w:szCs w:val="28"/>
        </w:rPr>
        <w:t>7</w:t>
      </w:r>
      <w:r w:rsidR="00940ACB" w:rsidRPr="00940ACB">
        <w:rPr>
          <w:bCs/>
          <w:sz w:val="28"/>
          <w:szCs w:val="28"/>
        </w:rPr>
        <w:t xml:space="preserve"> -</w:t>
      </w:r>
      <w:r w:rsidRPr="00940ACB">
        <w:rPr>
          <w:bCs/>
          <w:sz w:val="28"/>
          <w:szCs w:val="28"/>
        </w:rPr>
        <w:t xml:space="preserve"> Численность пенсионеров, получающих пенсии через территориальные органы Фонда, (тыс. человек)</w:t>
      </w:r>
    </w:p>
    <w:p w14:paraId="24D73D09" w14:textId="77777777" w:rsidR="00940ACB" w:rsidRPr="00940ACB" w:rsidRDefault="00940ACB" w:rsidP="00940ACB">
      <w:pPr>
        <w:contextualSpacing/>
        <w:jc w:val="both"/>
        <w:rPr>
          <w:bCs/>
          <w:sz w:val="28"/>
          <w:szCs w:val="28"/>
        </w:rPr>
      </w:pPr>
    </w:p>
    <w:tbl>
      <w:tblPr>
        <w:tblStyle w:val="ae"/>
        <w:tblW w:w="0" w:type="auto"/>
        <w:tblLook w:val="04A0" w:firstRow="1" w:lastRow="0" w:firstColumn="1" w:lastColumn="0" w:noHBand="0" w:noVBand="1"/>
      </w:tblPr>
      <w:tblGrid>
        <w:gridCol w:w="3397"/>
        <w:gridCol w:w="1276"/>
        <w:gridCol w:w="1418"/>
        <w:gridCol w:w="1134"/>
        <w:gridCol w:w="2120"/>
      </w:tblGrid>
      <w:tr w:rsidR="00411064" w:rsidRPr="00940ACB" w14:paraId="6669D4AD" w14:textId="77777777">
        <w:tc>
          <w:tcPr>
            <w:tcW w:w="3397" w:type="dxa"/>
            <w:vMerge w:val="restart"/>
          </w:tcPr>
          <w:p w14:paraId="6C3A3AF4" w14:textId="77777777" w:rsidR="00411064" w:rsidRPr="00940ACB" w:rsidRDefault="00411064">
            <w:pPr>
              <w:spacing w:line="276" w:lineRule="auto"/>
              <w:contextualSpacing/>
              <w:jc w:val="center"/>
              <w:rPr>
                <w:b/>
                <w:sz w:val="20"/>
                <w:szCs w:val="20"/>
              </w:rPr>
            </w:pPr>
          </w:p>
        </w:tc>
        <w:tc>
          <w:tcPr>
            <w:tcW w:w="1276" w:type="dxa"/>
          </w:tcPr>
          <w:p w14:paraId="10F48300" w14:textId="77777777" w:rsidR="00411064" w:rsidRPr="00940ACB" w:rsidRDefault="00411064">
            <w:pPr>
              <w:spacing w:line="276" w:lineRule="auto"/>
              <w:contextualSpacing/>
              <w:jc w:val="center"/>
              <w:rPr>
                <w:b/>
                <w:sz w:val="20"/>
                <w:szCs w:val="20"/>
              </w:rPr>
            </w:pPr>
            <w:r w:rsidRPr="00940ACB">
              <w:rPr>
                <w:b/>
                <w:sz w:val="20"/>
                <w:szCs w:val="20"/>
              </w:rPr>
              <w:t>Отчёт</w:t>
            </w:r>
          </w:p>
        </w:tc>
        <w:tc>
          <w:tcPr>
            <w:tcW w:w="4672" w:type="dxa"/>
            <w:gridSpan w:val="3"/>
          </w:tcPr>
          <w:p w14:paraId="0F526142" w14:textId="77777777" w:rsidR="00411064" w:rsidRPr="00940ACB" w:rsidRDefault="00411064">
            <w:pPr>
              <w:spacing w:line="276" w:lineRule="auto"/>
              <w:contextualSpacing/>
              <w:jc w:val="center"/>
              <w:rPr>
                <w:b/>
                <w:sz w:val="20"/>
                <w:szCs w:val="20"/>
              </w:rPr>
            </w:pPr>
            <w:r w:rsidRPr="00940ACB">
              <w:rPr>
                <w:b/>
                <w:sz w:val="20"/>
                <w:szCs w:val="20"/>
              </w:rPr>
              <w:t xml:space="preserve">Прогноз </w:t>
            </w:r>
          </w:p>
        </w:tc>
      </w:tr>
      <w:tr w:rsidR="00411064" w:rsidRPr="00940ACB" w14:paraId="588FB1ED" w14:textId="77777777">
        <w:tc>
          <w:tcPr>
            <w:tcW w:w="3397" w:type="dxa"/>
            <w:vMerge/>
          </w:tcPr>
          <w:p w14:paraId="0510D76E" w14:textId="77777777" w:rsidR="00411064" w:rsidRPr="00940ACB" w:rsidRDefault="00411064">
            <w:pPr>
              <w:spacing w:line="276" w:lineRule="auto"/>
              <w:contextualSpacing/>
              <w:jc w:val="center"/>
              <w:rPr>
                <w:b/>
                <w:sz w:val="20"/>
                <w:szCs w:val="20"/>
              </w:rPr>
            </w:pPr>
          </w:p>
        </w:tc>
        <w:tc>
          <w:tcPr>
            <w:tcW w:w="1276" w:type="dxa"/>
          </w:tcPr>
          <w:p w14:paraId="72253D9F" w14:textId="77777777" w:rsidR="00411064" w:rsidRPr="00940ACB" w:rsidRDefault="00411064">
            <w:pPr>
              <w:spacing w:line="276" w:lineRule="auto"/>
              <w:contextualSpacing/>
              <w:jc w:val="center"/>
              <w:rPr>
                <w:b/>
                <w:sz w:val="20"/>
                <w:szCs w:val="20"/>
              </w:rPr>
            </w:pPr>
            <w:r w:rsidRPr="00940ACB">
              <w:rPr>
                <w:b/>
                <w:sz w:val="20"/>
                <w:szCs w:val="20"/>
              </w:rPr>
              <w:t>на начало 2022 года</w:t>
            </w:r>
            <w:r w:rsidRPr="00940ACB">
              <w:rPr>
                <w:b/>
                <w:sz w:val="20"/>
                <w:szCs w:val="20"/>
              </w:rPr>
              <w:tab/>
            </w:r>
          </w:p>
        </w:tc>
        <w:tc>
          <w:tcPr>
            <w:tcW w:w="1418" w:type="dxa"/>
          </w:tcPr>
          <w:p w14:paraId="19B9F27A" w14:textId="77777777" w:rsidR="00411064" w:rsidRPr="00940ACB" w:rsidRDefault="00411064">
            <w:pPr>
              <w:spacing w:line="276" w:lineRule="auto"/>
              <w:contextualSpacing/>
              <w:jc w:val="center"/>
              <w:rPr>
                <w:b/>
                <w:sz w:val="20"/>
                <w:szCs w:val="20"/>
              </w:rPr>
            </w:pPr>
            <w:r w:rsidRPr="00940ACB">
              <w:rPr>
                <w:b/>
                <w:sz w:val="20"/>
                <w:szCs w:val="20"/>
              </w:rPr>
              <w:t>на начало 2023 года</w:t>
            </w:r>
            <w:r w:rsidRPr="00940ACB">
              <w:rPr>
                <w:b/>
                <w:sz w:val="20"/>
                <w:szCs w:val="20"/>
              </w:rPr>
              <w:tab/>
            </w:r>
          </w:p>
        </w:tc>
        <w:tc>
          <w:tcPr>
            <w:tcW w:w="1134" w:type="dxa"/>
          </w:tcPr>
          <w:p w14:paraId="0D97F396" w14:textId="77777777" w:rsidR="00411064" w:rsidRPr="00940ACB" w:rsidRDefault="00411064">
            <w:pPr>
              <w:spacing w:line="276" w:lineRule="auto"/>
              <w:contextualSpacing/>
              <w:jc w:val="center"/>
              <w:rPr>
                <w:b/>
                <w:sz w:val="20"/>
                <w:szCs w:val="20"/>
              </w:rPr>
            </w:pPr>
            <w:r w:rsidRPr="00940ACB">
              <w:rPr>
                <w:b/>
                <w:sz w:val="20"/>
                <w:szCs w:val="20"/>
              </w:rPr>
              <w:t>на начало 2024 года</w:t>
            </w:r>
            <w:r w:rsidRPr="00940ACB">
              <w:rPr>
                <w:b/>
                <w:sz w:val="20"/>
                <w:szCs w:val="20"/>
              </w:rPr>
              <w:tab/>
            </w:r>
          </w:p>
        </w:tc>
        <w:tc>
          <w:tcPr>
            <w:tcW w:w="2120" w:type="dxa"/>
          </w:tcPr>
          <w:p w14:paraId="19687CFD" w14:textId="77777777" w:rsidR="00411064" w:rsidRPr="00940ACB" w:rsidRDefault="00411064">
            <w:pPr>
              <w:spacing w:line="276" w:lineRule="auto"/>
              <w:contextualSpacing/>
              <w:jc w:val="center"/>
              <w:rPr>
                <w:b/>
                <w:sz w:val="20"/>
                <w:szCs w:val="20"/>
              </w:rPr>
            </w:pPr>
            <w:r w:rsidRPr="00940ACB">
              <w:rPr>
                <w:b/>
                <w:sz w:val="20"/>
                <w:szCs w:val="20"/>
              </w:rPr>
              <w:t>увеличение/ уменьшение численности пенсионеров за 2023 год</w:t>
            </w:r>
          </w:p>
        </w:tc>
      </w:tr>
      <w:tr w:rsidR="00411064" w:rsidRPr="00940ACB" w14:paraId="3F279486" w14:textId="77777777">
        <w:tc>
          <w:tcPr>
            <w:tcW w:w="3397" w:type="dxa"/>
          </w:tcPr>
          <w:p w14:paraId="1BA9BDE5" w14:textId="77777777" w:rsidR="00411064" w:rsidRPr="00940ACB" w:rsidRDefault="00411064">
            <w:pPr>
              <w:spacing w:line="276" w:lineRule="auto"/>
              <w:contextualSpacing/>
              <w:rPr>
                <w:sz w:val="20"/>
                <w:szCs w:val="20"/>
              </w:rPr>
            </w:pPr>
            <w:r w:rsidRPr="00940ACB">
              <w:rPr>
                <w:sz w:val="20"/>
                <w:szCs w:val="20"/>
              </w:rPr>
              <w:t xml:space="preserve">Всего пенсионеров </w:t>
            </w:r>
          </w:p>
        </w:tc>
        <w:tc>
          <w:tcPr>
            <w:tcW w:w="1276" w:type="dxa"/>
          </w:tcPr>
          <w:p w14:paraId="59E6CA23" w14:textId="2F95CC24" w:rsidR="00411064" w:rsidRPr="00940ACB" w:rsidRDefault="00411064" w:rsidP="00281131">
            <w:pPr>
              <w:spacing w:line="276" w:lineRule="auto"/>
              <w:contextualSpacing/>
              <w:jc w:val="center"/>
              <w:rPr>
                <w:sz w:val="20"/>
                <w:szCs w:val="20"/>
              </w:rPr>
            </w:pPr>
            <w:r w:rsidRPr="00940ACB">
              <w:rPr>
                <w:sz w:val="20"/>
                <w:szCs w:val="20"/>
              </w:rPr>
              <w:t>42 006,5</w:t>
            </w:r>
          </w:p>
        </w:tc>
        <w:tc>
          <w:tcPr>
            <w:tcW w:w="1418" w:type="dxa"/>
          </w:tcPr>
          <w:p w14:paraId="05E599A7" w14:textId="20C541F8" w:rsidR="00411064" w:rsidRPr="00940ACB" w:rsidRDefault="00411064" w:rsidP="00281131">
            <w:pPr>
              <w:spacing w:line="276" w:lineRule="auto"/>
              <w:contextualSpacing/>
              <w:jc w:val="center"/>
              <w:rPr>
                <w:sz w:val="20"/>
                <w:szCs w:val="20"/>
              </w:rPr>
            </w:pPr>
            <w:r w:rsidRPr="00940ACB">
              <w:rPr>
                <w:sz w:val="20"/>
                <w:szCs w:val="20"/>
              </w:rPr>
              <w:t>41 591,4</w:t>
            </w:r>
          </w:p>
        </w:tc>
        <w:tc>
          <w:tcPr>
            <w:tcW w:w="1134" w:type="dxa"/>
          </w:tcPr>
          <w:p w14:paraId="54445596" w14:textId="4A80861C" w:rsidR="00411064" w:rsidRPr="00940ACB" w:rsidRDefault="00411064" w:rsidP="00281131">
            <w:pPr>
              <w:spacing w:line="276" w:lineRule="auto"/>
              <w:contextualSpacing/>
              <w:jc w:val="center"/>
              <w:rPr>
                <w:sz w:val="20"/>
                <w:szCs w:val="20"/>
              </w:rPr>
            </w:pPr>
            <w:r w:rsidRPr="00940ACB">
              <w:rPr>
                <w:sz w:val="20"/>
                <w:szCs w:val="20"/>
              </w:rPr>
              <w:t>40 723,5</w:t>
            </w:r>
          </w:p>
        </w:tc>
        <w:tc>
          <w:tcPr>
            <w:tcW w:w="2120" w:type="dxa"/>
          </w:tcPr>
          <w:p w14:paraId="5C9444FD" w14:textId="77777777" w:rsidR="00411064" w:rsidRPr="00940ACB" w:rsidRDefault="00411064">
            <w:pPr>
              <w:spacing w:line="276" w:lineRule="auto"/>
              <w:contextualSpacing/>
              <w:jc w:val="center"/>
              <w:rPr>
                <w:sz w:val="20"/>
                <w:szCs w:val="20"/>
              </w:rPr>
            </w:pPr>
            <w:r w:rsidRPr="00940ACB">
              <w:rPr>
                <w:sz w:val="20"/>
                <w:szCs w:val="20"/>
              </w:rPr>
              <w:t>-867,9</w:t>
            </w:r>
          </w:p>
        </w:tc>
      </w:tr>
      <w:tr w:rsidR="00411064" w:rsidRPr="00940ACB" w14:paraId="74457A25" w14:textId="77777777">
        <w:tc>
          <w:tcPr>
            <w:tcW w:w="3397" w:type="dxa"/>
          </w:tcPr>
          <w:p w14:paraId="6C79A0C2" w14:textId="77777777" w:rsidR="00411064" w:rsidRPr="00940ACB" w:rsidRDefault="00411064">
            <w:pPr>
              <w:spacing w:line="276" w:lineRule="auto"/>
              <w:contextualSpacing/>
              <w:rPr>
                <w:sz w:val="20"/>
                <w:szCs w:val="20"/>
              </w:rPr>
            </w:pPr>
            <w:r w:rsidRPr="00940ACB">
              <w:rPr>
                <w:sz w:val="20"/>
                <w:szCs w:val="20"/>
              </w:rPr>
              <w:t>в том числе:</w:t>
            </w:r>
          </w:p>
          <w:p w14:paraId="111928A4" w14:textId="77777777" w:rsidR="00411064" w:rsidRPr="00940ACB" w:rsidRDefault="00411064">
            <w:pPr>
              <w:spacing w:line="276" w:lineRule="auto"/>
              <w:contextualSpacing/>
              <w:rPr>
                <w:sz w:val="20"/>
                <w:szCs w:val="20"/>
              </w:rPr>
            </w:pPr>
            <w:r w:rsidRPr="00940ACB">
              <w:rPr>
                <w:sz w:val="20"/>
                <w:szCs w:val="20"/>
              </w:rPr>
              <w:t>пенсионеров – получателей страховой пенсии*, из них:</w:t>
            </w:r>
          </w:p>
        </w:tc>
        <w:tc>
          <w:tcPr>
            <w:tcW w:w="1276" w:type="dxa"/>
          </w:tcPr>
          <w:p w14:paraId="0D38E04A" w14:textId="77777777" w:rsidR="00411064" w:rsidRPr="00940ACB" w:rsidRDefault="00411064">
            <w:pPr>
              <w:spacing w:line="276" w:lineRule="auto"/>
              <w:contextualSpacing/>
              <w:jc w:val="center"/>
              <w:rPr>
                <w:sz w:val="20"/>
                <w:szCs w:val="20"/>
              </w:rPr>
            </w:pPr>
            <w:r w:rsidRPr="00940ACB">
              <w:rPr>
                <w:sz w:val="20"/>
                <w:szCs w:val="20"/>
              </w:rPr>
              <w:t>38 208,9</w:t>
            </w:r>
            <w:r w:rsidRPr="00940ACB">
              <w:rPr>
                <w:sz w:val="20"/>
                <w:szCs w:val="20"/>
              </w:rPr>
              <w:tab/>
            </w:r>
          </w:p>
        </w:tc>
        <w:tc>
          <w:tcPr>
            <w:tcW w:w="1418" w:type="dxa"/>
          </w:tcPr>
          <w:p w14:paraId="5A014003" w14:textId="77777777" w:rsidR="00411064" w:rsidRPr="00940ACB" w:rsidRDefault="00411064">
            <w:pPr>
              <w:spacing w:line="276" w:lineRule="auto"/>
              <w:contextualSpacing/>
              <w:jc w:val="center"/>
              <w:rPr>
                <w:sz w:val="20"/>
                <w:szCs w:val="20"/>
              </w:rPr>
            </w:pPr>
            <w:r w:rsidRPr="00940ACB">
              <w:rPr>
                <w:sz w:val="20"/>
                <w:szCs w:val="20"/>
              </w:rPr>
              <w:t>37 700,2</w:t>
            </w:r>
            <w:r w:rsidRPr="00940ACB">
              <w:rPr>
                <w:sz w:val="20"/>
                <w:szCs w:val="20"/>
              </w:rPr>
              <w:tab/>
            </w:r>
          </w:p>
        </w:tc>
        <w:tc>
          <w:tcPr>
            <w:tcW w:w="1134" w:type="dxa"/>
          </w:tcPr>
          <w:p w14:paraId="7D0197B7" w14:textId="77777777" w:rsidR="00411064" w:rsidRPr="00940ACB" w:rsidRDefault="00411064">
            <w:pPr>
              <w:spacing w:line="276" w:lineRule="auto"/>
              <w:contextualSpacing/>
              <w:jc w:val="center"/>
              <w:rPr>
                <w:sz w:val="20"/>
                <w:szCs w:val="20"/>
              </w:rPr>
            </w:pPr>
            <w:r w:rsidRPr="00940ACB">
              <w:rPr>
                <w:sz w:val="20"/>
                <w:szCs w:val="20"/>
              </w:rPr>
              <w:t>36 761,4</w:t>
            </w:r>
            <w:r w:rsidRPr="00940ACB">
              <w:rPr>
                <w:sz w:val="20"/>
                <w:szCs w:val="20"/>
              </w:rPr>
              <w:tab/>
            </w:r>
          </w:p>
        </w:tc>
        <w:tc>
          <w:tcPr>
            <w:tcW w:w="2120" w:type="dxa"/>
          </w:tcPr>
          <w:p w14:paraId="41264583" w14:textId="77777777" w:rsidR="00411064" w:rsidRPr="00940ACB" w:rsidRDefault="00411064">
            <w:pPr>
              <w:spacing w:line="276" w:lineRule="auto"/>
              <w:contextualSpacing/>
              <w:jc w:val="center"/>
              <w:rPr>
                <w:sz w:val="20"/>
                <w:szCs w:val="20"/>
              </w:rPr>
            </w:pPr>
            <w:r w:rsidRPr="00940ACB">
              <w:rPr>
                <w:sz w:val="20"/>
                <w:szCs w:val="20"/>
              </w:rPr>
              <w:t>-938,8</w:t>
            </w:r>
          </w:p>
        </w:tc>
      </w:tr>
      <w:tr w:rsidR="00411064" w:rsidRPr="00940ACB" w14:paraId="6357A809" w14:textId="77777777">
        <w:tc>
          <w:tcPr>
            <w:tcW w:w="3397" w:type="dxa"/>
          </w:tcPr>
          <w:p w14:paraId="286BC931" w14:textId="77777777" w:rsidR="00411064" w:rsidRPr="00940ACB" w:rsidRDefault="00411064">
            <w:pPr>
              <w:spacing w:line="276" w:lineRule="auto"/>
              <w:contextualSpacing/>
              <w:rPr>
                <w:sz w:val="20"/>
                <w:szCs w:val="20"/>
              </w:rPr>
            </w:pPr>
            <w:r w:rsidRPr="00940ACB">
              <w:rPr>
                <w:sz w:val="20"/>
                <w:szCs w:val="20"/>
              </w:rPr>
              <w:t>пенсионеров – получателей накопительной пенсии</w:t>
            </w:r>
          </w:p>
        </w:tc>
        <w:tc>
          <w:tcPr>
            <w:tcW w:w="1276" w:type="dxa"/>
          </w:tcPr>
          <w:p w14:paraId="4A121812" w14:textId="77777777" w:rsidR="00411064" w:rsidRPr="00940ACB" w:rsidRDefault="00411064">
            <w:pPr>
              <w:spacing w:line="276" w:lineRule="auto"/>
              <w:contextualSpacing/>
              <w:jc w:val="center"/>
              <w:rPr>
                <w:sz w:val="20"/>
                <w:szCs w:val="20"/>
              </w:rPr>
            </w:pPr>
            <w:r w:rsidRPr="00940ACB">
              <w:rPr>
                <w:sz w:val="20"/>
                <w:szCs w:val="20"/>
              </w:rPr>
              <w:t>94,3</w:t>
            </w:r>
            <w:r w:rsidRPr="00940ACB">
              <w:rPr>
                <w:sz w:val="20"/>
                <w:szCs w:val="20"/>
              </w:rPr>
              <w:tab/>
            </w:r>
          </w:p>
        </w:tc>
        <w:tc>
          <w:tcPr>
            <w:tcW w:w="1418" w:type="dxa"/>
          </w:tcPr>
          <w:p w14:paraId="33323804" w14:textId="77777777" w:rsidR="00411064" w:rsidRPr="00940ACB" w:rsidRDefault="00411064">
            <w:pPr>
              <w:spacing w:line="276" w:lineRule="auto"/>
              <w:contextualSpacing/>
              <w:jc w:val="center"/>
              <w:rPr>
                <w:sz w:val="20"/>
                <w:szCs w:val="20"/>
              </w:rPr>
            </w:pPr>
            <w:r w:rsidRPr="00940ACB">
              <w:rPr>
                <w:sz w:val="20"/>
                <w:szCs w:val="20"/>
              </w:rPr>
              <w:t>173,7</w:t>
            </w:r>
            <w:r w:rsidRPr="00940ACB">
              <w:rPr>
                <w:sz w:val="20"/>
                <w:szCs w:val="20"/>
              </w:rPr>
              <w:tab/>
            </w:r>
          </w:p>
        </w:tc>
        <w:tc>
          <w:tcPr>
            <w:tcW w:w="1134" w:type="dxa"/>
          </w:tcPr>
          <w:p w14:paraId="289BC440" w14:textId="77777777" w:rsidR="00411064" w:rsidRPr="00940ACB" w:rsidRDefault="00411064">
            <w:pPr>
              <w:spacing w:line="276" w:lineRule="auto"/>
              <w:contextualSpacing/>
              <w:jc w:val="center"/>
              <w:rPr>
                <w:sz w:val="20"/>
                <w:szCs w:val="20"/>
              </w:rPr>
            </w:pPr>
            <w:r w:rsidRPr="00940ACB">
              <w:rPr>
                <w:sz w:val="20"/>
                <w:szCs w:val="20"/>
              </w:rPr>
              <w:t>229,7</w:t>
            </w:r>
            <w:r w:rsidRPr="00940ACB">
              <w:rPr>
                <w:sz w:val="20"/>
                <w:szCs w:val="20"/>
              </w:rPr>
              <w:tab/>
            </w:r>
          </w:p>
        </w:tc>
        <w:tc>
          <w:tcPr>
            <w:tcW w:w="2120" w:type="dxa"/>
          </w:tcPr>
          <w:p w14:paraId="7AC49A12" w14:textId="77777777" w:rsidR="00411064" w:rsidRPr="00940ACB" w:rsidRDefault="00411064">
            <w:pPr>
              <w:spacing w:line="276" w:lineRule="auto"/>
              <w:contextualSpacing/>
              <w:jc w:val="center"/>
              <w:rPr>
                <w:sz w:val="20"/>
                <w:szCs w:val="20"/>
              </w:rPr>
            </w:pPr>
            <w:r w:rsidRPr="00940ACB">
              <w:rPr>
                <w:sz w:val="20"/>
                <w:szCs w:val="20"/>
              </w:rPr>
              <w:t>+56,0</w:t>
            </w:r>
          </w:p>
        </w:tc>
      </w:tr>
      <w:tr w:rsidR="00411064" w:rsidRPr="00940ACB" w14:paraId="03E9C895" w14:textId="77777777">
        <w:tc>
          <w:tcPr>
            <w:tcW w:w="3397" w:type="dxa"/>
          </w:tcPr>
          <w:p w14:paraId="34D65915" w14:textId="77777777" w:rsidR="00411064" w:rsidRPr="00940ACB" w:rsidRDefault="00411064">
            <w:pPr>
              <w:spacing w:line="276" w:lineRule="auto"/>
              <w:contextualSpacing/>
              <w:rPr>
                <w:sz w:val="20"/>
                <w:szCs w:val="20"/>
              </w:rPr>
            </w:pPr>
            <w:r w:rsidRPr="00940ACB">
              <w:rPr>
                <w:sz w:val="20"/>
                <w:szCs w:val="20"/>
              </w:rPr>
              <w:t>пенсионеров – получателей срочной пенсионной выплаты</w:t>
            </w:r>
          </w:p>
        </w:tc>
        <w:tc>
          <w:tcPr>
            <w:tcW w:w="1276" w:type="dxa"/>
          </w:tcPr>
          <w:p w14:paraId="1E243F1E" w14:textId="77777777" w:rsidR="00411064" w:rsidRPr="00940ACB" w:rsidRDefault="00411064">
            <w:pPr>
              <w:spacing w:line="276" w:lineRule="auto"/>
              <w:contextualSpacing/>
              <w:jc w:val="center"/>
              <w:rPr>
                <w:sz w:val="20"/>
                <w:szCs w:val="20"/>
              </w:rPr>
            </w:pPr>
            <w:r w:rsidRPr="00940ACB">
              <w:rPr>
                <w:sz w:val="20"/>
                <w:szCs w:val="20"/>
              </w:rPr>
              <w:t>37,4</w:t>
            </w:r>
            <w:r w:rsidRPr="00940ACB">
              <w:rPr>
                <w:sz w:val="20"/>
                <w:szCs w:val="20"/>
              </w:rPr>
              <w:tab/>
            </w:r>
          </w:p>
        </w:tc>
        <w:tc>
          <w:tcPr>
            <w:tcW w:w="1418" w:type="dxa"/>
          </w:tcPr>
          <w:p w14:paraId="6F96161F" w14:textId="77777777" w:rsidR="00411064" w:rsidRPr="00940ACB" w:rsidRDefault="00411064">
            <w:pPr>
              <w:spacing w:line="276" w:lineRule="auto"/>
              <w:contextualSpacing/>
              <w:jc w:val="center"/>
              <w:rPr>
                <w:sz w:val="20"/>
                <w:szCs w:val="20"/>
              </w:rPr>
            </w:pPr>
            <w:r w:rsidRPr="00940ACB">
              <w:rPr>
                <w:sz w:val="20"/>
                <w:szCs w:val="20"/>
              </w:rPr>
              <w:t>44,7</w:t>
            </w:r>
            <w:r w:rsidRPr="00940ACB">
              <w:rPr>
                <w:sz w:val="20"/>
                <w:szCs w:val="20"/>
              </w:rPr>
              <w:tab/>
            </w:r>
          </w:p>
        </w:tc>
        <w:tc>
          <w:tcPr>
            <w:tcW w:w="1134" w:type="dxa"/>
          </w:tcPr>
          <w:p w14:paraId="6BDB9440" w14:textId="77777777" w:rsidR="00411064" w:rsidRPr="00940ACB" w:rsidRDefault="00411064">
            <w:pPr>
              <w:spacing w:line="276" w:lineRule="auto"/>
              <w:contextualSpacing/>
              <w:jc w:val="center"/>
              <w:rPr>
                <w:sz w:val="20"/>
                <w:szCs w:val="20"/>
              </w:rPr>
            </w:pPr>
            <w:r w:rsidRPr="00940ACB">
              <w:rPr>
                <w:sz w:val="20"/>
                <w:szCs w:val="20"/>
              </w:rPr>
              <w:t>48,4</w:t>
            </w:r>
          </w:p>
        </w:tc>
        <w:tc>
          <w:tcPr>
            <w:tcW w:w="2120" w:type="dxa"/>
          </w:tcPr>
          <w:p w14:paraId="61D35827" w14:textId="77777777" w:rsidR="00411064" w:rsidRPr="00940ACB" w:rsidRDefault="00411064">
            <w:pPr>
              <w:spacing w:line="276" w:lineRule="auto"/>
              <w:contextualSpacing/>
              <w:jc w:val="center"/>
              <w:rPr>
                <w:sz w:val="20"/>
                <w:szCs w:val="20"/>
              </w:rPr>
            </w:pPr>
            <w:r w:rsidRPr="00940ACB">
              <w:rPr>
                <w:sz w:val="20"/>
                <w:szCs w:val="20"/>
              </w:rPr>
              <w:t>+3,7</w:t>
            </w:r>
          </w:p>
        </w:tc>
      </w:tr>
      <w:tr w:rsidR="00411064" w:rsidRPr="00940ACB" w14:paraId="29D3C017" w14:textId="77777777">
        <w:tc>
          <w:tcPr>
            <w:tcW w:w="3397" w:type="dxa"/>
          </w:tcPr>
          <w:p w14:paraId="3AC0ABA2" w14:textId="77777777" w:rsidR="00411064" w:rsidRPr="00940ACB" w:rsidRDefault="00411064">
            <w:pPr>
              <w:spacing w:line="276" w:lineRule="auto"/>
              <w:contextualSpacing/>
              <w:rPr>
                <w:sz w:val="20"/>
                <w:szCs w:val="20"/>
              </w:rPr>
            </w:pPr>
            <w:r w:rsidRPr="00940ACB">
              <w:rPr>
                <w:sz w:val="20"/>
                <w:szCs w:val="20"/>
              </w:rPr>
              <w:t xml:space="preserve">пенсионеров – получателей пенсий </w:t>
            </w:r>
          </w:p>
          <w:p w14:paraId="0C8545D7" w14:textId="77777777" w:rsidR="00411064" w:rsidRPr="00940ACB" w:rsidRDefault="00411064">
            <w:pPr>
              <w:spacing w:line="276" w:lineRule="auto"/>
              <w:contextualSpacing/>
              <w:rPr>
                <w:sz w:val="20"/>
                <w:szCs w:val="20"/>
              </w:rPr>
            </w:pPr>
            <w:r w:rsidRPr="00940ACB">
              <w:rPr>
                <w:sz w:val="20"/>
                <w:szCs w:val="20"/>
              </w:rPr>
              <w:t>по государственному пенсионному обеспечению</w:t>
            </w:r>
          </w:p>
        </w:tc>
        <w:tc>
          <w:tcPr>
            <w:tcW w:w="1276" w:type="dxa"/>
          </w:tcPr>
          <w:p w14:paraId="6FD4F05E" w14:textId="77777777" w:rsidR="00411064" w:rsidRPr="00940ACB" w:rsidRDefault="00411064">
            <w:pPr>
              <w:spacing w:line="276" w:lineRule="auto"/>
              <w:contextualSpacing/>
              <w:jc w:val="center"/>
              <w:rPr>
                <w:sz w:val="20"/>
                <w:szCs w:val="20"/>
              </w:rPr>
            </w:pPr>
            <w:r w:rsidRPr="00940ACB">
              <w:rPr>
                <w:sz w:val="20"/>
                <w:szCs w:val="20"/>
              </w:rPr>
              <w:t>3 797,6</w:t>
            </w:r>
            <w:r w:rsidRPr="00940ACB">
              <w:rPr>
                <w:sz w:val="20"/>
                <w:szCs w:val="20"/>
              </w:rPr>
              <w:tab/>
            </w:r>
          </w:p>
        </w:tc>
        <w:tc>
          <w:tcPr>
            <w:tcW w:w="1418" w:type="dxa"/>
          </w:tcPr>
          <w:p w14:paraId="571626E1" w14:textId="77777777" w:rsidR="00411064" w:rsidRPr="00940ACB" w:rsidRDefault="00411064">
            <w:pPr>
              <w:spacing w:line="276" w:lineRule="auto"/>
              <w:contextualSpacing/>
              <w:jc w:val="center"/>
              <w:rPr>
                <w:sz w:val="20"/>
                <w:szCs w:val="20"/>
              </w:rPr>
            </w:pPr>
            <w:r w:rsidRPr="00940ACB">
              <w:rPr>
                <w:sz w:val="20"/>
                <w:szCs w:val="20"/>
              </w:rPr>
              <w:t>3 891,2</w:t>
            </w:r>
            <w:r w:rsidRPr="00940ACB">
              <w:rPr>
                <w:sz w:val="20"/>
                <w:szCs w:val="20"/>
              </w:rPr>
              <w:tab/>
            </w:r>
          </w:p>
        </w:tc>
        <w:tc>
          <w:tcPr>
            <w:tcW w:w="1134" w:type="dxa"/>
          </w:tcPr>
          <w:p w14:paraId="07DE72C3" w14:textId="77777777" w:rsidR="00411064" w:rsidRPr="00940ACB" w:rsidRDefault="00411064">
            <w:pPr>
              <w:spacing w:line="276" w:lineRule="auto"/>
              <w:contextualSpacing/>
              <w:jc w:val="center"/>
              <w:rPr>
                <w:sz w:val="20"/>
                <w:szCs w:val="20"/>
              </w:rPr>
            </w:pPr>
            <w:r w:rsidRPr="00940ACB">
              <w:rPr>
                <w:sz w:val="20"/>
                <w:szCs w:val="20"/>
              </w:rPr>
              <w:t>3 962,1</w:t>
            </w:r>
            <w:r w:rsidRPr="00940ACB">
              <w:rPr>
                <w:sz w:val="20"/>
                <w:szCs w:val="20"/>
              </w:rPr>
              <w:tab/>
            </w:r>
          </w:p>
        </w:tc>
        <w:tc>
          <w:tcPr>
            <w:tcW w:w="2120" w:type="dxa"/>
          </w:tcPr>
          <w:p w14:paraId="7BE56154" w14:textId="77777777" w:rsidR="00411064" w:rsidRPr="00940ACB" w:rsidRDefault="00411064">
            <w:pPr>
              <w:spacing w:line="276" w:lineRule="auto"/>
              <w:contextualSpacing/>
              <w:jc w:val="center"/>
              <w:rPr>
                <w:sz w:val="20"/>
                <w:szCs w:val="20"/>
              </w:rPr>
            </w:pPr>
            <w:r w:rsidRPr="00940ACB">
              <w:rPr>
                <w:sz w:val="20"/>
                <w:szCs w:val="20"/>
              </w:rPr>
              <w:t>+70,9</w:t>
            </w:r>
          </w:p>
        </w:tc>
      </w:tr>
    </w:tbl>
    <w:p w14:paraId="27E2166F" w14:textId="77777777" w:rsidR="00940ACB" w:rsidRPr="00940ACB" w:rsidRDefault="00940ACB" w:rsidP="00940ACB">
      <w:pPr>
        <w:spacing w:line="276" w:lineRule="auto"/>
        <w:ind w:firstLine="709"/>
        <w:contextualSpacing/>
        <w:jc w:val="both"/>
        <w:rPr>
          <w:sz w:val="20"/>
          <w:szCs w:val="20"/>
        </w:rPr>
      </w:pPr>
      <w:r w:rsidRPr="00940ACB">
        <w:rPr>
          <w:i/>
          <w:sz w:val="20"/>
          <w:szCs w:val="20"/>
        </w:rPr>
        <w:t>Источник</w:t>
      </w:r>
      <w:r w:rsidRPr="00940ACB">
        <w:rPr>
          <w:sz w:val="20"/>
          <w:szCs w:val="20"/>
        </w:rPr>
        <w:t xml:space="preserve">: составлено </w:t>
      </w:r>
      <w:r w:rsidRPr="00940ACB">
        <w:rPr>
          <w:rFonts w:eastAsia="Calibri"/>
          <w:sz w:val="20"/>
          <w:szCs w:val="20"/>
        </w:rPr>
        <w:t>экспертами</w:t>
      </w:r>
      <w:r w:rsidRPr="00940ACB">
        <w:rPr>
          <w:color w:val="FF0000"/>
          <w:sz w:val="20"/>
          <w:szCs w:val="20"/>
        </w:rPr>
        <w:t xml:space="preserve"> </w:t>
      </w:r>
      <w:r w:rsidRPr="00940ACB">
        <w:rPr>
          <w:sz w:val="20"/>
          <w:szCs w:val="20"/>
        </w:rPr>
        <w:t>по данным Пояснительной записки Пенсионного фонда</w:t>
      </w:r>
      <w:r w:rsidRPr="00940ACB">
        <w:rPr>
          <w:sz w:val="20"/>
          <w:szCs w:val="20"/>
          <w:vertAlign w:val="superscript"/>
        </w:rPr>
        <w:footnoteReference w:id="21"/>
      </w:r>
      <w:r w:rsidRPr="00940ACB">
        <w:rPr>
          <w:sz w:val="20"/>
          <w:szCs w:val="20"/>
        </w:rPr>
        <w:t>.</w:t>
      </w:r>
    </w:p>
    <w:p w14:paraId="6726E4CC" w14:textId="268380BC" w:rsidR="00940ACB" w:rsidRDefault="00940ACB" w:rsidP="00940ACB">
      <w:pPr>
        <w:ind w:firstLine="709"/>
      </w:pPr>
      <w:r>
        <w:t>_________________________</w:t>
      </w:r>
    </w:p>
    <w:p w14:paraId="689DFA77" w14:textId="76AD085E" w:rsidR="00940ACB" w:rsidRPr="00940ACB" w:rsidRDefault="00940ACB" w:rsidP="00411064">
      <w:pPr>
        <w:spacing w:line="276" w:lineRule="auto"/>
        <w:ind w:firstLine="709"/>
        <w:contextualSpacing/>
        <w:jc w:val="both"/>
        <w:rPr>
          <w:sz w:val="20"/>
          <w:szCs w:val="20"/>
        </w:rPr>
      </w:pPr>
      <w:r w:rsidRPr="00940ACB">
        <w:rPr>
          <w:sz w:val="20"/>
          <w:szCs w:val="20"/>
        </w:rPr>
        <w:t xml:space="preserve">Примечание: </w:t>
      </w:r>
    </w:p>
    <w:p w14:paraId="3B7CED79" w14:textId="3E9DB518" w:rsidR="00411064" w:rsidRPr="00940ACB" w:rsidRDefault="00411064" w:rsidP="00411064">
      <w:pPr>
        <w:spacing w:line="276" w:lineRule="auto"/>
        <w:ind w:firstLine="709"/>
        <w:contextualSpacing/>
        <w:jc w:val="both"/>
        <w:rPr>
          <w:sz w:val="20"/>
          <w:szCs w:val="20"/>
        </w:rPr>
      </w:pPr>
      <w:r w:rsidRPr="00940ACB">
        <w:rPr>
          <w:sz w:val="20"/>
          <w:szCs w:val="20"/>
        </w:rPr>
        <w:t>* с учетом получателей страховых пенсий федеральных государственных гражданских служащих, летчиков-испытателей, космонавтов и членов их семей.</w:t>
      </w:r>
    </w:p>
    <w:p w14:paraId="5FE6D59F" w14:textId="77777777" w:rsidR="00940ACB" w:rsidRDefault="00940ACB" w:rsidP="00411064">
      <w:pPr>
        <w:spacing w:line="276" w:lineRule="auto"/>
        <w:ind w:firstLine="709"/>
        <w:contextualSpacing/>
        <w:jc w:val="both"/>
        <w:rPr>
          <w:sz w:val="28"/>
          <w:szCs w:val="28"/>
        </w:rPr>
      </w:pPr>
    </w:p>
    <w:p w14:paraId="4E231571" w14:textId="6A1550DE" w:rsidR="00411064" w:rsidRPr="00934D38" w:rsidRDefault="00411064" w:rsidP="00940ACB">
      <w:pPr>
        <w:spacing w:line="360" w:lineRule="auto"/>
        <w:ind w:firstLine="709"/>
        <w:contextualSpacing/>
        <w:jc w:val="both"/>
        <w:rPr>
          <w:sz w:val="28"/>
          <w:szCs w:val="28"/>
        </w:rPr>
      </w:pPr>
      <w:r>
        <w:rPr>
          <w:sz w:val="28"/>
          <w:szCs w:val="28"/>
        </w:rPr>
        <w:t>Из таблицы 1</w:t>
      </w:r>
      <w:r w:rsidR="00901ACF">
        <w:rPr>
          <w:sz w:val="28"/>
          <w:szCs w:val="28"/>
        </w:rPr>
        <w:t>7</w:t>
      </w:r>
      <w:r>
        <w:rPr>
          <w:sz w:val="28"/>
          <w:szCs w:val="28"/>
        </w:rPr>
        <w:t xml:space="preserve"> видно, что сокращение</w:t>
      </w:r>
      <w:r w:rsidRPr="00934D38">
        <w:rPr>
          <w:sz w:val="28"/>
          <w:szCs w:val="28"/>
        </w:rPr>
        <w:t xml:space="preserve"> численности</w:t>
      </w:r>
      <w:r>
        <w:rPr>
          <w:sz w:val="28"/>
          <w:szCs w:val="28"/>
        </w:rPr>
        <w:t xml:space="preserve"> населения</w:t>
      </w:r>
      <w:r w:rsidRPr="00934D38">
        <w:rPr>
          <w:sz w:val="28"/>
          <w:szCs w:val="28"/>
        </w:rPr>
        <w:t xml:space="preserve"> за 2023 год по прогнозу составляет 867,9 тыс. чел. пенсионеров. То есть, уменьшение численности прогнозируемых пенсионеров поразительно совпадает с естественной убылью населения, показатель, который представлен в таблице </w:t>
      </w:r>
      <w:r w:rsidR="00E22C11">
        <w:rPr>
          <w:sz w:val="28"/>
          <w:szCs w:val="28"/>
        </w:rPr>
        <w:t>1</w:t>
      </w:r>
      <w:r w:rsidR="00901ACF">
        <w:rPr>
          <w:sz w:val="28"/>
          <w:szCs w:val="28"/>
        </w:rPr>
        <w:t>6</w:t>
      </w:r>
      <w:r w:rsidRPr="00934D38">
        <w:rPr>
          <w:sz w:val="28"/>
          <w:szCs w:val="28"/>
        </w:rPr>
        <w:t>. Не ошиблись ли авторы при составлении количества умерших пенсионеров с естественной убылью, посчитав естественную убыль как естественную причину смерти насе</w:t>
      </w:r>
      <w:r>
        <w:rPr>
          <w:sz w:val="28"/>
          <w:szCs w:val="28"/>
        </w:rPr>
        <w:t xml:space="preserve">ление пожилого возраста. </w:t>
      </w:r>
      <w:proofErr w:type="gramStart"/>
      <w:r>
        <w:rPr>
          <w:sz w:val="28"/>
          <w:szCs w:val="28"/>
        </w:rPr>
        <w:t xml:space="preserve">Как бы </w:t>
      </w:r>
      <w:r w:rsidRPr="00934D38">
        <w:rPr>
          <w:sz w:val="28"/>
          <w:szCs w:val="28"/>
        </w:rPr>
        <w:t>то не было</w:t>
      </w:r>
      <w:proofErr w:type="gramEnd"/>
      <w:r w:rsidRPr="00934D38">
        <w:rPr>
          <w:sz w:val="28"/>
          <w:szCs w:val="28"/>
        </w:rPr>
        <w:t>, такой расчет может привести к дополнительному выделению денежных средств.</w:t>
      </w:r>
    </w:p>
    <w:p w14:paraId="3FA5B0CC" w14:textId="42A50DC2" w:rsidR="00281131" w:rsidRDefault="00411064" w:rsidP="00940ACB">
      <w:pPr>
        <w:spacing w:line="360" w:lineRule="auto"/>
        <w:ind w:firstLine="709"/>
        <w:contextualSpacing/>
        <w:jc w:val="both"/>
        <w:rPr>
          <w:sz w:val="28"/>
          <w:szCs w:val="28"/>
        </w:rPr>
      </w:pPr>
      <w:r w:rsidRPr="00934D38">
        <w:rPr>
          <w:sz w:val="28"/>
          <w:szCs w:val="28"/>
        </w:rPr>
        <w:t>Средние размеры пенсий в 2023 году с учетом запланированных мероприятий по их индексации (увели</w:t>
      </w:r>
      <w:r>
        <w:rPr>
          <w:sz w:val="28"/>
          <w:szCs w:val="28"/>
        </w:rPr>
        <w:t>чению) представлены в таблице 1</w:t>
      </w:r>
      <w:r w:rsidR="00901ACF">
        <w:rPr>
          <w:sz w:val="28"/>
          <w:szCs w:val="28"/>
        </w:rPr>
        <w:t>8</w:t>
      </w:r>
      <w:r w:rsidRPr="00934D38">
        <w:rPr>
          <w:sz w:val="28"/>
          <w:szCs w:val="28"/>
        </w:rPr>
        <w:t>.</w:t>
      </w:r>
    </w:p>
    <w:p w14:paraId="32FA743B" w14:textId="527C46AB" w:rsidR="00411064" w:rsidRPr="00934D38" w:rsidRDefault="00411064" w:rsidP="00411064">
      <w:pPr>
        <w:spacing w:line="276" w:lineRule="auto"/>
        <w:ind w:firstLine="709"/>
        <w:contextualSpacing/>
        <w:jc w:val="both"/>
        <w:rPr>
          <w:sz w:val="28"/>
          <w:szCs w:val="28"/>
        </w:rPr>
      </w:pPr>
      <w:r>
        <w:rPr>
          <w:sz w:val="28"/>
          <w:szCs w:val="28"/>
        </w:rPr>
        <w:tab/>
      </w:r>
    </w:p>
    <w:p w14:paraId="23B019CE" w14:textId="0EA6AEF8" w:rsidR="00411064" w:rsidRDefault="00411064" w:rsidP="00940ACB">
      <w:pPr>
        <w:spacing w:line="276" w:lineRule="auto"/>
        <w:contextualSpacing/>
        <w:jc w:val="both"/>
        <w:rPr>
          <w:bCs/>
          <w:sz w:val="28"/>
          <w:szCs w:val="28"/>
        </w:rPr>
      </w:pPr>
      <w:r w:rsidRPr="00940ACB">
        <w:rPr>
          <w:bCs/>
          <w:sz w:val="28"/>
          <w:szCs w:val="28"/>
        </w:rPr>
        <w:t>Таблица 1</w:t>
      </w:r>
      <w:r w:rsidR="00901ACF">
        <w:rPr>
          <w:bCs/>
          <w:sz w:val="28"/>
          <w:szCs w:val="28"/>
        </w:rPr>
        <w:t>8</w:t>
      </w:r>
      <w:r w:rsidR="00940ACB">
        <w:rPr>
          <w:bCs/>
          <w:sz w:val="28"/>
          <w:szCs w:val="28"/>
        </w:rPr>
        <w:t xml:space="preserve"> - </w:t>
      </w:r>
      <w:r w:rsidRPr="00940ACB">
        <w:rPr>
          <w:bCs/>
          <w:sz w:val="28"/>
          <w:szCs w:val="28"/>
        </w:rPr>
        <w:t>Средние размеры пенсий в отчетных 2021-2022 г</w:t>
      </w:r>
      <w:r w:rsidR="00940ACB">
        <w:rPr>
          <w:bCs/>
          <w:sz w:val="28"/>
          <w:szCs w:val="28"/>
        </w:rPr>
        <w:t xml:space="preserve">одах </w:t>
      </w:r>
      <w:r w:rsidRPr="00940ACB">
        <w:rPr>
          <w:bCs/>
          <w:sz w:val="28"/>
          <w:szCs w:val="28"/>
        </w:rPr>
        <w:t>и прогнозном 2023 году (руб.)</w:t>
      </w:r>
    </w:p>
    <w:p w14:paraId="44CC4562" w14:textId="77777777" w:rsidR="00940ACB" w:rsidRPr="00940ACB" w:rsidRDefault="00940ACB" w:rsidP="00940ACB">
      <w:pPr>
        <w:spacing w:line="276" w:lineRule="auto"/>
        <w:contextualSpacing/>
        <w:jc w:val="both"/>
        <w:rPr>
          <w:bCs/>
          <w:sz w:val="28"/>
          <w:szCs w:val="28"/>
        </w:rPr>
      </w:pPr>
    </w:p>
    <w:tbl>
      <w:tblPr>
        <w:tblStyle w:val="ae"/>
        <w:tblW w:w="0" w:type="auto"/>
        <w:tblLook w:val="04A0" w:firstRow="1" w:lastRow="0" w:firstColumn="1" w:lastColumn="0" w:noHBand="0" w:noVBand="1"/>
      </w:tblPr>
      <w:tblGrid>
        <w:gridCol w:w="3681"/>
        <w:gridCol w:w="1276"/>
        <w:gridCol w:w="1275"/>
        <w:gridCol w:w="1560"/>
        <w:gridCol w:w="1553"/>
      </w:tblGrid>
      <w:tr w:rsidR="00411064" w:rsidRPr="00940ACB" w14:paraId="28F434D4" w14:textId="77777777">
        <w:tc>
          <w:tcPr>
            <w:tcW w:w="3681" w:type="dxa"/>
            <w:vMerge w:val="restart"/>
          </w:tcPr>
          <w:p w14:paraId="35DAA909" w14:textId="77777777" w:rsidR="00411064" w:rsidRPr="00940ACB" w:rsidRDefault="00411064">
            <w:pPr>
              <w:spacing w:line="276" w:lineRule="auto"/>
              <w:contextualSpacing/>
              <w:jc w:val="center"/>
              <w:rPr>
                <w:b/>
                <w:sz w:val="20"/>
                <w:szCs w:val="20"/>
              </w:rPr>
            </w:pPr>
          </w:p>
        </w:tc>
        <w:tc>
          <w:tcPr>
            <w:tcW w:w="1276" w:type="dxa"/>
          </w:tcPr>
          <w:p w14:paraId="209396C3" w14:textId="77777777" w:rsidR="00411064" w:rsidRPr="00940ACB" w:rsidRDefault="00411064">
            <w:pPr>
              <w:spacing w:line="276" w:lineRule="auto"/>
              <w:contextualSpacing/>
              <w:jc w:val="center"/>
              <w:rPr>
                <w:b/>
                <w:sz w:val="20"/>
                <w:szCs w:val="20"/>
              </w:rPr>
            </w:pPr>
            <w:r w:rsidRPr="00940ACB">
              <w:rPr>
                <w:b/>
                <w:sz w:val="20"/>
                <w:szCs w:val="20"/>
              </w:rPr>
              <w:t>Отчет</w:t>
            </w:r>
          </w:p>
        </w:tc>
        <w:tc>
          <w:tcPr>
            <w:tcW w:w="4388" w:type="dxa"/>
            <w:gridSpan w:val="3"/>
          </w:tcPr>
          <w:p w14:paraId="590B7E2C" w14:textId="77777777" w:rsidR="00411064" w:rsidRPr="00940ACB" w:rsidRDefault="00411064">
            <w:pPr>
              <w:spacing w:line="276" w:lineRule="auto"/>
              <w:contextualSpacing/>
              <w:jc w:val="center"/>
              <w:rPr>
                <w:b/>
                <w:sz w:val="20"/>
                <w:szCs w:val="20"/>
              </w:rPr>
            </w:pPr>
            <w:r w:rsidRPr="00940ACB">
              <w:rPr>
                <w:b/>
                <w:sz w:val="20"/>
                <w:szCs w:val="20"/>
              </w:rPr>
              <w:t>Прогноз</w:t>
            </w:r>
          </w:p>
        </w:tc>
      </w:tr>
      <w:tr w:rsidR="00411064" w:rsidRPr="00940ACB" w14:paraId="0D459989" w14:textId="77777777">
        <w:tc>
          <w:tcPr>
            <w:tcW w:w="3681" w:type="dxa"/>
            <w:vMerge/>
          </w:tcPr>
          <w:p w14:paraId="3B9B707F" w14:textId="77777777" w:rsidR="00411064" w:rsidRPr="00940ACB" w:rsidRDefault="00411064">
            <w:pPr>
              <w:spacing w:line="276" w:lineRule="auto"/>
              <w:contextualSpacing/>
              <w:jc w:val="center"/>
              <w:rPr>
                <w:b/>
                <w:sz w:val="20"/>
                <w:szCs w:val="20"/>
              </w:rPr>
            </w:pPr>
          </w:p>
        </w:tc>
        <w:tc>
          <w:tcPr>
            <w:tcW w:w="1276" w:type="dxa"/>
          </w:tcPr>
          <w:p w14:paraId="55379CEA" w14:textId="77777777" w:rsidR="00411064" w:rsidRPr="00940ACB" w:rsidRDefault="00411064">
            <w:pPr>
              <w:spacing w:line="276" w:lineRule="auto"/>
              <w:contextualSpacing/>
              <w:jc w:val="center"/>
              <w:rPr>
                <w:b/>
                <w:sz w:val="20"/>
                <w:szCs w:val="20"/>
              </w:rPr>
            </w:pPr>
            <w:proofErr w:type="gramStart"/>
            <w:r w:rsidRPr="00940ACB">
              <w:rPr>
                <w:b/>
                <w:sz w:val="20"/>
                <w:szCs w:val="20"/>
              </w:rPr>
              <w:t>на конец</w:t>
            </w:r>
            <w:proofErr w:type="gramEnd"/>
            <w:r w:rsidRPr="00940ACB">
              <w:rPr>
                <w:b/>
                <w:sz w:val="20"/>
                <w:szCs w:val="20"/>
              </w:rPr>
              <w:t xml:space="preserve"> 2021 года</w:t>
            </w:r>
            <w:r w:rsidRPr="00940ACB">
              <w:rPr>
                <w:b/>
                <w:sz w:val="20"/>
                <w:szCs w:val="20"/>
              </w:rPr>
              <w:tab/>
            </w:r>
          </w:p>
        </w:tc>
        <w:tc>
          <w:tcPr>
            <w:tcW w:w="1275" w:type="dxa"/>
          </w:tcPr>
          <w:p w14:paraId="518BA29C" w14:textId="77777777" w:rsidR="00411064" w:rsidRPr="00940ACB" w:rsidRDefault="00411064">
            <w:pPr>
              <w:spacing w:line="276" w:lineRule="auto"/>
              <w:contextualSpacing/>
              <w:jc w:val="center"/>
              <w:rPr>
                <w:b/>
                <w:sz w:val="20"/>
                <w:szCs w:val="20"/>
              </w:rPr>
            </w:pPr>
            <w:proofErr w:type="gramStart"/>
            <w:r w:rsidRPr="00940ACB">
              <w:rPr>
                <w:b/>
                <w:sz w:val="20"/>
                <w:szCs w:val="20"/>
              </w:rPr>
              <w:t>на конец</w:t>
            </w:r>
            <w:proofErr w:type="gramEnd"/>
            <w:r w:rsidRPr="00940ACB">
              <w:rPr>
                <w:b/>
                <w:sz w:val="20"/>
                <w:szCs w:val="20"/>
              </w:rPr>
              <w:t xml:space="preserve"> 2022 года</w:t>
            </w:r>
            <w:r w:rsidRPr="00940ACB">
              <w:rPr>
                <w:b/>
                <w:sz w:val="20"/>
                <w:szCs w:val="20"/>
              </w:rPr>
              <w:tab/>
            </w:r>
          </w:p>
        </w:tc>
        <w:tc>
          <w:tcPr>
            <w:tcW w:w="1560" w:type="dxa"/>
          </w:tcPr>
          <w:p w14:paraId="74EA2032" w14:textId="77777777" w:rsidR="00411064" w:rsidRPr="00940ACB" w:rsidRDefault="00411064">
            <w:pPr>
              <w:spacing w:line="276" w:lineRule="auto"/>
              <w:contextualSpacing/>
              <w:jc w:val="center"/>
              <w:rPr>
                <w:b/>
                <w:sz w:val="20"/>
                <w:szCs w:val="20"/>
              </w:rPr>
            </w:pPr>
            <w:proofErr w:type="gramStart"/>
            <w:r w:rsidRPr="00940ACB">
              <w:rPr>
                <w:b/>
                <w:sz w:val="20"/>
                <w:szCs w:val="20"/>
              </w:rPr>
              <w:t>на конец</w:t>
            </w:r>
            <w:proofErr w:type="gramEnd"/>
            <w:r w:rsidRPr="00940ACB">
              <w:rPr>
                <w:b/>
                <w:sz w:val="20"/>
                <w:szCs w:val="20"/>
              </w:rPr>
              <w:t xml:space="preserve"> 2023 года</w:t>
            </w:r>
            <w:r w:rsidRPr="00940ACB">
              <w:rPr>
                <w:b/>
                <w:sz w:val="20"/>
                <w:szCs w:val="20"/>
              </w:rPr>
              <w:tab/>
            </w:r>
          </w:p>
        </w:tc>
        <w:tc>
          <w:tcPr>
            <w:tcW w:w="1553" w:type="dxa"/>
          </w:tcPr>
          <w:p w14:paraId="54E22316" w14:textId="77777777" w:rsidR="00411064" w:rsidRPr="00940ACB" w:rsidRDefault="00411064">
            <w:pPr>
              <w:spacing w:line="276" w:lineRule="auto"/>
              <w:contextualSpacing/>
              <w:jc w:val="center"/>
              <w:rPr>
                <w:b/>
                <w:sz w:val="20"/>
                <w:szCs w:val="20"/>
              </w:rPr>
            </w:pPr>
            <w:r w:rsidRPr="00940ACB">
              <w:rPr>
                <w:b/>
                <w:sz w:val="20"/>
                <w:szCs w:val="20"/>
              </w:rPr>
              <w:t xml:space="preserve">увеличение </w:t>
            </w:r>
          </w:p>
          <w:p w14:paraId="0268E5D4" w14:textId="77777777" w:rsidR="00411064" w:rsidRPr="00940ACB" w:rsidRDefault="00411064">
            <w:pPr>
              <w:spacing w:line="276" w:lineRule="auto"/>
              <w:contextualSpacing/>
              <w:jc w:val="center"/>
              <w:rPr>
                <w:b/>
                <w:sz w:val="20"/>
                <w:szCs w:val="20"/>
              </w:rPr>
            </w:pPr>
            <w:r w:rsidRPr="00940ACB">
              <w:rPr>
                <w:b/>
                <w:sz w:val="20"/>
                <w:szCs w:val="20"/>
              </w:rPr>
              <w:t>за 2023 год, руб</w:t>
            </w:r>
            <w:proofErr w:type="gramStart"/>
            <w:r w:rsidRPr="00940ACB">
              <w:rPr>
                <w:b/>
                <w:sz w:val="20"/>
                <w:szCs w:val="20"/>
              </w:rPr>
              <w:t>. (%)</w:t>
            </w:r>
            <w:proofErr w:type="gramEnd"/>
          </w:p>
        </w:tc>
      </w:tr>
      <w:tr w:rsidR="00411064" w:rsidRPr="00940ACB" w14:paraId="46B8F80A" w14:textId="77777777">
        <w:tc>
          <w:tcPr>
            <w:tcW w:w="3681" w:type="dxa"/>
          </w:tcPr>
          <w:p w14:paraId="421FD3FF" w14:textId="77777777" w:rsidR="00411064" w:rsidRPr="00940ACB" w:rsidRDefault="00411064">
            <w:pPr>
              <w:spacing w:line="276" w:lineRule="auto"/>
              <w:contextualSpacing/>
              <w:rPr>
                <w:sz w:val="20"/>
                <w:szCs w:val="20"/>
              </w:rPr>
            </w:pPr>
            <w:r w:rsidRPr="00940ACB">
              <w:rPr>
                <w:sz w:val="20"/>
                <w:szCs w:val="20"/>
              </w:rPr>
              <w:t>Страховая пенсия</w:t>
            </w:r>
          </w:p>
        </w:tc>
        <w:tc>
          <w:tcPr>
            <w:tcW w:w="1276" w:type="dxa"/>
          </w:tcPr>
          <w:p w14:paraId="5A14A316" w14:textId="77777777" w:rsidR="00411064" w:rsidRPr="00940ACB" w:rsidRDefault="00411064">
            <w:pPr>
              <w:spacing w:line="276" w:lineRule="auto"/>
              <w:contextualSpacing/>
              <w:jc w:val="center"/>
              <w:rPr>
                <w:sz w:val="20"/>
                <w:szCs w:val="20"/>
              </w:rPr>
            </w:pPr>
            <w:r w:rsidRPr="00940ACB">
              <w:rPr>
                <w:sz w:val="20"/>
                <w:szCs w:val="20"/>
              </w:rPr>
              <w:t>16 330,31</w:t>
            </w:r>
            <w:r w:rsidRPr="00940ACB">
              <w:rPr>
                <w:sz w:val="20"/>
                <w:szCs w:val="20"/>
              </w:rPr>
              <w:tab/>
            </w:r>
          </w:p>
        </w:tc>
        <w:tc>
          <w:tcPr>
            <w:tcW w:w="1275" w:type="dxa"/>
          </w:tcPr>
          <w:p w14:paraId="64C15C28" w14:textId="77777777" w:rsidR="00411064" w:rsidRPr="00940ACB" w:rsidRDefault="00411064">
            <w:pPr>
              <w:spacing w:line="276" w:lineRule="auto"/>
              <w:contextualSpacing/>
              <w:jc w:val="center"/>
              <w:rPr>
                <w:sz w:val="20"/>
                <w:szCs w:val="20"/>
              </w:rPr>
            </w:pPr>
            <w:r w:rsidRPr="00940ACB">
              <w:rPr>
                <w:sz w:val="20"/>
                <w:szCs w:val="20"/>
              </w:rPr>
              <w:t>18 981,34</w:t>
            </w:r>
          </w:p>
          <w:p w14:paraId="68F94A36" w14:textId="77777777" w:rsidR="00411064" w:rsidRPr="00940ACB" w:rsidRDefault="00411064">
            <w:pPr>
              <w:spacing w:line="276" w:lineRule="auto"/>
              <w:contextualSpacing/>
              <w:jc w:val="center"/>
              <w:rPr>
                <w:sz w:val="20"/>
                <w:szCs w:val="20"/>
              </w:rPr>
            </w:pPr>
          </w:p>
        </w:tc>
        <w:tc>
          <w:tcPr>
            <w:tcW w:w="1560" w:type="dxa"/>
          </w:tcPr>
          <w:p w14:paraId="3EA0F819" w14:textId="77777777" w:rsidR="00411064" w:rsidRPr="00940ACB" w:rsidRDefault="00411064">
            <w:pPr>
              <w:spacing w:line="276" w:lineRule="auto"/>
              <w:contextualSpacing/>
              <w:jc w:val="center"/>
              <w:rPr>
                <w:sz w:val="20"/>
                <w:szCs w:val="20"/>
              </w:rPr>
            </w:pPr>
            <w:r w:rsidRPr="00940ACB">
              <w:rPr>
                <w:sz w:val="20"/>
                <w:szCs w:val="20"/>
              </w:rPr>
              <w:t>19 823,24</w:t>
            </w:r>
          </w:p>
        </w:tc>
        <w:tc>
          <w:tcPr>
            <w:tcW w:w="1553" w:type="dxa"/>
          </w:tcPr>
          <w:p w14:paraId="405AA1F0" w14:textId="77777777" w:rsidR="00411064" w:rsidRPr="00940ACB" w:rsidRDefault="00411064">
            <w:pPr>
              <w:spacing w:line="276" w:lineRule="auto"/>
              <w:contextualSpacing/>
              <w:jc w:val="center"/>
              <w:rPr>
                <w:sz w:val="20"/>
                <w:szCs w:val="20"/>
              </w:rPr>
            </w:pPr>
            <w:r w:rsidRPr="00940ACB">
              <w:rPr>
                <w:sz w:val="20"/>
                <w:szCs w:val="20"/>
              </w:rPr>
              <w:t>841,90</w:t>
            </w:r>
          </w:p>
          <w:p w14:paraId="70033945" w14:textId="77777777" w:rsidR="00411064" w:rsidRPr="00940ACB" w:rsidRDefault="00411064">
            <w:pPr>
              <w:spacing w:line="276" w:lineRule="auto"/>
              <w:contextualSpacing/>
              <w:jc w:val="center"/>
              <w:rPr>
                <w:sz w:val="20"/>
                <w:szCs w:val="20"/>
              </w:rPr>
            </w:pPr>
            <w:r w:rsidRPr="00940ACB">
              <w:rPr>
                <w:sz w:val="20"/>
                <w:szCs w:val="20"/>
              </w:rPr>
              <w:t>(4,4%)</w:t>
            </w:r>
          </w:p>
        </w:tc>
      </w:tr>
      <w:tr w:rsidR="00411064" w:rsidRPr="00940ACB" w14:paraId="311E6D38" w14:textId="77777777">
        <w:tc>
          <w:tcPr>
            <w:tcW w:w="3681" w:type="dxa"/>
          </w:tcPr>
          <w:p w14:paraId="411067BB" w14:textId="77777777" w:rsidR="00411064" w:rsidRPr="00940ACB" w:rsidRDefault="00411064">
            <w:pPr>
              <w:spacing w:line="276" w:lineRule="auto"/>
              <w:contextualSpacing/>
              <w:rPr>
                <w:sz w:val="20"/>
                <w:szCs w:val="20"/>
              </w:rPr>
            </w:pPr>
            <w:r w:rsidRPr="00940ACB">
              <w:rPr>
                <w:sz w:val="20"/>
                <w:szCs w:val="20"/>
              </w:rPr>
              <w:t>Страховая пенсия по старости неработающих пенсионеров</w:t>
            </w:r>
          </w:p>
        </w:tc>
        <w:tc>
          <w:tcPr>
            <w:tcW w:w="1276" w:type="dxa"/>
          </w:tcPr>
          <w:p w14:paraId="2D685171" w14:textId="77777777" w:rsidR="00411064" w:rsidRPr="00940ACB" w:rsidRDefault="00411064">
            <w:pPr>
              <w:spacing w:line="276" w:lineRule="auto"/>
              <w:contextualSpacing/>
              <w:jc w:val="center"/>
              <w:rPr>
                <w:sz w:val="20"/>
                <w:szCs w:val="20"/>
              </w:rPr>
            </w:pPr>
            <w:r w:rsidRPr="00940ACB">
              <w:rPr>
                <w:sz w:val="20"/>
                <w:szCs w:val="20"/>
              </w:rPr>
              <w:t>17 532,55</w:t>
            </w:r>
          </w:p>
        </w:tc>
        <w:tc>
          <w:tcPr>
            <w:tcW w:w="1275" w:type="dxa"/>
          </w:tcPr>
          <w:p w14:paraId="16093418" w14:textId="77777777" w:rsidR="00411064" w:rsidRPr="00940ACB" w:rsidRDefault="00411064">
            <w:pPr>
              <w:spacing w:line="276" w:lineRule="auto"/>
              <w:contextualSpacing/>
              <w:jc w:val="center"/>
              <w:rPr>
                <w:sz w:val="20"/>
                <w:szCs w:val="20"/>
              </w:rPr>
            </w:pPr>
            <w:r w:rsidRPr="00940ACB">
              <w:rPr>
                <w:sz w:val="20"/>
                <w:szCs w:val="20"/>
              </w:rPr>
              <w:t>20 864,32</w:t>
            </w:r>
          </w:p>
          <w:p w14:paraId="7A20409A" w14:textId="77777777" w:rsidR="00411064" w:rsidRPr="00940ACB" w:rsidRDefault="00411064">
            <w:pPr>
              <w:spacing w:line="276" w:lineRule="auto"/>
              <w:contextualSpacing/>
              <w:jc w:val="center"/>
              <w:rPr>
                <w:sz w:val="20"/>
                <w:szCs w:val="20"/>
              </w:rPr>
            </w:pPr>
          </w:p>
        </w:tc>
        <w:tc>
          <w:tcPr>
            <w:tcW w:w="1560" w:type="dxa"/>
          </w:tcPr>
          <w:p w14:paraId="425B4384" w14:textId="77777777" w:rsidR="00411064" w:rsidRPr="00940ACB" w:rsidRDefault="00411064">
            <w:pPr>
              <w:spacing w:line="276" w:lineRule="auto"/>
              <w:contextualSpacing/>
              <w:jc w:val="center"/>
              <w:rPr>
                <w:sz w:val="20"/>
                <w:szCs w:val="20"/>
              </w:rPr>
            </w:pPr>
            <w:r w:rsidRPr="00940ACB">
              <w:rPr>
                <w:sz w:val="20"/>
                <w:szCs w:val="20"/>
              </w:rPr>
              <w:t>21 862,03</w:t>
            </w:r>
          </w:p>
        </w:tc>
        <w:tc>
          <w:tcPr>
            <w:tcW w:w="1553" w:type="dxa"/>
          </w:tcPr>
          <w:p w14:paraId="4239E443" w14:textId="77777777" w:rsidR="00411064" w:rsidRPr="00940ACB" w:rsidRDefault="00411064">
            <w:pPr>
              <w:spacing w:line="276" w:lineRule="auto"/>
              <w:contextualSpacing/>
              <w:jc w:val="center"/>
              <w:rPr>
                <w:sz w:val="20"/>
                <w:szCs w:val="20"/>
              </w:rPr>
            </w:pPr>
            <w:r w:rsidRPr="00940ACB">
              <w:rPr>
                <w:sz w:val="20"/>
                <w:szCs w:val="20"/>
              </w:rPr>
              <w:t>997,71</w:t>
            </w:r>
          </w:p>
          <w:p w14:paraId="41F6B8DA" w14:textId="77777777" w:rsidR="00411064" w:rsidRPr="00940ACB" w:rsidRDefault="00411064">
            <w:pPr>
              <w:spacing w:line="276" w:lineRule="auto"/>
              <w:contextualSpacing/>
              <w:jc w:val="center"/>
              <w:rPr>
                <w:sz w:val="20"/>
                <w:szCs w:val="20"/>
              </w:rPr>
            </w:pPr>
            <w:r w:rsidRPr="00940ACB">
              <w:rPr>
                <w:sz w:val="20"/>
                <w:szCs w:val="20"/>
              </w:rPr>
              <w:t>(4,8%)</w:t>
            </w:r>
          </w:p>
        </w:tc>
      </w:tr>
      <w:tr w:rsidR="00411064" w:rsidRPr="00940ACB" w14:paraId="36C358B7" w14:textId="77777777">
        <w:tc>
          <w:tcPr>
            <w:tcW w:w="3681" w:type="dxa"/>
          </w:tcPr>
          <w:p w14:paraId="7750D801" w14:textId="77777777" w:rsidR="00411064" w:rsidRPr="00940ACB" w:rsidRDefault="00411064">
            <w:pPr>
              <w:spacing w:line="276" w:lineRule="auto"/>
              <w:contextualSpacing/>
              <w:rPr>
                <w:sz w:val="20"/>
                <w:szCs w:val="20"/>
              </w:rPr>
            </w:pPr>
            <w:r w:rsidRPr="00940ACB">
              <w:rPr>
                <w:sz w:val="20"/>
                <w:szCs w:val="20"/>
              </w:rPr>
              <w:t>Социальная пенсия</w:t>
            </w:r>
          </w:p>
        </w:tc>
        <w:tc>
          <w:tcPr>
            <w:tcW w:w="1276" w:type="dxa"/>
          </w:tcPr>
          <w:p w14:paraId="737B9652" w14:textId="77777777" w:rsidR="00411064" w:rsidRPr="00940ACB" w:rsidRDefault="00411064">
            <w:pPr>
              <w:spacing w:line="276" w:lineRule="auto"/>
              <w:contextualSpacing/>
              <w:jc w:val="center"/>
              <w:rPr>
                <w:sz w:val="20"/>
                <w:szCs w:val="20"/>
              </w:rPr>
            </w:pPr>
            <w:r w:rsidRPr="00940ACB">
              <w:rPr>
                <w:sz w:val="20"/>
                <w:szCs w:val="20"/>
              </w:rPr>
              <w:t>10 178,31</w:t>
            </w:r>
          </w:p>
          <w:p w14:paraId="6742C0A5" w14:textId="77777777" w:rsidR="00411064" w:rsidRPr="00940ACB" w:rsidRDefault="00411064">
            <w:pPr>
              <w:spacing w:line="276" w:lineRule="auto"/>
              <w:contextualSpacing/>
              <w:jc w:val="center"/>
              <w:rPr>
                <w:sz w:val="20"/>
                <w:szCs w:val="20"/>
              </w:rPr>
            </w:pPr>
          </w:p>
        </w:tc>
        <w:tc>
          <w:tcPr>
            <w:tcW w:w="1275" w:type="dxa"/>
          </w:tcPr>
          <w:p w14:paraId="06E579B3" w14:textId="77777777" w:rsidR="00411064" w:rsidRPr="00940ACB" w:rsidRDefault="00411064">
            <w:pPr>
              <w:spacing w:line="276" w:lineRule="auto"/>
              <w:contextualSpacing/>
              <w:jc w:val="center"/>
              <w:rPr>
                <w:sz w:val="20"/>
                <w:szCs w:val="20"/>
              </w:rPr>
            </w:pPr>
            <w:r w:rsidRPr="00940ACB">
              <w:rPr>
                <w:sz w:val="20"/>
                <w:szCs w:val="20"/>
              </w:rPr>
              <w:t>12 160,64</w:t>
            </w:r>
          </w:p>
          <w:p w14:paraId="2C7A6FE4" w14:textId="77777777" w:rsidR="00411064" w:rsidRPr="00940ACB" w:rsidRDefault="00411064">
            <w:pPr>
              <w:spacing w:line="276" w:lineRule="auto"/>
              <w:contextualSpacing/>
              <w:jc w:val="center"/>
              <w:rPr>
                <w:sz w:val="20"/>
                <w:szCs w:val="20"/>
              </w:rPr>
            </w:pPr>
          </w:p>
        </w:tc>
        <w:tc>
          <w:tcPr>
            <w:tcW w:w="1560" w:type="dxa"/>
          </w:tcPr>
          <w:p w14:paraId="70234994" w14:textId="77777777" w:rsidR="00411064" w:rsidRPr="00940ACB" w:rsidRDefault="00411064">
            <w:pPr>
              <w:spacing w:line="276" w:lineRule="auto"/>
              <w:contextualSpacing/>
              <w:jc w:val="center"/>
              <w:rPr>
                <w:sz w:val="20"/>
                <w:szCs w:val="20"/>
              </w:rPr>
            </w:pPr>
            <w:r w:rsidRPr="00940ACB">
              <w:rPr>
                <w:sz w:val="20"/>
                <w:szCs w:val="20"/>
              </w:rPr>
              <w:t>12 561,94</w:t>
            </w:r>
          </w:p>
          <w:p w14:paraId="14CAA51C" w14:textId="77777777" w:rsidR="00411064" w:rsidRPr="00940ACB" w:rsidRDefault="00411064">
            <w:pPr>
              <w:spacing w:line="276" w:lineRule="auto"/>
              <w:contextualSpacing/>
              <w:jc w:val="center"/>
              <w:rPr>
                <w:sz w:val="20"/>
                <w:szCs w:val="20"/>
              </w:rPr>
            </w:pPr>
          </w:p>
        </w:tc>
        <w:tc>
          <w:tcPr>
            <w:tcW w:w="1553" w:type="dxa"/>
          </w:tcPr>
          <w:p w14:paraId="3D2CDDD7" w14:textId="77777777" w:rsidR="00411064" w:rsidRPr="00940ACB" w:rsidRDefault="00411064">
            <w:pPr>
              <w:spacing w:line="276" w:lineRule="auto"/>
              <w:contextualSpacing/>
              <w:jc w:val="center"/>
              <w:rPr>
                <w:sz w:val="20"/>
                <w:szCs w:val="20"/>
              </w:rPr>
            </w:pPr>
            <w:r w:rsidRPr="00940ACB">
              <w:rPr>
                <w:sz w:val="20"/>
                <w:szCs w:val="20"/>
              </w:rPr>
              <w:t>401,30</w:t>
            </w:r>
          </w:p>
          <w:p w14:paraId="7D47638F" w14:textId="77777777" w:rsidR="00411064" w:rsidRPr="00940ACB" w:rsidRDefault="00411064">
            <w:pPr>
              <w:spacing w:line="276" w:lineRule="auto"/>
              <w:contextualSpacing/>
              <w:jc w:val="center"/>
              <w:rPr>
                <w:sz w:val="20"/>
                <w:szCs w:val="20"/>
              </w:rPr>
            </w:pPr>
            <w:r w:rsidRPr="00940ACB">
              <w:rPr>
                <w:sz w:val="20"/>
                <w:szCs w:val="20"/>
              </w:rPr>
              <w:t>(3,3%)</w:t>
            </w:r>
          </w:p>
        </w:tc>
      </w:tr>
    </w:tbl>
    <w:p w14:paraId="7F2F3061" w14:textId="070D5C9A" w:rsidR="00411064" w:rsidRPr="00940ACB" w:rsidRDefault="00411064" w:rsidP="00411064">
      <w:pPr>
        <w:spacing w:line="276" w:lineRule="auto"/>
        <w:ind w:firstLine="709"/>
        <w:contextualSpacing/>
        <w:jc w:val="both"/>
        <w:rPr>
          <w:sz w:val="20"/>
          <w:szCs w:val="20"/>
        </w:rPr>
      </w:pPr>
      <w:r w:rsidRPr="00940ACB">
        <w:rPr>
          <w:i/>
          <w:sz w:val="20"/>
          <w:szCs w:val="20"/>
        </w:rPr>
        <w:t>Источник</w:t>
      </w:r>
      <w:r w:rsidRPr="00940ACB">
        <w:rPr>
          <w:sz w:val="20"/>
          <w:szCs w:val="20"/>
        </w:rPr>
        <w:t>: составлено</w:t>
      </w:r>
      <w:r w:rsidRPr="00940ACB">
        <w:rPr>
          <w:color w:val="FF0000"/>
          <w:sz w:val="20"/>
          <w:szCs w:val="20"/>
        </w:rPr>
        <w:t xml:space="preserve"> </w:t>
      </w:r>
      <w:r w:rsidRPr="00940ACB">
        <w:rPr>
          <w:sz w:val="20"/>
          <w:szCs w:val="20"/>
        </w:rPr>
        <w:t>по данным Пояснительной записки Пенсионного фонда.</w:t>
      </w:r>
    </w:p>
    <w:p w14:paraId="505FF984" w14:textId="77777777" w:rsidR="00411064" w:rsidRPr="00934D38" w:rsidRDefault="00411064" w:rsidP="00411064">
      <w:pPr>
        <w:spacing w:line="276" w:lineRule="auto"/>
        <w:jc w:val="both"/>
        <w:rPr>
          <w:sz w:val="28"/>
          <w:szCs w:val="28"/>
        </w:rPr>
      </w:pPr>
    </w:p>
    <w:p w14:paraId="0CF41599" w14:textId="11781E07" w:rsidR="00411064" w:rsidRPr="00940ACB" w:rsidRDefault="00411064" w:rsidP="00940ACB">
      <w:pPr>
        <w:spacing w:line="360" w:lineRule="auto"/>
        <w:ind w:firstLine="567"/>
        <w:jc w:val="both"/>
        <w:rPr>
          <w:sz w:val="28"/>
          <w:szCs w:val="28"/>
        </w:rPr>
      </w:pPr>
      <w:proofErr w:type="gramStart"/>
      <w:r w:rsidRPr="00940ACB">
        <w:rPr>
          <w:sz w:val="28"/>
          <w:szCs w:val="28"/>
        </w:rPr>
        <w:t>Из таблицы 1</w:t>
      </w:r>
      <w:r w:rsidR="00901ACF">
        <w:rPr>
          <w:sz w:val="28"/>
          <w:szCs w:val="28"/>
        </w:rPr>
        <w:t>8</w:t>
      </w:r>
      <w:r w:rsidRPr="00940ACB">
        <w:rPr>
          <w:sz w:val="28"/>
          <w:szCs w:val="28"/>
        </w:rPr>
        <w:t xml:space="preserve"> видно, что среднегодовой размер страховой пенсии с ПМП составит: в 2023 году – 159,7%, в 2024 году – 158,4%, в 2025 году – 156,2%. Соотношение среднегодового размера страховой пенсии по старости неработающих пенсионеров с ПМП составит: в 2023 году – 176,2%, </w:t>
      </w:r>
      <w:r w:rsidRPr="00940ACB">
        <w:rPr>
          <w:sz w:val="28"/>
          <w:szCs w:val="28"/>
        </w:rPr>
        <w:br/>
        <w:t>в 2024 году – 175,0%, в 2025 году – 173,3%. Среднегодовой размер социальной пенсии с ПМП составит: в 2023 году – 100,8%, в</w:t>
      </w:r>
      <w:proofErr w:type="gramEnd"/>
      <w:r w:rsidRPr="00940ACB">
        <w:rPr>
          <w:sz w:val="28"/>
          <w:szCs w:val="28"/>
        </w:rPr>
        <w:t xml:space="preserve"> </w:t>
      </w:r>
      <w:proofErr w:type="gramStart"/>
      <w:r w:rsidRPr="00940ACB">
        <w:rPr>
          <w:sz w:val="28"/>
          <w:szCs w:val="28"/>
        </w:rPr>
        <w:t xml:space="preserve">2024 году – 100,5%, в 2025 году – 100,2%. Среднегодовой размер накопительной пенсии составит: в 2023 году – 1 921 руб., в 2024 году – 2 153 руб., в 2025 году – 2 306 руб. Среднегодовой размер срочной пенсионной выплаты составит: </w:t>
      </w:r>
      <w:r w:rsidRPr="00940ACB">
        <w:rPr>
          <w:sz w:val="28"/>
          <w:szCs w:val="28"/>
        </w:rPr>
        <w:br/>
        <w:t>в 2023 году – 2 435 руб., в 2024 году – 2 622 руб., в 2025 году – 2 815 руб.</w:t>
      </w:r>
      <w:proofErr w:type="gramEnd"/>
    </w:p>
    <w:p w14:paraId="0AED3D7E" w14:textId="77777777" w:rsidR="00411064" w:rsidRPr="00940ACB" w:rsidRDefault="00411064" w:rsidP="00940ACB">
      <w:pPr>
        <w:spacing w:line="360" w:lineRule="auto"/>
        <w:ind w:firstLine="567"/>
        <w:jc w:val="both"/>
        <w:rPr>
          <w:sz w:val="28"/>
          <w:szCs w:val="28"/>
        </w:rPr>
      </w:pPr>
      <w:r w:rsidRPr="00940ACB">
        <w:rPr>
          <w:sz w:val="28"/>
          <w:szCs w:val="28"/>
        </w:rPr>
        <w:t xml:space="preserve">Между тем, в Пояснительной записке представлены другие показатели расходов, а именно: </w:t>
      </w:r>
    </w:p>
    <w:p w14:paraId="4A5CB302" w14:textId="56D38939" w:rsidR="00411064" w:rsidRPr="00940ACB" w:rsidRDefault="00940ACB" w:rsidP="00940ACB">
      <w:pPr>
        <w:spacing w:line="360" w:lineRule="auto"/>
        <w:ind w:firstLine="567"/>
        <w:jc w:val="both"/>
        <w:rPr>
          <w:rFonts w:cstheme="minorBidi"/>
          <w:sz w:val="28"/>
          <w:szCs w:val="28"/>
        </w:rPr>
      </w:pPr>
      <w:r>
        <w:rPr>
          <w:sz w:val="28"/>
          <w:szCs w:val="28"/>
        </w:rPr>
        <w:t xml:space="preserve">- </w:t>
      </w:r>
      <w:r w:rsidR="00411064" w:rsidRPr="00940ACB">
        <w:rPr>
          <w:sz w:val="28"/>
          <w:szCs w:val="28"/>
        </w:rPr>
        <w:t xml:space="preserve">расходы на выплату социальных пособий на погребение и оказание услуг по погребению согласно гарантированному перечню этих услуг, за </w:t>
      </w:r>
      <w:proofErr w:type="spellStart"/>
      <w:r w:rsidR="00411064" w:rsidRPr="00940ACB">
        <w:rPr>
          <w:sz w:val="28"/>
          <w:szCs w:val="28"/>
        </w:rPr>
        <w:t>неработавших</w:t>
      </w:r>
      <w:proofErr w:type="spellEnd"/>
      <w:r w:rsidR="00411064" w:rsidRPr="00940ACB">
        <w:rPr>
          <w:sz w:val="28"/>
          <w:szCs w:val="28"/>
        </w:rPr>
        <w:t xml:space="preserve"> на день смерти умерших пенсионеров (далее – выплата пособий и оказание услуг по погребению) определены с учетом ежегодной индексации с 1 февраля на индекс роста потребительских цен за прошедший год;</w:t>
      </w:r>
    </w:p>
    <w:p w14:paraId="614C4252" w14:textId="31E30487" w:rsidR="00411064" w:rsidRPr="00940ACB" w:rsidRDefault="00940ACB" w:rsidP="00940ACB">
      <w:pPr>
        <w:spacing w:line="360" w:lineRule="auto"/>
        <w:ind w:firstLine="567"/>
        <w:jc w:val="both"/>
        <w:rPr>
          <w:rFonts w:cstheme="minorBidi"/>
          <w:sz w:val="28"/>
          <w:szCs w:val="28"/>
        </w:rPr>
      </w:pPr>
      <w:r>
        <w:rPr>
          <w:sz w:val="28"/>
          <w:szCs w:val="28"/>
        </w:rPr>
        <w:t xml:space="preserve">- </w:t>
      </w:r>
      <w:r w:rsidR="00411064" w:rsidRPr="00940ACB">
        <w:rPr>
          <w:sz w:val="28"/>
          <w:szCs w:val="28"/>
        </w:rPr>
        <w:t xml:space="preserve">расходы на выплату пособий и оказание услуг по погребению за умерших пенсионеров, получавших пенсию по государственному пенсионному обеспечению, за счет средств федерального бюджета, передаваемых бюджету Фонда, определены исходя из ожидаемой численности получателей в 2023-2025 гг. 53,4 тыс. человек ежегодно и составят: в 2023 году 449,4 </w:t>
      </w:r>
      <w:proofErr w:type="gramStart"/>
      <w:r w:rsidR="00E40C69" w:rsidRPr="00940ACB">
        <w:rPr>
          <w:sz w:val="28"/>
          <w:szCs w:val="28"/>
        </w:rPr>
        <w:t>млн</w:t>
      </w:r>
      <w:proofErr w:type="gramEnd"/>
      <w:r w:rsidR="00411064" w:rsidRPr="00940ACB">
        <w:rPr>
          <w:sz w:val="28"/>
          <w:szCs w:val="28"/>
        </w:rPr>
        <w:t xml:space="preserve"> руб., в 2024 году 476,4 </w:t>
      </w:r>
      <w:r w:rsidR="00E40C69" w:rsidRPr="00940ACB">
        <w:rPr>
          <w:sz w:val="28"/>
          <w:szCs w:val="28"/>
        </w:rPr>
        <w:t>млн</w:t>
      </w:r>
      <w:r w:rsidR="00411064" w:rsidRPr="00940ACB">
        <w:rPr>
          <w:sz w:val="28"/>
          <w:szCs w:val="28"/>
        </w:rPr>
        <w:t xml:space="preserve"> руб., в 2025 году 496,1 </w:t>
      </w:r>
      <w:r w:rsidR="00E40C69" w:rsidRPr="00940ACB">
        <w:rPr>
          <w:sz w:val="28"/>
          <w:szCs w:val="28"/>
        </w:rPr>
        <w:t>млн</w:t>
      </w:r>
      <w:r w:rsidR="00411064" w:rsidRPr="00940ACB">
        <w:rPr>
          <w:sz w:val="28"/>
          <w:szCs w:val="28"/>
        </w:rPr>
        <w:t xml:space="preserve"> руб. Расходы на доставку составят в 2023 году 3,9 </w:t>
      </w:r>
      <w:proofErr w:type="gramStart"/>
      <w:r w:rsidR="00E40C69" w:rsidRPr="00940ACB">
        <w:rPr>
          <w:sz w:val="28"/>
          <w:szCs w:val="28"/>
        </w:rPr>
        <w:t>млн</w:t>
      </w:r>
      <w:proofErr w:type="gramEnd"/>
      <w:r w:rsidR="00411064" w:rsidRPr="00940ACB">
        <w:rPr>
          <w:sz w:val="28"/>
          <w:szCs w:val="28"/>
        </w:rPr>
        <w:t xml:space="preserve"> руб., в 2024 году 4,2 </w:t>
      </w:r>
      <w:r w:rsidR="00E40C69" w:rsidRPr="00940ACB">
        <w:rPr>
          <w:sz w:val="28"/>
          <w:szCs w:val="28"/>
        </w:rPr>
        <w:t>млн</w:t>
      </w:r>
      <w:r w:rsidR="00411064" w:rsidRPr="00940ACB">
        <w:rPr>
          <w:sz w:val="28"/>
          <w:szCs w:val="28"/>
        </w:rPr>
        <w:t xml:space="preserve"> руб., в 2025 году 4,3 </w:t>
      </w:r>
      <w:r w:rsidR="00E40C69" w:rsidRPr="00940ACB">
        <w:rPr>
          <w:sz w:val="28"/>
          <w:szCs w:val="28"/>
        </w:rPr>
        <w:t>млн</w:t>
      </w:r>
      <w:r w:rsidR="00411064" w:rsidRPr="00940ACB">
        <w:rPr>
          <w:sz w:val="28"/>
          <w:szCs w:val="28"/>
        </w:rPr>
        <w:t xml:space="preserve"> руб.; </w:t>
      </w:r>
    </w:p>
    <w:p w14:paraId="45992186" w14:textId="013D815C" w:rsidR="00411064" w:rsidRPr="00940ACB" w:rsidRDefault="00940ACB" w:rsidP="00940ACB">
      <w:pPr>
        <w:spacing w:line="360" w:lineRule="auto"/>
        <w:ind w:firstLine="567"/>
        <w:jc w:val="both"/>
        <w:rPr>
          <w:rFonts w:cstheme="minorBidi"/>
          <w:sz w:val="28"/>
          <w:szCs w:val="28"/>
        </w:rPr>
      </w:pPr>
      <w:r>
        <w:rPr>
          <w:sz w:val="28"/>
          <w:szCs w:val="28"/>
        </w:rPr>
        <w:t xml:space="preserve">- </w:t>
      </w:r>
      <w:r w:rsidR="00411064" w:rsidRPr="00940ACB">
        <w:rPr>
          <w:sz w:val="28"/>
          <w:szCs w:val="28"/>
        </w:rPr>
        <w:t>расходы на выплату пособий и оказание услуг по погребению умерших пенсионеров – получателей страховой или накопительной пенсии, не работавших на день смерти, определены исходя из ожидаемой общей численности получателей в 2023-2025 г</w:t>
      </w:r>
      <w:r w:rsidR="00C571A0">
        <w:rPr>
          <w:sz w:val="28"/>
          <w:szCs w:val="28"/>
        </w:rPr>
        <w:t>одах</w:t>
      </w:r>
      <w:r w:rsidR="00411064" w:rsidRPr="00940ACB">
        <w:rPr>
          <w:sz w:val="28"/>
          <w:szCs w:val="28"/>
        </w:rPr>
        <w:t xml:space="preserve"> 1,5 </w:t>
      </w:r>
      <w:proofErr w:type="gramStart"/>
      <w:r w:rsidR="00E40C69" w:rsidRPr="00940ACB">
        <w:rPr>
          <w:sz w:val="28"/>
          <w:szCs w:val="28"/>
        </w:rPr>
        <w:t>млн</w:t>
      </w:r>
      <w:proofErr w:type="gramEnd"/>
      <w:r w:rsidR="00411064" w:rsidRPr="00940ACB">
        <w:rPr>
          <w:sz w:val="28"/>
          <w:szCs w:val="28"/>
        </w:rPr>
        <w:t xml:space="preserve"> человек ежегодно;</w:t>
      </w:r>
    </w:p>
    <w:p w14:paraId="1EA7F470" w14:textId="7B242F0D" w:rsidR="00411064" w:rsidRPr="00940ACB" w:rsidRDefault="00940ACB" w:rsidP="00940ACB">
      <w:pPr>
        <w:spacing w:line="360" w:lineRule="auto"/>
        <w:ind w:firstLine="567"/>
        <w:jc w:val="both"/>
        <w:rPr>
          <w:rFonts w:cstheme="minorBidi"/>
          <w:sz w:val="28"/>
          <w:szCs w:val="28"/>
        </w:rPr>
      </w:pPr>
      <w:r>
        <w:rPr>
          <w:sz w:val="28"/>
          <w:szCs w:val="28"/>
        </w:rPr>
        <w:t xml:space="preserve">- </w:t>
      </w:r>
      <w:r w:rsidR="00411064" w:rsidRPr="00940ACB">
        <w:rPr>
          <w:sz w:val="28"/>
          <w:szCs w:val="28"/>
        </w:rPr>
        <w:t xml:space="preserve">расходы на указанные цели, финансируемые за счет средств бюджета Фонда на обязательное пенсионное страхование, запланированы в 2023 году в сумме 12,3 </w:t>
      </w:r>
      <w:proofErr w:type="gramStart"/>
      <w:r w:rsidR="009C4461" w:rsidRPr="00940ACB">
        <w:rPr>
          <w:sz w:val="28"/>
          <w:szCs w:val="28"/>
        </w:rPr>
        <w:t>млрд</w:t>
      </w:r>
      <w:proofErr w:type="gramEnd"/>
      <w:r w:rsidR="00411064" w:rsidRPr="00940ACB">
        <w:rPr>
          <w:sz w:val="28"/>
          <w:szCs w:val="28"/>
        </w:rPr>
        <w:t xml:space="preserve"> руб., в 2024 году 13,0 </w:t>
      </w:r>
      <w:r w:rsidR="009C4461" w:rsidRPr="00940ACB">
        <w:rPr>
          <w:sz w:val="28"/>
          <w:szCs w:val="28"/>
        </w:rPr>
        <w:t>млрд</w:t>
      </w:r>
      <w:r w:rsidR="00411064" w:rsidRPr="00940ACB">
        <w:rPr>
          <w:sz w:val="28"/>
          <w:szCs w:val="28"/>
        </w:rPr>
        <w:t xml:space="preserve"> руб., в 2025 году 13,6 </w:t>
      </w:r>
      <w:r w:rsidR="009C4461" w:rsidRPr="00940ACB">
        <w:rPr>
          <w:sz w:val="28"/>
          <w:szCs w:val="28"/>
        </w:rPr>
        <w:t>млрд</w:t>
      </w:r>
      <w:r w:rsidR="00411064" w:rsidRPr="00940ACB">
        <w:rPr>
          <w:sz w:val="28"/>
          <w:szCs w:val="28"/>
        </w:rPr>
        <w:t xml:space="preserve"> руб. Расходы на доставку 102,7 </w:t>
      </w:r>
      <w:r w:rsidR="00E40C69" w:rsidRPr="00940ACB">
        <w:rPr>
          <w:sz w:val="28"/>
          <w:szCs w:val="28"/>
        </w:rPr>
        <w:t>млн</w:t>
      </w:r>
      <w:r w:rsidR="00411064" w:rsidRPr="00940ACB">
        <w:rPr>
          <w:sz w:val="28"/>
          <w:szCs w:val="28"/>
        </w:rPr>
        <w:t xml:space="preserve"> руб., 108,9 </w:t>
      </w:r>
      <w:r w:rsidR="00E40C69" w:rsidRPr="00940ACB">
        <w:rPr>
          <w:sz w:val="28"/>
          <w:szCs w:val="28"/>
        </w:rPr>
        <w:t>млн</w:t>
      </w:r>
      <w:r w:rsidR="00411064" w:rsidRPr="00940ACB">
        <w:rPr>
          <w:sz w:val="28"/>
          <w:szCs w:val="28"/>
        </w:rPr>
        <w:t xml:space="preserve"> руб. и 113,4 </w:t>
      </w:r>
      <w:r w:rsidR="00E40C69" w:rsidRPr="00940ACB">
        <w:rPr>
          <w:sz w:val="28"/>
          <w:szCs w:val="28"/>
        </w:rPr>
        <w:t>млн</w:t>
      </w:r>
      <w:r w:rsidR="00411064" w:rsidRPr="00940ACB">
        <w:rPr>
          <w:sz w:val="28"/>
          <w:szCs w:val="28"/>
        </w:rPr>
        <w:t xml:space="preserve"> руб. соответственно;</w:t>
      </w:r>
    </w:p>
    <w:p w14:paraId="2C592F9A" w14:textId="7AEEDC3B" w:rsidR="00411064" w:rsidRPr="00940ACB" w:rsidRDefault="00940ACB" w:rsidP="00940ACB">
      <w:pPr>
        <w:spacing w:line="360" w:lineRule="auto"/>
        <w:ind w:firstLine="567"/>
        <w:jc w:val="both"/>
        <w:rPr>
          <w:rFonts w:cstheme="minorBidi"/>
          <w:sz w:val="28"/>
          <w:szCs w:val="28"/>
        </w:rPr>
      </w:pPr>
      <w:r>
        <w:rPr>
          <w:sz w:val="28"/>
          <w:szCs w:val="28"/>
        </w:rPr>
        <w:t xml:space="preserve">- </w:t>
      </w:r>
      <w:r w:rsidR="00411064" w:rsidRPr="00940ACB">
        <w:rPr>
          <w:sz w:val="28"/>
          <w:szCs w:val="28"/>
        </w:rPr>
        <w:t xml:space="preserve">расходы за счет средств, передаваемых бюджету Фонда из бюджетов субъектов Российской Федерации через органы службы занятости населения субъектов Российской Федерации на выплату пособий и оказание услуг по погребению умерших </w:t>
      </w:r>
      <w:proofErr w:type="spellStart"/>
      <w:r w:rsidR="00411064" w:rsidRPr="00940ACB">
        <w:rPr>
          <w:sz w:val="28"/>
          <w:szCs w:val="28"/>
        </w:rPr>
        <w:t>неработавших</w:t>
      </w:r>
      <w:proofErr w:type="spellEnd"/>
      <w:r w:rsidR="00411064" w:rsidRPr="00940ACB">
        <w:rPr>
          <w:sz w:val="28"/>
          <w:szCs w:val="28"/>
        </w:rPr>
        <w:t xml:space="preserve"> пенсионеров, досрочно оформивших пенсию по предложению органов службы занятости, определены исходя из ожидаемой общей численности получателей в 2023-2025 г</w:t>
      </w:r>
      <w:r w:rsidR="00C571A0">
        <w:rPr>
          <w:sz w:val="28"/>
          <w:szCs w:val="28"/>
        </w:rPr>
        <w:t>одах</w:t>
      </w:r>
      <w:r w:rsidR="00411064" w:rsidRPr="00940ACB">
        <w:rPr>
          <w:sz w:val="28"/>
          <w:szCs w:val="28"/>
        </w:rPr>
        <w:t xml:space="preserve"> – 0,13 тыс. человек, в 2023 году составят 1,1 </w:t>
      </w:r>
      <w:proofErr w:type="gramStart"/>
      <w:r w:rsidR="00E40C69" w:rsidRPr="00940ACB">
        <w:rPr>
          <w:sz w:val="28"/>
          <w:szCs w:val="28"/>
        </w:rPr>
        <w:t>млн</w:t>
      </w:r>
      <w:proofErr w:type="gramEnd"/>
      <w:r w:rsidR="00411064" w:rsidRPr="00940ACB">
        <w:rPr>
          <w:sz w:val="28"/>
          <w:szCs w:val="28"/>
        </w:rPr>
        <w:t xml:space="preserve"> руб., в 2024-2025 г</w:t>
      </w:r>
      <w:r w:rsidR="00C571A0">
        <w:rPr>
          <w:sz w:val="28"/>
          <w:szCs w:val="28"/>
        </w:rPr>
        <w:t>одах</w:t>
      </w:r>
      <w:r w:rsidR="00411064" w:rsidRPr="00940ACB">
        <w:rPr>
          <w:sz w:val="28"/>
          <w:szCs w:val="28"/>
        </w:rPr>
        <w:t xml:space="preserve"> 1,2 </w:t>
      </w:r>
      <w:proofErr w:type="gramStart"/>
      <w:r w:rsidR="00E40C69" w:rsidRPr="00940ACB">
        <w:rPr>
          <w:sz w:val="28"/>
          <w:szCs w:val="28"/>
        </w:rPr>
        <w:t>млн</w:t>
      </w:r>
      <w:proofErr w:type="gramEnd"/>
      <w:r w:rsidR="00411064" w:rsidRPr="00940ACB">
        <w:rPr>
          <w:sz w:val="28"/>
          <w:szCs w:val="28"/>
        </w:rPr>
        <w:t xml:space="preserve"> руб. ежегодно. </w:t>
      </w:r>
      <w:proofErr w:type="gramStart"/>
      <w:r w:rsidR="00411064" w:rsidRPr="00940ACB">
        <w:rPr>
          <w:sz w:val="28"/>
          <w:szCs w:val="28"/>
        </w:rPr>
        <w:t>Расходы на доставку – 15,4 тыс. руб., 16,3 тыс. руб. и 16,8 тыс. руб. соответственно;</w:t>
      </w:r>
      <w:proofErr w:type="gramEnd"/>
    </w:p>
    <w:p w14:paraId="7483E249" w14:textId="7E0F2AD2" w:rsidR="00411064" w:rsidRPr="00940ACB" w:rsidRDefault="00940ACB" w:rsidP="00940ACB">
      <w:pPr>
        <w:spacing w:line="360" w:lineRule="auto"/>
        <w:ind w:firstLine="567"/>
        <w:jc w:val="both"/>
        <w:rPr>
          <w:rFonts w:cstheme="minorBidi"/>
          <w:sz w:val="28"/>
          <w:szCs w:val="28"/>
        </w:rPr>
      </w:pPr>
      <w:proofErr w:type="gramStart"/>
      <w:r>
        <w:rPr>
          <w:sz w:val="28"/>
          <w:szCs w:val="28"/>
        </w:rPr>
        <w:t xml:space="preserve">- </w:t>
      </w:r>
      <w:r w:rsidR="00411064" w:rsidRPr="00940ACB">
        <w:rPr>
          <w:sz w:val="28"/>
          <w:szCs w:val="28"/>
        </w:rPr>
        <w:t>расходы на выплату социального пособия на погребение либо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работавших граждан и умерших несовершеннолетних членов семей работающих, в 2023-2025 г</w:t>
      </w:r>
      <w:r w:rsidR="00C571A0">
        <w:rPr>
          <w:sz w:val="28"/>
          <w:szCs w:val="28"/>
        </w:rPr>
        <w:t xml:space="preserve">одах </w:t>
      </w:r>
      <w:r w:rsidR="00411064" w:rsidRPr="00940ACB">
        <w:rPr>
          <w:sz w:val="28"/>
          <w:szCs w:val="28"/>
        </w:rPr>
        <w:t>определены с учетом их ежегодной индексации с 1 февраля на индекс потребительских цен предыдущего года (1,124, 1,055 и 1,040 соответственно) и составят в 2023</w:t>
      </w:r>
      <w:proofErr w:type="gramEnd"/>
      <w:r w:rsidR="00411064" w:rsidRPr="00940ACB">
        <w:rPr>
          <w:sz w:val="28"/>
          <w:szCs w:val="28"/>
        </w:rPr>
        <w:t xml:space="preserve"> году 817,3 </w:t>
      </w:r>
      <w:proofErr w:type="gramStart"/>
      <w:r w:rsidR="00E40C69" w:rsidRPr="00940ACB">
        <w:rPr>
          <w:sz w:val="28"/>
          <w:szCs w:val="28"/>
        </w:rPr>
        <w:t>млн</w:t>
      </w:r>
      <w:proofErr w:type="gramEnd"/>
      <w:r w:rsidR="00411064" w:rsidRPr="00940ACB">
        <w:rPr>
          <w:sz w:val="28"/>
          <w:szCs w:val="28"/>
        </w:rPr>
        <w:t xml:space="preserve"> руб., в 2024 году 885,5 </w:t>
      </w:r>
      <w:r w:rsidR="00E40C69" w:rsidRPr="00940ACB">
        <w:rPr>
          <w:sz w:val="28"/>
          <w:szCs w:val="28"/>
        </w:rPr>
        <w:t>млн</w:t>
      </w:r>
      <w:r w:rsidR="00411064" w:rsidRPr="00940ACB">
        <w:rPr>
          <w:sz w:val="28"/>
          <w:szCs w:val="28"/>
        </w:rPr>
        <w:t xml:space="preserve"> руб., в 2025 году 922,0 </w:t>
      </w:r>
      <w:r w:rsidR="00E40C69" w:rsidRPr="00940ACB">
        <w:rPr>
          <w:sz w:val="28"/>
          <w:szCs w:val="28"/>
        </w:rPr>
        <w:t>млн</w:t>
      </w:r>
      <w:r w:rsidR="00411064" w:rsidRPr="00940ACB">
        <w:rPr>
          <w:sz w:val="28"/>
          <w:szCs w:val="28"/>
        </w:rPr>
        <w:t xml:space="preserve"> руб. на оплату 95,79 тыс. пособий в 2023 году и 97,90 тыс. пособий в 2024-2025 гг. ежегодно.</w:t>
      </w:r>
    </w:p>
    <w:p w14:paraId="028D0555" w14:textId="23BD2AFF" w:rsidR="00411064" w:rsidRPr="00940ACB" w:rsidRDefault="00411064" w:rsidP="00940ACB">
      <w:pPr>
        <w:spacing w:line="360" w:lineRule="auto"/>
        <w:ind w:firstLine="567"/>
        <w:jc w:val="both"/>
        <w:rPr>
          <w:sz w:val="28"/>
          <w:szCs w:val="28"/>
        </w:rPr>
      </w:pPr>
      <w:proofErr w:type="gramStart"/>
      <w:r w:rsidRPr="00940ACB">
        <w:rPr>
          <w:sz w:val="28"/>
          <w:szCs w:val="28"/>
        </w:rPr>
        <w:t>Размеры пособия определены в следующих размерах: в сумме 6 964,68 руб. с 1 января 2023 г</w:t>
      </w:r>
      <w:r w:rsidR="00C571A0">
        <w:rPr>
          <w:sz w:val="28"/>
          <w:szCs w:val="28"/>
        </w:rPr>
        <w:t>ода</w:t>
      </w:r>
      <w:r w:rsidRPr="00940ACB">
        <w:rPr>
          <w:sz w:val="28"/>
          <w:szCs w:val="28"/>
        </w:rPr>
        <w:t>; в сумме 7 828,30 руб. с 1 февраля 2023 г</w:t>
      </w:r>
      <w:r w:rsidR="00C571A0">
        <w:rPr>
          <w:sz w:val="28"/>
          <w:szCs w:val="28"/>
        </w:rPr>
        <w:t>ода</w:t>
      </w:r>
      <w:r w:rsidRPr="00940ACB">
        <w:rPr>
          <w:sz w:val="28"/>
          <w:szCs w:val="28"/>
        </w:rPr>
        <w:t>; в сумме 7 828,30 руб. с 1 января 2024 г</w:t>
      </w:r>
      <w:r w:rsidR="00C571A0">
        <w:rPr>
          <w:sz w:val="28"/>
          <w:szCs w:val="28"/>
        </w:rPr>
        <w:t>ода</w:t>
      </w:r>
      <w:r w:rsidRPr="00940ACB">
        <w:rPr>
          <w:sz w:val="28"/>
          <w:szCs w:val="28"/>
        </w:rPr>
        <w:t>, в сумме 8 258,86 руб. с 1 февраля 2024 г</w:t>
      </w:r>
      <w:r w:rsidR="00C571A0">
        <w:rPr>
          <w:sz w:val="28"/>
          <w:szCs w:val="28"/>
        </w:rPr>
        <w:t>ода</w:t>
      </w:r>
      <w:r w:rsidRPr="00940ACB">
        <w:rPr>
          <w:sz w:val="28"/>
          <w:szCs w:val="28"/>
        </w:rPr>
        <w:t>; в сумме 8 258,86 руб. с 1 января 2025 г</w:t>
      </w:r>
      <w:r w:rsidR="00C571A0">
        <w:rPr>
          <w:sz w:val="28"/>
          <w:szCs w:val="28"/>
        </w:rPr>
        <w:t>ода</w:t>
      </w:r>
      <w:r w:rsidRPr="00940ACB">
        <w:rPr>
          <w:sz w:val="28"/>
          <w:szCs w:val="28"/>
        </w:rPr>
        <w:t>;</w:t>
      </w:r>
      <w:proofErr w:type="gramEnd"/>
      <w:r w:rsidRPr="00940ACB">
        <w:rPr>
          <w:sz w:val="28"/>
          <w:szCs w:val="28"/>
        </w:rPr>
        <w:t xml:space="preserve"> в сумме 8 589,21 руб. с 1 февраля 2025 г</w:t>
      </w:r>
      <w:r w:rsidR="00C571A0">
        <w:rPr>
          <w:sz w:val="28"/>
          <w:szCs w:val="28"/>
        </w:rPr>
        <w:t>ода.</w:t>
      </w:r>
      <w:r w:rsidRPr="00940ACB">
        <w:rPr>
          <w:sz w:val="28"/>
          <w:szCs w:val="28"/>
        </w:rPr>
        <w:t xml:space="preserve"> </w:t>
      </w:r>
    </w:p>
    <w:p w14:paraId="77123643" w14:textId="77777777" w:rsidR="00411064" w:rsidRPr="00940ACB" w:rsidRDefault="00411064" w:rsidP="00940ACB">
      <w:pPr>
        <w:spacing w:line="360" w:lineRule="auto"/>
        <w:ind w:firstLine="567"/>
        <w:jc w:val="both"/>
        <w:rPr>
          <w:sz w:val="28"/>
          <w:szCs w:val="28"/>
        </w:rPr>
      </w:pPr>
      <w:r w:rsidRPr="00940ACB">
        <w:rPr>
          <w:sz w:val="28"/>
          <w:szCs w:val="28"/>
        </w:rPr>
        <w:t>Таким образом, наличествует нестыковка между табличными показателями и показателями по тексту в отношении уменьшения численности пенсионеров.</w:t>
      </w:r>
    </w:p>
    <w:p w14:paraId="48F3DF60" w14:textId="77777777" w:rsidR="00411064" w:rsidRPr="00940ACB" w:rsidRDefault="00411064" w:rsidP="00940ACB">
      <w:pPr>
        <w:spacing w:line="360" w:lineRule="auto"/>
        <w:ind w:firstLine="567"/>
        <w:jc w:val="both"/>
        <w:rPr>
          <w:b/>
          <w:sz w:val="28"/>
          <w:szCs w:val="28"/>
        </w:rPr>
      </w:pPr>
    </w:p>
    <w:p w14:paraId="11959D36" w14:textId="52B2B462" w:rsidR="008431CF" w:rsidRPr="00940ACB" w:rsidRDefault="008431CF" w:rsidP="00940ACB">
      <w:pPr>
        <w:spacing w:line="360" w:lineRule="auto"/>
        <w:ind w:firstLine="567"/>
        <w:jc w:val="both"/>
        <w:rPr>
          <w:b/>
          <w:sz w:val="28"/>
          <w:szCs w:val="28"/>
        </w:rPr>
      </w:pPr>
      <w:r w:rsidRPr="00940ACB">
        <w:rPr>
          <w:b/>
          <w:sz w:val="28"/>
          <w:szCs w:val="28"/>
        </w:rPr>
        <w:t>Национальный проект «Здравоохранение»</w:t>
      </w:r>
    </w:p>
    <w:p w14:paraId="6B1D17D9" w14:textId="6314ED96" w:rsidR="008431CF" w:rsidRPr="00940ACB" w:rsidRDefault="008431CF" w:rsidP="00940ACB">
      <w:pPr>
        <w:spacing w:line="360" w:lineRule="auto"/>
        <w:ind w:firstLine="567"/>
        <w:jc w:val="both"/>
        <w:rPr>
          <w:sz w:val="28"/>
          <w:szCs w:val="28"/>
        </w:rPr>
      </w:pPr>
      <w:bookmarkStart w:id="8" w:name="_Hlk116479537"/>
      <w:r w:rsidRPr="00940ACB">
        <w:rPr>
          <w:bCs/>
          <w:i/>
          <w:iCs/>
          <w:sz w:val="28"/>
          <w:szCs w:val="28"/>
        </w:rPr>
        <w:t>Национальный проект «Здравоохранение»</w:t>
      </w:r>
      <w:bookmarkEnd w:id="8"/>
      <w:r w:rsidRPr="00940ACB">
        <w:rPr>
          <w:b/>
          <w:sz w:val="28"/>
          <w:szCs w:val="28"/>
        </w:rPr>
        <w:t xml:space="preserve"> </w:t>
      </w:r>
      <w:r w:rsidRPr="00940ACB">
        <w:rPr>
          <w:sz w:val="28"/>
          <w:szCs w:val="28"/>
        </w:rPr>
        <w:t xml:space="preserve">представлен в </w:t>
      </w:r>
      <w:r w:rsidR="00940ACB">
        <w:rPr>
          <w:sz w:val="28"/>
          <w:szCs w:val="28"/>
        </w:rPr>
        <w:t xml:space="preserve">Пояснительной записке </w:t>
      </w:r>
      <w:r w:rsidRPr="00940ACB">
        <w:rPr>
          <w:sz w:val="28"/>
          <w:szCs w:val="28"/>
        </w:rPr>
        <w:t>раньше, чем государственная программа «Развитие здравоохранения»</w:t>
      </w:r>
      <w:r w:rsidR="00940ACB">
        <w:rPr>
          <w:rStyle w:val="aa"/>
          <w:sz w:val="28"/>
          <w:szCs w:val="28"/>
        </w:rPr>
        <w:footnoteReference w:id="22"/>
      </w:r>
      <w:r w:rsidR="00940ACB">
        <w:rPr>
          <w:sz w:val="28"/>
          <w:szCs w:val="28"/>
        </w:rPr>
        <w:t xml:space="preserve">, </w:t>
      </w:r>
      <w:r w:rsidRPr="00940ACB">
        <w:rPr>
          <w:sz w:val="28"/>
          <w:szCs w:val="28"/>
        </w:rPr>
        <w:t>что свидетельствует по меньшей мере о</w:t>
      </w:r>
      <w:r w:rsidR="00940ACB">
        <w:rPr>
          <w:sz w:val="28"/>
          <w:szCs w:val="28"/>
        </w:rPr>
        <w:t>б игнорирован</w:t>
      </w:r>
      <w:proofErr w:type="gramStart"/>
      <w:r w:rsidR="00940ACB">
        <w:rPr>
          <w:sz w:val="28"/>
          <w:szCs w:val="28"/>
        </w:rPr>
        <w:t>ии</w:t>
      </w:r>
      <w:r w:rsidRPr="00940ACB">
        <w:rPr>
          <w:sz w:val="28"/>
          <w:szCs w:val="28"/>
        </w:rPr>
        <w:t xml:space="preserve"> ие</w:t>
      </w:r>
      <w:proofErr w:type="gramEnd"/>
      <w:r w:rsidRPr="00940ACB">
        <w:rPr>
          <w:sz w:val="28"/>
          <w:szCs w:val="28"/>
        </w:rPr>
        <w:t xml:space="preserve">рархии государственных программ и национальных проектов. Между тем, </w:t>
      </w:r>
      <w:r w:rsidRPr="00940ACB">
        <w:rPr>
          <w:bCs/>
          <w:i/>
          <w:iCs/>
          <w:sz w:val="28"/>
          <w:szCs w:val="28"/>
        </w:rPr>
        <w:t>государственная программа</w:t>
      </w:r>
      <w:r w:rsidRPr="00940ACB">
        <w:rPr>
          <w:sz w:val="28"/>
          <w:szCs w:val="28"/>
        </w:rPr>
        <w:t xml:space="preserve"> Российской Федерации «Развитие здравоохранения» (далее – Госпрограмма) утверждена постановлением Правительства Российской Федерации от 26 декабря 2017 г</w:t>
      </w:r>
      <w:r w:rsidR="00C571A0">
        <w:rPr>
          <w:sz w:val="28"/>
          <w:szCs w:val="28"/>
        </w:rPr>
        <w:t>ода</w:t>
      </w:r>
      <w:r w:rsidRPr="00940ACB">
        <w:rPr>
          <w:sz w:val="28"/>
          <w:szCs w:val="28"/>
        </w:rPr>
        <w:t xml:space="preserve"> № 1640 «Об утверждении государственной программы Российской Федерации «Развитие здравоохранения». Постановлением Правительства Российской Федерации от 29 марта 2019 г</w:t>
      </w:r>
      <w:r w:rsidR="00940ACB">
        <w:rPr>
          <w:sz w:val="28"/>
          <w:szCs w:val="28"/>
        </w:rPr>
        <w:t>ода</w:t>
      </w:r>
      <w:r w:rsidRPr="00940ACB">
        <w:rPr>
          <w:sz w:val="28"/>
          <w:szCs w:val="28"/>
        </w:rPr>
        <w:t xml:space="preserve"> № 380 «О внесении изменений в государственную программу Российской Федерации «Развитие здравоохранения» внесены изменения в Госпрограмму, касающиеся корректировки целей, состава соисполнителей и участников, структуры и сроков реализации пилотной Госпрограммы, правил предоставления и распределения субсидий из федерального бюджета бюджетам субъектов Российской Федерации.</w:t>
      </w:r>
    </w:p>
    <w:p w14:paraId="5628C37C" w14:textId="14944C7B" w:rsidR="008431CF" w:rsidRPr="00940ACB" w:rsidRDefault="008431CF" w:rsidP="00940ACB">
      <w:pPr>
        <w:spacing w:line="360" w:lineRule="auto"/>
        <w:ind w:firstLine="567"/>
        <w:jc w:val="both"/>
        <w:rPr>
          <w:sz w:val="28"/>
          <w:szCs w:val="28"/>
        </w:rPr>
      </w:pPr>
      <w:r w:rsidRPr="00940ACB">
        <w:rPr>
          <w:sz w:val="28"/>
          <w:szCs w:val="28"/>
        </w:rPr>
        <w:t>Госпрограмма разработана в соответствии с Правилами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w:t>
      </w:r>
      <w:r w:rsidR="00940ACB">
        <w:rPr>
          <w:sz w:val="28"/>
          <w:szCs w:val="28"/>
        </w:rPr>
        <w:t>ода</w:t>
      </w:r>
      <w:r w:rsidRPr="00940ACB">
        <w:rPr>
          <w:sz w:val="28"/>
          <w:szCs w:val="28"/>
        </w:rPr>
        <w:t xml:space="preserve"> № 1242 «О разработке, реализации и об оценке эффективности отдельных государственных программ Российской Федерации».</w:t>
      </w:r>
    </w:p>
    <w:p w14:paraId="74E05C5D" w14:textId="220F5D93" w:rsidR="008431CF" w:rsidRPr="00940ACB" w:rsidRDefault="008431CF" w:rsidP="00940ACB">
      <w:pPr>
        <w:spacing w:line="360" w:lineRule="auto"/>
        <w:ind w:firstLine="567"/>
        <w:jc w:val="both"/>
        <w:rPr>
          <w:sz w:val="28"/>
          <w:szCs w:val="28"/>
        </w:rPr>
      </w:pPr>
      <w:r w:rsidRPr="00940ACB">
        <w:rPr>
          <w:sz w:val="28"/>
          <w:szCs w:val="28"/>
        </w:rPr>
        <w:t>С учетом Указа Президента Российской Федерации от 7 мая 2018 г</w:t>
      </w:r>
      <w:r w:rsidR="00940ACB">
        <w:rPr>
          <w:sz w:val="28"/>
          <w:szCs w:val="28"/>
        </w:rPr>
        <w:t>ода</w:t>
      </w:r>
      <w:r w:rsidRPr="00940ACB">
        <w:rPr>
          <w:sz w:val="28"/>
          <w:szCs w:val="28"/>
        </w:rPr>
        <w:t xml:space="preserve"> № 204 «О национальных целях и стратегических задачах развития Российской Федерации на период до 2024 года» (далее – Указ № 204) скорректированы цели Госпрограммы.</w:t>
      </w:r>
    </w:p>
    <w:p w14:paraId="5E444056" w14:textId="77777777" w:rsidR="008431CF" w:rsidRPr="00940ACB" w:rsidRDefault="008431CF" w:rsidP="00940ACB">
      <w:pPr>
        <w:spacing w:line="360" w:lineRule="auto"/>
        <w:ind w:firstLine="567"/>
        <w:jc w:val="both"/>
        <w:rPr>
          <w:sz w:val="28"/>
          <w:szCs w:val="28"/>
        </w:rPr>
      </w:pPr>
      <w:r w:rsidRPr="00940ACB">
        <w:rPr>
          <w:sz w:val="28"/>
          <w:szCs w:val="28"/>
        </w:rPr>
        <w:t>Цели Госпрограммы:</w:t>
      </w:r>
    </w:p>
    <w:p w14:paraId="7B651A73" w14:textId="77777777" w:rsidR="008431CF" w:rsidRPr="00940ACB" w:rsidRDefault="008431CF" w:rsidP="00940ACB">
      <w:pPr>
        <w:spacing w:line="360" w:lineRule="auto"/>
        <w:ind w:firstLine="567"/>
        <w:jc w:val="both"/>
        <w:rPr>
          <w:sz w:val="28"/>
          <w:szCs w:val="28"/>
        </w:rPr>
      </w:pPr>
      <w:r w:rsidRPr="00940ACB">
        <w:rPr>
          <w:sz w:val="28"/>
          <w:szCs w:val="28"/>
        </w:rPr>
        <w:t>1) снижение к 2024 году смертности населения трудоспособного возраста до 350 случаев на 100 тыс. населения;</w:t>
      </w:r>
    </w:p>
    <w:p w14:paraId="70B4AD9A" w14:textId="77777777" w:rsidR="008431CF" w:rsidRPr="00940ACB" w:rsidRDefault="008431CF" w:rsidP="00940ACB">
      <w:pPr>
        <w:spacing w:line="360" w:lineRule="auto"/>
        <w:ind w:firstLine="567"/>
        <w:jc w:val="both"/>
        <w:rPr>
          <w:sz w:val="28"/>
          <w:szCs w:val="28"/>
        </w:rPr>
      </w:pPr>
      <w:r w:rsidRPr="00940ACB">
        <w:rPr>
          <w:sz w:val="28"/>
          <w:szCs w:val="28"/>
        </w:rPr>
        <w:t>2) снижение к 2024 году смертности от болезней системы кровообращения до 450 случаев на 100 тыс. населения;</w:t>
      </w:r>
    </w:p>
    <w:p w14:paraId="5E74E8A7" w14:textId="77777777" w:rsidR="008431CF" w:rsidRPr="00940ACB" w:rsidRDefault="008431CF" w:rsidP="00940ACB">
      <w:pPr>
        <w:spacing w:line="360" w:lineRule="auto"/>
        <w:ind w:firstLine="567"/>
        <w:jc w:val="both"/>
        <w:rPr>
          <w:sz w:val="28"/>
          <w:szCs w:val="28"/>
        </w:rPr>
      </w:pPr>
      <w:r w:rsidRPr="00940ACB">
        <w:rPr>
          <w:sz w:val="28"/>
          <w:szCs w:val="28"/>
        </w:rPr>
        <w:t>3) снижение к 2024 году смертности от новообразований, в том числе</w:t>
      </w:r>
      <w:r w:rsidRPr="00940ACB">
        <w:rPr>
          <w:sz w:val="28"/>
          <w:szCs w:val="28"/>
        </w:rPr>
        <w:br/>
        <w:t>от злокачественных, до 185 случаев на 100 тыс. населения;</w:t>
      </w:r>
    </w:p>
    <w:p w14:paraId="460E2450" w14:textId="77777777" w:rsidR="008431CF" w:rsidRPr="00940ACB" w:rsidRDefault="008431CF" w:rsidP="00940ACB">
      <w:pPr>
        <w:spacing w:line="360" w:lineRule="auto"/>
        <w:ind w:firstLine="567"/>
        <w:jc w:val="both"/>
        <w:rPr>
          <w:sz w:val="28"/>
          <w:szCs w:val="28"/>
        </w:rPr>
      </w:pPr>
      <w:r w:rsidRPr="00940ACB">
        <w:rPr>
          <w:sz w:val="28"/>
          <w:szCs w:val="28"/>
        </w:rPr>
        <w:t xml:space="preserve">4) снижение к 2024 году младенческой смертности до 4,5 случая на 1 тыс. </w:t>
      </w:r>
      <w:proofErr w:type="gramStart"/>
      <w:r w:rsidRPr="00940ACB">
        <w:rPr>
          <w:sz w:val="28"/>
          <w:szCs w:val="28"/>
        </w:rPr>
        <w:t>родившихся</w:t>
      </w:r>
      <w:proofErr w:type="gramEnd"/>
      <w:r w:rsidRPr="00940ACB">
        <w:rPr>
          <w:sz w:val="28"/>
          <w:szCs w:val="28"/>
        </w:rPr>
        <w:t xml:space="preserve"> живыми.</w:t>
      </w:r>
    </w:p>
    <w:p w14:paraId="2793DC24" w14:textId="77777777" w:rsidR="008431CF" w:rsidRPr="00940ACB" w:rsidRDefault="008431CF" w:rsidP="00940ACB">
      <w:pPr>
        <w:spacing w:line="360" w:lineRule="auto"/>
        <w:ind w:firstLine="567"/>
        <w:jc w:val="both"/>
        <w:rPr>
          <w:sz w:val="28"/>
          <w:szCs w:val="28"/>
        </w:rPr>
      </w:pPr>
      <w:r w:rsidRPr="00940ACB">
        <w:rPr>
          <w:sz w:val="28"/>
          <w:szCs w:val="28"/>
        </w:rPr>
        <w:t>Значения целевых показателей по годам реализации указаны</w:t>
      </w:r>
      <w:r w:rsidRPr="00940ACB">
        <w:rPr>
          <w:sz w:val="28"/>
          <w:szCs w:val="28"/>
        </w:rPr>
        <w:br/>
        <w:t>в паспорте Госпрограммы.</w:t>
      </w:r>
    </w:p>
    <w:p w14:paraId="6E712B11" w14:textId="52C20154" w:rsidR="008431CF" w:rsidRPr="00940ACB" w:rsidRDefault="008431CF" w:rsidP="00940ACB">
      <w:pPr>
        <w:spacing w:line="360" w:lineRule="auto"/>
        <w:ind w:firstLine="567"/>
        <w:jc w:val="both"/>
        <w:rPr>
          <w:sz w:val="28"/>
          <w:szCs w:val="28"/>
        </w:rPr>
      </w:pPr>
      <w:r w:rsidRPr="00940ACB">
        <w:rPr>
          <w:sz w:val="28"/>
          <w:szCs w:val="28"/>
        </w:rPr>
        <w:t>Изменен срок окончания реализации Госпрограммы с 2025 года</w:t>
      </w:r>
      <w:r w:rsidRPr="00940ACB">
        <w:rPr>
          <w:sz w:val="28"/>
          <w:szCs w:val="28"/>
        </w:rPr>
        <w:br/>
        <w:t>на 2024 год в соответствии со сроком завершения реализации национального проекта «Здравоохранение». Данное изменение утверждено распоряжением Правительства Российской Федерации от 13 октября 2018 г</w:t>
      </w:r>
      <w:r w:rsidR="00C571A0">
        <w:rPr>
          <w:sz w:val="28"/>
          <w:szCs w:val="28"/>
        </w:rPr>
        <w:t xml:space="preserve">ода </w:t>
      </w:r>
      <w:r w:rsidRPr="00940ACB">
        <w:rPr>
          <w:sz w:val="28"/>
          <w:szCs w:val="28"/>
        </w:rPr>
        <w:t>№ 2211-р «О внесении изменений в перечень государственных программ Российской Федерации».</w:t>
      </w:r>
    </w:p>
    <w:p w14:paraId="068E0ACA" w14:textId="77777777" w:rsidR="008431CF" w:rsidRPr="00940ACB" w:rsidRDefault="008431CF" w:rsidP="00940ACB">
      <w:pPr>
        <w:spacing w:line="360" w:lineRule="auto"/>
        <w:ind w:firstLine="567"/>
        <w:jc w:val="both"/>
        <w:rPr>
          <w:sz w:val="28"/>
          <w:szCs w:val="28"/>
        </w:rPr>
      </w:pPr>
      <w:r w:rsidRPr="00940ACB">
        <w:rPr>
          <w:sz w:val="28"/>
          <w:szCs w:val="28"/>
        </w:rPr>
        <w:t>В состав проектной части пилотной Госпрограммы включен национальный проект «Здравоохранение» (далее – Национальный проект).</w:t>
      </w:r>
    </w:p>
    <w:p w14:paraId="1240922C" w14:textId="77777777" w:rsidR="008431CF" w:rsidRPr="00940ACB" w:rsidRDefault="008431CF" w:rsidP="00940ACB">
      <w:pPr>
        <w:spacing w:line="360" w:lineRule="auto"/>
        <w:ind w:firstLine="567"/>
        <w:jc w:val="both"/>
        <w:rPr>
          <w:sz w:val="28"/>
          <w:szCs w:val="28"/>
        </w:rPr>
      </w:pPr>
      <w:r w:rsidRPr="00940ACB">
        <w:rPr>
          <w:sz w:val="28"/>
          <w:szCs w:val="28"/>
        </w:rPr>
        <w:t xml:space="preserve">В составе Национального проекта в виде структурных элементов </w:t>
      </w:r>
      <w:proofErr w:type="gramStart"/>
      <w:r w:rsidRPr="00940ACB">
        <w:rPr>
          <w:sz w:val="28"/>
          <w:szCs w:val="28"/>
        </w:rPr>
        <w:t>отражены</w:t>
      </w:r>
      <w:proofErr w:type="gramEnd"/>
      <w:r w:rsidRPr="00940ACB">
        <w:rPr>
          <w:sz w:val="28"/>
          <w:szCs w:val="28"/>
        </w:rPr>
        <w:t xml:space="preserve"> 8 федеральных проектов:</w:t>
      </w:r>
    </w:p>
    <w:p w14:paraId="52344A98" w14:textId="77777777" w:rsidR="008431CF" w:rsidRPr="00940ACB" w:rsidRDefault="008431CF" w:rsidP="00940ACB">
      <w:pPr>
        <w:spacing w:line="360" w:lineRule="auto"/>
        <w:ind w:firstLine="567"/>
        <w:jc w:val="both"/>
        <w:rPr>
          <w:sz w:val="28"/>
          <w:szCs w:val="28"/>
        </w:rPr>
      </w:pPr>
      <w:r w:rsidRPr="00940ACB">
        <w:rPr>
          <w:sz w:val="28"/>
          <w:szCs w:val="28"/>
        </w:rPr>
        <w:t>«Развитие системы оказания первичной медико-санитарной помощи»;</w:t>
      </w:r>
    </w:p>
    <w:p w14:paraId="3B1E944B" w14:textId="77777777" w:rsidR="008431CF" w:rsidRPr="00940ACB" w:rsidRDefault="008431CF" w:rsidP="00940ACB">
      <w:pPr>
        <w:spacing w:line="360" w:lineRule="auto"/>
        <w:ind w:firstLine="567"/>
        <w:jc w:val="both"/>
        <w:rPr>
          <w:sz w:val="28"/>
          <w:szCs w:val="28"/>
        </w:rPr>
      </w:pPr>
      <w:r w:rsidRPr="00940ACB">
        <w:rPr>
          <w:sz w:val="28"/>
          <w:szCs w:val="28"/>
        </w:rPr>
        <w:t xml:space="preserve">«Борьба с </w:t>
      </w:r>
      <w:proofErr w:type="gramStart"/>
      <w:r w:rsidRPr="00940ACB">
        <w:rPr>
          <w:sz w:val="28"/>
          <w:szCs w:val="28"/>
        </w:rPr>
        <w:t>сердечно-сосудистыми</w:t>
      </w:r>
      <w:proofErr w:type="gramEnd"/>
      <w:r w:rsidRPr="00940ACB">
        <w:rPr>
          <w:sz w:val="28"/>
          <w:szCs w:val="28"/>
        </w:rPr>
        <w:t xml:space="preserve"> заболеваниями»;</w:t>
      </w:r>
    </w:p>
    <w:p w14:paraId="1F2BCA61" w14:textId="77777777" w:rsidR="008431CF" w:rsidRPr="00940ACB" w:rsidRDefault="008431CF" w:rsidP="00940ACB">
      <w:pPr>
        <w:spacing w:line="360" w:lineRule="auto"/>
        <w:ind w:firstLine="567"/>
        <w:jc w:val="both"/>
        <w:rPr>
          <w:sz w:val="28"/>
          <w:szCs w:val="28"/>
        </w:rPr>
      </w:pPr>
      <w:r w:rsidRPr="00940ACB">
        <w:rPr>
          <w:sz w:val="28"/>
          <w:szCs w:val="28"/>
        </w:rPr>
        <w:t>«Борьба с онкологическими заболеваниями»;</w:t>
      </w:r>
    </w:p>
    <w:p w14:paraId="6DFFA980" w14:textId="77777777" w:rsidR="008431CF" w:rsidRPr="00940ACB" w:rsidRDefault="008431CF" w:rsidP="00940ACB">
      <w:pPr>
        <w:spacing w:line="360" w:lineRule="auto"/>
        <w:ind w:firstLine="567"/>
        <w:jc w:val="both"/>
        <w:rPr>
          <w:sz w:val="28"/>
          <w:szCs w:val="28"/>
        </w:rPr>
      </w:pPr>
      <w:r w:rsidRPr="00940ACB">
        <w:rPr>
          <w:sz w:val="28"/>
          <w:szCs w:val="28"/>
        </w:rPr>
        <w:t>«Развитие детского здравоохранения, включая создание современной инфраструктуры оказания медицинской помощи детям»;</w:t>
      </w:r>
    </w:p>
    <w:p w14:paraId="04169189" w14:textId="77777777" w:rsidR="008431CF" w:rsidRPr="00940ACB" w:rsidRDefault="008431CF" w:rsidP="00940ACB">
      <w:pPr>
        <w:spacing w:line="360" w:lineRule="auto"/>
        <w:ind w:firstLine="567"/>
        <w:jc w:val="both"/>
        <w:rPr>
          <w:sz w:val="28"/>
          <w:szCs w:val="28"/>
        </w:rPr>
      </w:pPr>
      <w:r w:rsidRPr="00940ACB">
        <w:rPr>
          <w:sz w:val="28"/>
          <w:szCs w:val="28"/>
        </w:rPr>
        <w:t>«Обеспечение медицинских организаций системы здравоохранения квалифицированными кадрами»;</w:t>
      </w:r>
    </w:p>
    <w:p w14:paraId="70D9D5F6" w14:textId="77777777" w:rsidR="008431CF" w:rsidRPr="00940ACB" w:rsidRDefault="008431CF" w:rsidP="00940ACB">
      <w:pPr>
        <w:spacing w:line="360" w:lineRule="auto"/>
        <w:ind w:firstLine="567"/>
        <w:jc w:val="both"/>
        <w:rPr>
          <w:sz w:val="28"/>
          <w:szCs w:val="28"/>
        </w:rPr>
      </w:pPr>
      <w:r w:rsidRPr="00940ACB">
        <w:rPr>
          <w:sz w:val="28"/>
          <w:szCs w:val="28"/>
        </w:rPr>
        <w:t>«Развитие сети национальных медицинских исследовательских центров и внедрение инновационных медицинских технологий»;</w:t>
      </w:r>
    </w:p>
    <w:p w14:paraId="6FF22A1D" w14:textId="77777777" w:rsidR="008431CF" w:rsidRPr="00940ACB" w:rsidRDefault="008431CF" w:rsidP="00940ACB">
      <w:pPr>
        <w:spacing w:line="360" w:lineRule="auto"/>
        <w:ind w:firstLine="567"/>
        <w:jc w:val="both"/>
        <w:rPr>
          <w:sz w:val="28"/>
          <w:szCs w:val="28"/>
        </w:rPr>
      </w:pPr>
      <w:r w:rsidRPr="00940ACB">
        <w:rPr>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p>
    <w:p w14:paraId="38467C2B" w14:textId="77777777" w:rsidR="008431CF" w:rsidRPr="00940ACB" w:rsidRDefault="008431CF" w:rsidP="00940ACB">
      <w:pPr>
        <w:spacing w:line="360" w:lineRule="auto"/>
        <w:ind w:firstLine="567"/>
        <w:jc w:val="both"/>
        <w:rPr>
          <w:sz w:val="28"/>
          <w:szCs w:val="28"/>
        </w:rPr>
      </w:pPr>
      <w:r w:rsidRPr="00940ACB">
        <w:rPr>
          <w:sz w:val="28"/>
          <w:szCs w:val="28"/>
        </w:rPr>
        <w:t>«Развитие экспорта медицинских услуг»;</w:t>
      </w:r>
    </w:p>
    <w:p w14:paraId="03164B2D" w14:textId="77777777" w:rsidR="008431CF" w:rsidRPr="00940ACB" w:rsidRDefault="008431CF" w:rsidP="00940ACB">
      <w:pPr>
        <w:spacing w:line="360" w:lineRule="auto"/>
        <w:ind w:firstLine="567"/>
        <w:jc w:val="both"/>
        <w:rPr>
          <w:sz w:val="28"/>
          <w:szCs w:val="28"/>
        </w:rPr>
      </w:pPr>
      <w:r w:rsidRPr="00940ACB">
        <w:rPr>
          <w:sz w:val="28"/>
          <w:szCs w:val="28"/>
        </w:rPr>
        <w:t>Кроме того, в структуру проектной части Госпрограммы включены 2 федеральных проекта, реализующихся в рамках национального проекта «Демография»:</w:t>
      </w:r>
    </w:p>
    <w:p w14:paraId="094EB0C1" w14:textId="77777777" w:rsidR="008431CF" w:rsidRPr="00940ACB" w:rsidRDefault="008431CF" w:rsidP="00940ACB">
      <w:pPr>
        <w:spacing w:line="360" w:lineRule="auto"/>
        <w:ind w:firstLine="567"/>
        <w:jc w:val="both"/>
        <w:rPr>
          <w:sz w:val="28"/>
          <w:szCs w:val="28"/>
        </w:rPr>
      </w:pPr>
      <w:r w:rsidRPr="00940ACB">
        <w:rPr>
          <w:sz w:val="28"/>
          <w:szCs w:val="28"/>
        </w:rPr>
        <w:t>«Укрепление общественного здоровья»;</w:t>
      </w:r>
    </w:p>
    <w:p w14:paraId="2ADF8075" w14:textId="591D92E1" w:rsidR="008431CF" w:rsidRPr="00940ACB" w:rsidRDefault="008431CF" w:rsidP="00940ACB">
      <w:pPr>
        <w:spacing w:line="360" w:lineRule="auto"/>
        <w:ind w:firstLine="567"/>
        <w:jc w:val="both"/>
        <w:rPr>
          <w:sz w:val="28"/>
          <w:szCs w:val="28"/>
        </w:rPr>
      </w:pPr>
      <w:r w:rsidRPr="00940ACB">
        <w:rPr>
          <w:sz w:val="28"/>
          <w:szCs w:val="28"/>
        </w:rPr>
        <w:t>«Старшее поколение»</w:t>
      </w:r>
      <w:r w:rsidRPr="00940ACB">
        <w:rPr>
          <w:rStyle w:val="aa"/>
          <w:sz w:val="28"/>
          <w:szCs w:val="28"/>
        </w:rPr>
        <w:footnoteReference w:id="23"/>
      </w:r>
      <w:r w:rsidRPr="00940ACB">
        <w:rPr>
          <w:sz w:val="28"/>
          <w:szCs w:val="28"/>
        </w:rPr>
        <w:t>.</w:t>
      </w:r>
    </w:p>
    <w:p w14:paraId="5B4FD6A5" w14:textId="77777777" w:rsidR="008431CF" w:rsidRPr="00940ACB" w:rsidRDefault="008431CF" w:rsidP="00940ACB">
      <w:pPr>
        <w:spacing w:line="360" w:lineRule="auto"/>
        <w:ind w:firstLine="567"/>
        <w:jc w:val="both"/>
        <w:rPr>
          <w:rFonts w:ascii="Calibri" w:eastAsia="Calibri" w:hAnsi="Calibri"/>
          <w:sz w:val="28"/>
          <w:szCs w:val="28"/>
        </w:rPr>
      </w:pPr>
      <w:r w:rsidRPr="00940ACB">
        <w:rPr>
          <w:sz w:val="28"/>
          <w:szCs w:val="28"/>
        </w:rPr>
        <w:t>Рассмотрим представленный национальный проект по факту его размещения в Бюджете.</w:t>
      </w:r>
    </w:p>
    <w:p w14:paraId="20EA53D8" w14:textId="6A60398F" w:rsidR="008431CF" w:rsidRPr="00940ACB" w:rsidRDefault="008431CF" w:rsidP="00940ACB">
      <w:pPr>
        <w:spacing w:line="360" w:lineRule="auto"/>
        <w:ind w:firstLine="567"/>
        <w:jc w:val="both"/>
        <w:rPr>
          <w:sz w:val="28"/>
          <w:szCs w:val="28"/>
        </w:rPr>
      </w:pPr>
      <w:r w:rsidRPr="00940ACB">
        <w:rPr>
          <w:sz w:val="28"/>
          <w:szCs w:val="28"/>
        </w:rPr>
        <w:t xml:space="preserve">Бюджетные ассигнования на финансовое обеспечение реализации национального проекта «Здравоохранение» запланированы в 2023 году в объеме 309 883,4 </w:t>
      </w:r>
      <w:proofErr w:type="gramStart"/>
      <w:r w:rsidR="00E40C69" w:rsidRPr="00940ACB">
        <w:rPr>
          <w:sz w:val="28"/>
          <w:szCs w:val="28"/>
        </w:rPr>
        <w:t>млн</w:t>
      </w:r>
      <w:proofErr w:type="gramEnd"/>
      <w:r w:rsidRPr="00940ACB">
        <w:rPr>
          <w:sz w:val="28"/>
          <w:szCs w:val="28"/>
        </w:rPr>
        <w:t xml:space="preserve"> руб., в 2024 году – 309 090,1 </w:t>
      </w:r>
      <w:r w:rsidR="00E40C69" w:rsidRPr="00940ACB">
        <w:rPr>
          <w:sz w:val="28"/>
          <w:szCs w:val="28"/>
        </w:rPr>
        <w:t>млн</w:t>
      </w:r>
      <w:r w:rsidRPr="00940ACB">
        <w:rPr>
          <w:sz w:val="28"/>
          <w:szCs w:val="28"/>
        </w:rPr>
        <w:t xml:space="preserve"> руб., представлены в таблице </w:t>
      </w:r>
      <w:r w:rsidR="00901ACF">
        <w:rPr>
          <w:sz w:val="28"/>
          <w:szCs w:val="28"/>
        </w:rPr>
        <w:t>19</w:t>
      </w:r>
      <w:r w:rsidRPr="00940ACB">
        <w:rPr>
          <w:sz w:val="28"/>
          <w:szCs w:val="28"/>
        </w:rPr>
        <w:t>.</w:t>
      </w:r>
    </w:p>
    <w:p w14:paraId="76901533" w14:textId="77777777" w:rsidR="00281131" w:rsidRPr="001E614B" w:rsidRDefault="00281131" w:rsidP="008431CF">
      <w:pPr>
        <w:spacing w:line="276" w:lineRule="auto"/>
        <w:ind w:firstLine="708"/>
        <w:jc w:val="both"/>
        <w:rPr>
          <w:color w:val="000000"/>
          <w:sz w:val="28"/>
          <w:szCs w:val="28"/>
        </w:rPr>
      </w:pPr>
    </w:p>
    <w:p w14:paraId="589F43CF" w14:textId="193EC547" w:rsidR="008431CF" w:rsidRPr="00F249B4" w:rsidRDefault="008431CF" w:rsidP="00F249B4">
      <w:pPr>
        <w:spacing w:line="276" w:lineRule="auto"/>
        <w:contextualSpacing/>
        <w:jc w:val="both"/>
        <w:rPr>
          <w:bCs/>
          <w:sz w:val="28"/>
          <w:szCs w:val="28"/>
        </w:rPr>
      </w:pPr>
      <w:r w:rsidRPr="00F249B4">
        <w:rPr>
          <w:bCs/>
          <w:sz w:val="28"/>
          <w:szCs w:val="28"/>
        </w:rPr>
        <w:t>Таблица</w:t>
      </w:r>
      <w:r w:rsidR="00281131" w:rsidRPr="00F249B4">
        <w:rPr>
          <w:bCs/>
          <w:sz w:val="28"/>
          <w:szCs w:val="28"/>
        </w:rPr>
        <w:t xml:space="preserve"> </w:t>
      </w:r>
      <w:r w:rsidR="00901ACF">
        <w:rPr>
          <w:bCs/>
          <w:sz w:val="28"/>
          <w:szCs w:val="28"/>
        </w:rPr>
        <w:t>19</w:t>
      </w:r>
      <w:r w:rsidR="00F249B4">
        <w:rPr>
          <w:bCs/>
          <w:sz w:val="28"/>
          <w:szCs w:val="28"/>
        </w:rPr>
        <w:t xml:space="preserve"> -</w:t>
      </w:r>
      <w:r w:rsidRPr="00F249B4">
        <w:rPr>
          <w:bCs/>
          <w:sz w:val="28"/>
          <w:szCs w:val="28"/>
        </w:rPr>
        <w:t xml:space="preserve"> Бюджетные ассигнования на финансовое обеспечение реализации национального проекта «Здравоохранение», (</w:t>
      </w:r>
      <w:proofErr w:type="gramStart"/>
      <w:r w:rsidRPr="00F249B4">
        <w:rPr>
          <w:bCs/>
          <w:sz w:val="28"/>
          <w:szCs w:val="28"/>
        </w:rPr>
        <w:t>млн</w:t>
      </w:r>
      <w:proofErr w:type="gramEnd"/>
      <w:r w:rsidRPr="00F249B4">
        <w:rPr>
          <w:bCs/>
          <w:sz w:val="28"/>
          <w:szCs w:val="28"/>
        </w:rPr>
        <w:t xml:space="preserve"> рублей)</w:t>
      </w:r>
    </w:p>
    <w:tbl>
      <w:tblPr>
        <w:tblW w:w="9639" w:type="dxa"/>
        <w:tblInd w:w="108" w:type="dxa"/>
        <w:tblLook w:val="04A0" w:firstRow="1" w:lastRow="0" w:firstColumn="1" w:lastColumn="0" w:noHBand="0" w:noVBand="1"/>
      </w:tblPr>
      <w:tblGrid>
        <w:gridCol w:w="3248"/>
        <w:gridCol w:w="851"/>
        <w:gridCol w:w="850"/>
        <w:gridCol w:w="851"/>
        <w:gridCol w:w="998"/>
        <w:gridCol w:w="993"/>
        <w:gridCol w:w="850"/>
        <w:gridCol w:w="998"/>
      </w:tblGrid>
      <w:tr w:rsidR="008431CF" w:rsidRPr="00281131" w14:paraId="5B8A1E42" w14:textId="77777777" w:rsidTr="00F249B4">
        <w:trPr>
          <w:trHeight w:val="204"/>
          <w:tblHeader/>
        </w:trPr>
        <w:tc>
          <w:tcPr>
            <w:tcW w:w="3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F93AD5" w14:textId="77777777" w:rsidR="008431CF" w:rsidRPr="00281131" w:rsidRDefault="008431CF">
            <w:pPr>
              <w:spacing w:line="276" w:lineRule="auto"/>
              <w:jc w:val="center"/>
              <w:rPr>
                <w:b/>
                <w:iCs/>
                <w:color w:val="000000"/>
                <w:sz w:val="18"/>
                <w:szCs w:val="18"/>
              </w:rPr>
            </w:pPr>
            <w:r w:rsidRPr="00281131">
              <w:rPr>
                <w:b/>
                <w:iCs/>
                <w:color w:val="000000"/>
                <w:sz w:val="18"/>
                <w:szCs w:val="18"/>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52E708" w14:textId="77777777" w:rsidR="008431CF" w:rsidRPr="00281131" w:rsidRDefault="008431CF">
            <w:pPr>
              <w:spacing w:line="276" w:lineRule="auto"/>
              <w:jc w:val="center"/>
              <w:rPr>
                <w:b/>
                <w:color w:val="000000"/>
                <w:sz w:val="18"/>
                <w:szCs w:val="18"/>
              </w:rPr>
            </w:pPr>
            <w:r w:rsidRPr="00281131">
              <w:rPr>
                <w:b/>
                <w:color w:val="000000"/>
                <w:sz w:val="18"/>
                <w:szCs w:val="18"/>
              </w:rPr>
              <w:t>2022 год*</w:t>
            </w:r>
          </w:p>
        </w:tc>
        <w:tc>
          <w:tcPr>
            <w:tcW w:w="2699" w:type="dxa"/>
            <w:gridSpan w:val="3"/>
            <w:tcBorders>
              <w:top w:val="single" w:sz="4" w:space="0" w:color="auto"/>
              <w:left w:val="nil"/>
              <w:bottom w:val="single" w:sz="4" w:space="0" w:color="auto"/>
              <w:right w:val="single" w:sz="4" w:space="0" w:color="000000"/>
            </w:tcBorders>
            <w:shd w:val="clear" w:color="auto" w:fill="auto"/>
            <w:vAlign w:val="center"/>
            <w:hideMark/>
          </w:tcPr>
          <w:p w14:paraId="1B75D5E1" w14:textId="77777777" w:rsidR="008431CF" w:rsidRPr="00281131" w:rsidRDefault="008431CF">
            <w:pPr>
              <w:spacing w:line="276" w:lineRule="auto"/>
              <w:jc w:val="center"/>
              <w:rPr>
                <w:b/>
                <w:color w:val="000000"/>
                <w:sz w:val="18"/>
                <w:szCs w:val="18"/>
              </w:rPr>
            </w:pPr>
            <w:r w:rsidRPr="00281131">
              <w:rPr>
                <w:b/>
                <w:color w:val="000000"/>
                <w:sz w:val="18"/>
                <w:szCs w:val="18"/>
              </w:rPr>
              <w:t>2023 год</w:t>
            </w:r>
          </w:p>
        </w:tc>
        <w:tc>
          <w:tcPr>
            <w:tcW w:w="2841" w:type="dxa"/>
            <w:gridSpan w:val="3"/>
            <w:tcBorders>
              <w:top w:val="single" w:sz="4" w:space="0" w:color="auto"/>
              <w:left w:val="nil"/>
              <w:bottom w:val="single" w:sz="4" w:space="0" w:color="auto"/>
              <w:right w:val="single" w:sz="4" w:space="0" w:color="000000"/>
            </w:tcBorders>
            <w:shd w:val="clear" w:color="auto" w:fill="auto"/>
            <w:vAlign w:val="center"/>
            <w:hideMark/>
          </w:tcPr>
          <w:p w14:paraId="129AE684" w14:textId="77777777" w:rsidR="008431CF" w:rsidRPr="00281131" w:rsidRDefault="008431CF">
            <w:pPr>
              <w:spacing w:line="276" w:lineRule="auto"/>
              <w:jc w:val="center"/>
              <w:rPr>
                <w:b/>
                <w:color w:val="000000"/>
                <w:sz w:val="18"/>
                <w:szCs w:val="18"/>
              </w:rPr>
            </w:pPr>
            <w:r w:rsidRPr="00281131">
              <w:rPr>
                <w:b/>
                <w:color w:val="000000"/>
                <w:sz w:val="18"/>
                <w:szCs w:val="18"/>
              </w:rPr>
              <w:t>2024 год</w:t>
            </w:r>
          </w:p>
        </w:tc>
      </w:tr>
      <w:tr w:rsidR="008431CF" w:rsidRPr="00281131" w14:paraId="45AC02CA" w14:textId="77777777" w:rsidTr="00F249B4">
        <w:trPr>
          <w:trHeight w:val="717"/>
          <w:tblHeader/>
        </w:trPr>
        <w:tc>
          <w:tcPr>
            <w:tcW w:w="3248" w:type="dxa"/>
            <w:vMerge/>
            <w:tcBorders>
              <w:top w:val="single" w:sz="4" w:space="0" w:color="auto"/>
              <w:left w:val="single" w:sz="4" w:space="0" w:color="auto"/>
              <w:bottom w:val="single" w:sz="4" w:space="0" w:color="000000"/>
              <w:right w:val="single" w:sz="4" w:space="0" w:color="auto"/>
            </w:tcBorders>
            <w:vAlign w:val="center"/>
            <w:hideMark/>
          </w:tcPr>
          <w:p w14:paraId="5CB7AEAE" w14:textId="77777777" w:rsidR="008431CF" w:rsidRPr="00281131" w:rsidRDefault="008431CF">
            <w:pPr>
              <w:spacing w:line="276" w:lineRule="auto"/>
              <w:rPr>
                <w:b/>
                <w:i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DB527D9" w14:textId="77777777" w:rsidR="008431CF" w:rsidRPr="00281131" w:rsidRDefault="008431CF">
            <w:pPr>
              <w:spacing w:line="276" w:lineRule="auto"/>
              <w:rPr>
                <w:b/>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79C6731D" w14:textId="77777777" w:rsidR="008431CF" w:rsidRPr="00281131" w:rsidRDefault="008431CF">
            <w:pPr>
              <w:spacing w:line="276" w:lineRule="auto"/>
              <w:jc w:val="center"/>
              <w:rPr>
                <w:b/>
                <w:color w:val="000000"/>
                <w:sz w:val="18"/>
                <w:szCs w:val="18"/>
              </w:rPr>
            </w:pPr>
            <w:r w:rsidRPr="00281131">
              <w:rPr>
                <w:b/>
                <w:color w:val="000000"/>
                <w:sz w:val="18"/>
                <w:szCs w:val="18"/>
              </w:rPr>
              <w:t xml:space="preserve">Закон </w:t>
            </w:r>
            <w:r w:rsidRPr="00281131">
              <w:rPr>
                <w:b/>
                <w:color w:val="000000"/>
                <w:sz w:val="18"/>
                <w:szCs w:val="18"/>
              </w:rPr>
              <w:br/>
              <w:t>№ 390-ФЗ</w:t>
            </w:r>
          </w:p>
        </w:tc>
        <w:tc>
          <w:tcPr>
            <w:tcW w:w="851" w:type="dxa"/>
            <w:tcBorders>
              <w:top w:val="nil"/>
              <w:left w:val="nil"/>
              <w:bottom w:val="single" w:sz="4" w:space="0" w:color="auto"/>
              <w:right w:val="single" w:sz="4" w:space="0" w:color="auto"/>
            </w:tcBorders>
            <w:shd w:val="clear" w:color="auto" w:fill="auto"/>
            <w:vAlign w:val="center"/>
            <w:hideMark/>
          </w:tcPr>
          <w:p w14:paraId="4D3B2415" w14:textId="77777777" w:rsidR="008431CF" w:rsidRPr="00281131" w:rsidRDefault="008431CF">
            <w:pPr>
              <w:spacing w:line="276" w:lineRule="auto"/>
              <w:jc w:val="center"/>
              <w:rPr>
                <w:b/>
                <w:color w:val="000000"/>
                <w:sz w:val="18"/>
                <w:szCs w:val="18"/>
              </w:rPr>
            </w:pPr>
            <w:proofErr w:type="spellStart"/>
            <w:r w:rsidRPr="00281131">
              <w:rPr>
                <w:b/>
                <w:color w:val="000000"/>
                <w:sz w:val="18"/>
                <w:szCs w:val="18"/>
              </w:rPr>
              <w:t>Закон</w:t>
            </w:r>
            <w:proofErr w:type="gramStart"/>
            <w:r w:rsidRPr="00281131">
              <w:rPr>
                <w:b/>
                <w:color w:val="000000"/>
                <w:sz w:val="18"/>
                <w:szCs w:val="18"/>
              </w:rPr>
              <w:t>о</w:t>
            </w:r>
            <w:proofErr w:type="spellEnd"/>
            <w:r w:rsidRPr="00281131">
              <w:rPr>
                <w:b/>
                <w:color w:val="000000"/>
                <w:sz w:val="18"/>
                <w:szCs w:val="18"/>
              </w:rPr>
              <w:t>-</w:t>
            </w:r>
            <w:proofErr w:type="gramEnd"/>
            <w:r w:rsidRPr="00281131">
              <w:rPr>
                <w:b/>
                <w:color w:val="000000"/>
                <w:sz w:val="18"/>
                <w:szCs w:val="18"/>
              </w:rPr>
              <w:br/>
              <w:t>проект</w:t>
            </w:r>
          </w:p>
        </w:tc>
        <w:tc>
          <w:tcPr>
            <w:tcW w:w="998" w:type="dxa"/>
            <w:tcBorders>
              <w:top w:val="nil"/>
              <w:left w:val="nil"/>
              <w:bottom w:val="single" w:sz="4" w:space="0" w:color="auto"/>
              <w:right w:val="single" w:sz="4" w:space="0" w:color="auto"/>
            </w:tcBorders>
            <w:shd w:val="clear" w:color="auto" w:fill="auto"/>
            <w:vAlign w:val="center"/>
            <w:hideMark/>
          </w:tcPr>
          <w:p w14:paraId="70E41FE7" w14:textId="77777777" w:rsidR="008431CF" w:rsidRPr="00281131" w:rsidRDefault="008431CF">
            <w:pPr>
              <w:spacing w:line="276" w:lineRule="auto"/>
              <w:jc w:val="center"/>
              <w:rPr>
                <w:b/>
                <w:color w:val="000000"/>
                <w:sz w:val="18"/>
                <w:szCs w:val="18"/>
              </w:rPr>
            </w:pPr>
            <w:r w:rsidRPr="00281131">
              <w:rPr>
                <w:b/>
                <w:color w:val="000000"/>
                <w:sz w:val="18"/>
                <w:szCs w:val="18"/>
              </w:rPr>
              <w:t>Δ к закону, %</w:t>
            </w:r>
          </w:p>
        </w:tc>
        <w:tc>
          <w:tcPr>
            <w:tcW w:w="993" w:type="dxa"/>
            <w:tcBorders>
              <w:top w:val="nil"/>
              <w:left w:val="nil"/>
              <w:bottom w:val="single" w:sz="4" w:space="0" w:color="auto"/>
              <w:right w:val="single" w:sz="4" w:space="0" w:color="auto"/>
            </w:tcBorders>
            <w:shd w:val="clear" w:color="auto" w:fill="auto"/>
            <w:vAlign w:val="center"/>
            <w:hideMark/>
          </w:tcPr>
          <w:p w14:paraId="7AA8DECB" w14:textId="77777777" w:rsidR="008431CF" w:rsidRPr="00281131" w:rsidRDefault="008431CF">
            <w:pPr>
              <w:spacing w:line="276" w:lineRule="auto"/>
              <w:jc w:val="center"/>
              <w:rPr>
                <w:b/>
                <w:color w:val="000000"/>
                <w:sz w:val="18"/>
                <w:szCs w:val="18"/>
              </w:rPr>
            </w:pPr>
            <w:r w:rsidRPr="00281131">
              <w:rPr>
                <w:b/>
                <w:color w:val="000000"/>
                <w:sz w:val="18"/>
                <w:szCs w:val="18"/>
              </w:rPr>
              <w:t xml:space="preserve">Закон </w:t>
            </w:r>
            <w:r w:rsidRPr="00281131">
              <w:rPr>
                <w:b/>
                <w:color w:val="000000"/>
                <w:sz w:val="18"/>
                <w:szCs w:val="18"/>
              </w:rPr>
              <w:br/>
              <w:t>№ 390-ФЗ</w:t>
            </w:r>
          </w:p>
        </w:tc>
        <w:tc>
          <w:tcPr>
            <w:tcW w:w="850" w:type="dxa"/>
            <w:tcBorders>
              <w:top w:val="nil"/>
              <w:left w:val="nil"/>
              <w:bottom w:val="single" w:sz="4" w:space="0" w:color="auto"/>
              <w:right w:val="single" w:sz="4" w:space="0" w:color="auto"/>
            </w:tcBorders>
            <w:shd w:val="clear" w:color="auto" w:fill="auto"/>
            <w:vAlign w:val="center"/>
            <w:hideMark/>
          </w:tcPr>
          <w:p w14:paraId="3B7817F1" w14:textId="77777777" w:rsidR="008431CF" w:rsidRPr="00281131" w:rsidRDefault="008431CF">
            <w:pPr>
              <w:spacing w:line="276" w:lineRule="auto"/>
              <w:jc w:val="center"/>
              <w:rPr>
                <w:b/>
                <w:color w:val="000000"/>
                <w:sz w:val="18"/>
                <w:szCs w:val="18"/>
              </w:rPr>
            </w:pPr>
            <w:proofErr w:type="spellStart"/>
            <w:r w:rsidRPr="00281131">
              <w:rPr>
                <w:b/>
                <w:color w:val="000000"/>
                <w:sz w:val="18"/>
                <w:szCs w:val="18"/>
              </w:rPr>
              <w:t>Закон</w:t>
            </w:r>
            <w:proofErr w:type="gramStart"/>
            <w:r w:rsidRPr="00281131">
              <w:rPr>
                <w:b/>
                <w:color w:val="000000"/>
                <w:sz w:val="18"/>
                <w:szCs w:val="18"/>
              </w:rPr>
              <w:t>о</w:t>
            </w:r>
            <w:proofErr w:type="spellEnd"/>
            <w:r w:rsidRPr="00281131">
              <w:rPr>
                <w:b/>
                <w:color w:val="000000"/>
                <w:sz w:val="18"/>
                <w:szCs w:val="18"/>
              </w:rPr>
              <w:t>-</w:t>
            </w:r>
            <w:proofErr w:type="gramEnd"/>
            <w:r w:rsidRPr="00281131">
              <w:rPr>
                <w:b/>
                <w:color w:val="000000"/>
                <w:sz w:val="18"/>
                <w:szCs w:val="18"/>
              </w:rPr>
              <w:br/>
              <w:t>проект</w:t>
            </w:r>
          </w:p>
        </w:tc>
        <w:tc>
          <w:tcPr>
            <w:tcW w:w="998" w:type="dxa"/>
            <w:tcBorders>
              <w:top w:val="nil"/>
              <w:left w:val="nil"/>
              <w:bottom w:val="single" w:sz="4" w:space="0" w:color="auto"/>
              <w:right w:val="single" w:sz="4" w:space="0" w:color="auto"/>
            </w:tcBorders>
            <w:shd w:val="clear" w:color="auto" w:fill="auto"/>
            <w:vAlign w:val="center"/>
            <w:hideMark/>
          </w:tcPr>
          <w:p w14:paraId="093B5EAF" w14:textId="77777777" w:rsidR="008431CF" w:rsidRPr="00281131" w:rsidRDefault="008431CF">
            <w:pPr>
              <w:spacing w:line="276" w:lineRule="auto"/>
              <w:jc w:val="center"/>
              <w:rPr>
                <w:b/>
                <w:color w:val="000000"/>
                <w:sz w:val="18"/>
                <w:szCs w:val="18"/>
              </w:rPr>
            </w:pPr>
            <w:r w:rsidRPr="00281131">
              <w:rPr>
                <w:b/>
                <w:color w:val="000000"/>
                <w:sz w:val="18"/>
                <w:szCs w:val="18"/>
              </w:rPr>
              <w:t>Δ к закону, %</w:t>
            </w:r>
          </w:p>
        </w:tc>
      </w:tr>
      <w:tr w:rsidR="008431CF" w:rsidRPr="00961049" w14:paraId="797206DB" w14:textId="77777777" w:rsidTr="00F249B4">
        <w:trPr>
          <w:trHeight w:val="163"/>
          <w:tblHeader/>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72F3E775" w14:textId="77777777" w:rsidR="008431CF" w:rsidRPr="00961049" w:rsidRDefault="008431CF">
            <w:pPr>
              <w:spacing w:line="276" w:lineRule="auto"/>
              <w:jc w:val="center"/>
              <w:rPr>
                <w:color w:val="000000"/>
                <w:sz w:val="18"/>
                <w:szCs w:val="18"/>
              </w:rPr>
            </w:pPr>
            <w:r w:rsidRPr="00961049">
              <w:rPr>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120358CF" w14:textId="77777777" w:rsidR="008431CF" w:rsidRPr="00961049" w:rsidRDefault="008431CF">
            <w:pPr>
              <w:spacing w:line="276" w:lineRule="auto"/>
              <w:jc w:val="center"/>
              <w:rPr>
                <w:color w:val="000000"/>
                <w:sz w:val="18"/>
                <w:szCs w:val="18"/>
              </w:rPr>
            </w:pPr>
            <w:r w:rsidRPr="00961049">
              <w:rPr>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2572C6DB" w14:textId="77777777" w:rsidR="008431CF" w:rsidRPr="00961049" w:rsidRDefault="008431CF">
            <w:pPr>
              <w:spacing w:line="276" w:lineRule="auto"/>
              <w:jc w:val="center"/>
              <w:rPr>
                <w:color w:val="000000"/>
                <w:sz w:val="18"/>
                <w:szCs w:val="18"/>
              </w:rPr>
            </w:pPr>
            <w:r w:rsidRPr="00961049">
              <w:rPr>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14:paraId="3F43883D" w14:textId="77777777" w:rsidR="008431CF" w:rsidRPr="00961049" w:rsidRDefault="008431CF">
            <w:pPr>
              <w:spacing w:line="276" w:lineRule="auto"/>
              <w:jc w:val="center"/>
              <w:rPr>
                <w:color w:val="000000"/>
                <w:sz w:val="18"/>
                <w:szCs w:val="18"/>
              </w:rPr>
            </w:pPr>
            <w:r w:rsidRPr="00961049">
              <w:rPr>
                <w:color w:val="000000"/>
                <w:sz w:val="18"/>
                <w:szCs w:val="18"/>
              </w:rPr>
              <w:t>4</w:t>
            </w:r>
          </w:p>
        </w:tc>
        <w:tc>
          <w:tcPr>
            <w:tcW w:w="998" w:type="dxa"/>
            <w:tcBorders>
              <w:top w:val="nil"/>
              <w:left w:val="nil"/>
              <w:bottom w:val="single" w:sz="4" w:space="0" w:color="auto"/>
              <w:right w:val="single" w:sz="4" w:space="0" w:color="auto"/>
            </w:tcBorders>
            <w:shd w:val="clear" w:color="auto" w:fill="auto"/>
            <w:vAlign w:val="center"/>
            <w:hideMark/>
          </w:tcPr>
          <w:p w14:paraId="1CCE6D58" w14:textId="77777777" w:rsidR="008431CF" w:rsidRPr="00961049" w:rsidRDefault="008431CF">
            <w:pPr>
              <w:spacing w:line="276" w:lineRule="auto"/>
              <w:jc w:val="center"/>
              <w:rPr>
                <w:color w:val="000000"/>
                <w:sz w:val="18"/>
                <w:szCs w:val="18"/>
              </w:rPr>
            </w:pPr>
            <w:r w:rsidRPr="00961049">
              <w:rPr>
                <w:color w:val="000000"/>
                <w:sz w:val="18"/>
                <w:szCs w:val="18"/>
              </w:rPr>
              <w:t>5=4/3*100</w:t>
            </w:r>
          </w:p>
        </w:tc>
        <w:tc>
          <w:tcPr>
            <w:tcW w:w="993" w:type="dxa"/>
            <w:tcBorders>
              <w:top w:val="nil"/>
              <w:left w:val="nil"/>
              <w:bottom w:val="single" w:sz="4" w:space="0" w:color="auto"/>
              <w:right w:val="single" w:sz="4" w:space="0" w:color="auto"/>
            </w:tcBorders>
            <w:shd w:val="clear" w:color="auto" w:fill="auto"/>
            <w:vAlign w:val="center"/>
            <w:hideMark/>
          </w:tcPr>
          <w:p w14:paraId="36459300" w14:textId="77777777" w:rsidR="008431CF" w:rsidRPr="00961049" w:rsidRDefault="008431CF">
            <w:pPr>
              <w:spacing w:line="276" w:lineRule="auto"/>
              <w:jc w:val="center"/>
              <w:rPr>
                <w:color w:val="000000"/>
                <w:sz w:val="18"/>
                <w:szCs w:val="18"/>
              </w:rPr>
            </w:pPr>
            <w:r w:rsidRPr="00961049">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14:paraId="26252C29" w14:textId="77777777" w:rsidR="008431CF" w:rsidRPr="00961049" w:rsidRDefault="008431CF">
            <w:pPr>
              <w:spacing w:line="276" w:lineRule="auto"/>
              <w:jc w:val="center"/>
              <w:rPr>
                <w:color w:val="000000"/>
                <w:sz w:val="18"/>
                <w:szCs w:val="18"/>
              </w:rPr>
            </w:pPr>
            <w:r w:rsidRPr="00961049">
              <w:rPr>
                <w:color w:val="000000"/>
                <w:sz w:val="18"/>
                <w:szCs w:val="18"/>
              </w:rPr>
              <w:t>7</w:t>
            </w:r>
          </w:p>
        </w:tc>
        <w:tc>
          <w:tcPr>
            <w:tcW w:w="998" w:type="dxa"/>
            <w:tcBorders>
              <w:top w:val="nil"/>
              <w:left w:val="nil"/>
              <w:bottom w:val="single" w:sz="4" w:space="0" w:color="auto"/>
              <w:right w:val="single" w:sz="4" w:space="0" w:color="auto"/>
            </w:tcBorders>
            <w:shd w:val="clear" w:color="auto" w:fill="auto"/>
            <w:vAlign w:val="center"/>
            <w:hideMark/>
          </w:tcPr>
          <w:p w14:paraId="7B1BED78" w14:textId="77777777" w:rsidR="008431CF" w:rsidRPr="00961049" w:rsidRDefault="008431CF">
            <w:pPr>
              <w:spacing w:line="276" w:lineRule="auto"/>
              <w:jc w:val="center"/>
              <w:rPr>
                <w:color w:val="000000"/>
                <w:sz w:val="18"/>
                <w:szCs w:val="18"/>
              </w:rPr>
            </w:pPr>
            <w:r w:rsidRPr="00961049">
              <w:rPr>
                <w:color w:val="000000"/>
                <w:sz w:val="18"/>
                <w:szCs w:val="18"/>
              </w:rPr>
              <w:t>8=7/6*100</w:t>
            </w:r>
          </w:p>
        </w:tc>
      </w:tr>
      <w:tr w:rsidR="008431CF" w:rsidRPr="00961049" w14:paraId="6B8B88BF" w14:textId="77777777" w:rsidTr="00F249B4">
        <w:trPr>
          <w:trHeight w:val="204"/>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267DFFEA" w14:textId="77777777" w:rsidR="008431CF" w:rsidRPr="00961049" w:rsidRDefault="008431CF">
            <w:pPr>
              <w:spacing w:line="276" w:lineRule="auto"/>
              <w:rPr>
                <w:b/>
                <w:bCs/>
                <w:color w:val="000000"/>
                <w:sz w:val="18"/>
                <w:szCs w:val="18"/>
              </w:rPr>
            </w:pPr>
            <w:r w:rsidRPr="00961049">
              <w:rPr>
                <w:b/>
                <w:bCs/>
                <w:color w:val="000000"/>
                <w:sz w:val="18"/>
                <w:szCs w:val="18"/>
              </w:rPr>
              <w:t>Всего</w:t>
            </w:r>
          </w:p>
        </w:tc>
        <w:tc>
          <w:tcPr>
            <w:tcW w:w="851" w:type="dxa"/>
            <w:tcBorders>
              <w:top w:val="nil"/>
              <w:left w:val="nil"/>
              <w:bottom w:val="single" w:sz="4" w:space="0" w:color="auto"/>
              <w:right w:val="single" w:sz="4" w:space="0" w:color="auto"/>
            </w:tcBorders>
            <w:shd w:val="clear" w:color="auto" w:fill="auto"/>
            <w:vAlign w:val="center"/>
            <w:hideMark/>
          </w:tcPr>
          <w:p w14:paraId="4ACF6D54" w14:textId="77777777" w:rsidR="008431CF" w:rsidRPr="00961049" w:rsidRDefault="008431CF">
            <w:pPr>
              <w:spacing w:line="276" w:lineRule="auto"/>
              <w:ind w:left="-57" w:right="-57"/>
              <w:jc w:val="center"/>
              <w:rPr>
                <w:b/>
                <w:bCs/>
                <w:color w:val="000000"/>
                <w:sz w:val="18"/>
                <w:szCs w:val="18"/>
              </w:rPr>
            </w:pPr>
            <w:r w:rsidRPr="00961049">
              <w:rPr>
                <w:b/>
                <w:bCs/>
                <w:color w:val="000000"/>
                <w:sz w:val="18"/>
                <w:szCs w:val="18"/>
              </w:rPr>
              <w:t>372 209,2</w:t>
            </w:r>
          </w:p>
        </w:tc>
        <w:tc>
          <w:tcPr>
            <w:tcW w:w="850" w:type="dxa"/>
            <w:tcBorders>
              <w:top w:val="nil"/>
              <w:left w:val="nil"/>
              <w:bottom w:val="single" w:sz="4" w:space="0" w:color="auto"/>
              <w:right w:val="single" w:sz="4" w:space="0" w:color="auto"/>
            </w:tcBorders>
            <w:shd w:val="clear" w:color="auto" w:fill="auto"/>
            <w:vAlign w:val="center"/>
            <w:hideMark/>
          </w:tcPr>
          <w:p w14:paraId="12A207A2" w14:textId="77777777" w:rsidR="008431CF" w:rsidRPr="00961049" w:rsidRDefault="008431CF">
            <w:pPr>
              <w:spacing w:line="276" w:lineRule="auto"/>
              <w:ind w:left="-57" w:right="-57"/>
              <w:jc w:val="center"/>
              <w:rPr>
                <w:b/>
                <w:bCs/>
                <w:color w:val="000000"/>
                <w:sz w:val="18"/>
                <w:szCs w:val="18"/>
              </w:rPr>
            </w:pPr>
            <w:r w:rsidRPr="00961049">
              <w:rPr>
                <w:b/>
                <w:bCs/>
                <w:color w:val="000000"/>
                <w:sz w:val="18"/>
                <w:szCs w:val="18"/>
              </w:rPr>
              <w:t>310 001,6</w:t>
            </w:r>
          </w:p>
        </w:tc>
        <w:tc>
          <w:tcPr>
            <w:tcW w:w="851" w:type="dxa"/>
            <w:tcBorders>
              <w:top w:val="nil"/>
              <w:left w:val="nil"/>
              <w:bottom w:val="single" w:sz="4" w:space="0" w:color="auto"/>
              <w:right w:val="single" w:sz="4" w:space="0" w:color="auto"/>
            </w:tcBorders>
            <w:shd w:val="clear" w:color="auto" w:fill="auto"/>
            <w:vAlign w:val="center"/>
            <w:hideMark/>
          </w:tcPr>
          <w:p w14:paraId="6D0B9CB4" w14:textId="77777777" w:rsidR="008431CF" w:rsidRPr="00961049" w:rsidRDefault="008431CF">
            <w:pPr>
              <w:spacing w:line="276" w:lineRule="auto"/>
              <w:ind w:left="-57" w:right="-57"/>
              <w:jc w:val="center"/>
              <w:rPr>
                <w:b/>
                <w:bCs/>
                <w:color w:val="000000"/>
                <w:sz w:val="18"/>
                <w:szCs w:val="18"/>
              </w:rPr>
            </w:pPr>
            <w:r w:rsidRPr="00961049">
              <w:rPr>
                <w:b/>
                <w:bCs/>
                <w:color w:val="000000"/>
                <w:sz w:val="18"/>
                <w:szCs w:val="18"/>
              </w:rPr>
              <w:t>309 883,4</w:t>
            </w:r>
          </w:p>
        </w:tc>
        <w:tc>
          <w:tcPr>
            <w:tcW w:w="998" w:type="dxa"/>
            <w:tcBorders>
              <w:top w:val="nil"/>
              <w:left w:val="nil"/>
              <w:bottom w:val="single" w:sz="4" w:space="0" w:color="auto"/>
              <w:right w:val="single" w:sz="4" w:space="0" w:color="auto"/>
            </w:tcBorders>
            <w:shd w:val="clear" w:color="auto" w:fill="auto"/>
            <w:vAlign w:val="center"/>
            <w:hideMark/>
          </w:tcPr>
          <w:p w14:paraId="718790D6" w14:textId="77777777" w:rsidR="008431CF" w:rsidRPr="00961049" w:rsidRDefault="008431CF">
            <w:pPr>
              <w:spacing w:line="276" w:lineRule="auto"/>
              <w:ind w:left="-57" w:right="-57"/>
              <w:jc w:val="center"/>
              <w:rPr>
                <w:b/>
                <w:bCs/>
                <w:color w:val="000000"/>
                <w:sz w:val="18"/>
                <w:szCs w:val="18"/>
              </w:rPr>
            </w:pPr>
            <w:r w:rsidRPr="00961049">
              <w:rPr>
                <w:b/>
                <w:bCs/>
                <w:color w:val="000000"/>
                <w:sz w:val="18"/>
                <w:szCs w:val="18"/>
              </w:rPr>
              <w:t>100,0</w:t>
            </w:r>
          </w:p>
        </w:tc>
        <w:tc>
          <w:tcPr>
            <w:tcW w:w="993" w:type="dxa"/>
            <w:tcBorders>
              <w:top w:val="nil"/>
              <w:left w:val="nil"/>
              <w:bottom w:val="single" w:sz="4" w:space="0" w:color="auto"/>
              <w:right w:val="single" w:sz="4" w:space="0" w:color="auto"/>
            </w:tcBorders>
            <w:shd w:val="clear" w:color="auto" w:fill="auto"/>
            <w:vAlign w:val="center"/>
            <w:hideMark/>
          </w:tcPr>
          <w:p w14:paraId="78CC4DDC" w14:textId="77777777" w:rsidR="008431CF" w:rsidRPr="00961049" w:rsidRDefault="008431CF">
            <w:pPr>
              <w:spacing w:line="276" w:lineRule="auto"/>
              <w:ind w:left="-57" w:right="-57"/>
              <w:jc w:val="center"/>
              <w:rPr>
                <w:b/>
                <w:bCs/>
                <w:color w:val="000000"/>
                <w:sz w:val="18"/>
                <w:szCs w:val="18"/>
              </w:rPr>
            </w:pPr>
            <w:r w:rsidRPr="00961049">
              <w:rPr>
                <w:b/>
                <w:bCs/>
                <w:color w:val="000000"/>
                <w:sz w:val="18"/>
                <w:szCs w:val="18"/>
              </w:rPr>
              <w:t>309 419,9</w:t>
            </w:r>
          </w:p>
        </w:tc>
        <w:tc>
          <w:tcPr>
            <w:tcW w:w="850" w:type="dxa"/>
            <w:tcBorders>
              <w:top w:val="nil"/>
              <w:left w:val="nil"/>
              <w:bottom w:val="single" w:sz="4" w:space="0" w:color="auto"/>
              <w:right w:val="single" w:sz="4" w:space="0" w:color="auto"/>
            </w:tcBorders>
            <w:shd w:val="clear" w:color="auto" w:fill="auto"/>
            <w:vAlign w:val="center"/>
            <w:hideMark/>
          </w:tcPr>
          <w:p w14:paraId="50D3F552" w14:textId="77777777" w:rsidR="008431CF" w:rsidRPr="00961049" w:rsidRDefault="008431CF">
            <w:pPr>
              <w:spacing w:line="276" w:lineRule="auto"/>
              <w:ind w:left="-57" w:right="-57"/>
              <w:jc w:val="center"/>
              <w:rPr>
                <w:b/>
                <w:bCs/>
                <w:color w:val="000000"/>
                <w:sz w:val="18"/>
                <w:szCs w:val="18"/>
              </w:rPr>
            </w:pPr>
            <w:r w:rsidRPr="00961049">
              <w:rPr>
                <w:b/>
                <w:bCs/>
                <w:color w:val="000000"/>
                <w:sz w:val="18"/>
                <w:szCs w:val="18"/>
              </w:rPr>
              <w:t>309 090,1</w:t>
            </w:r>
          </w:p>
        </w:tc>
        <w:tc>
          <w:tcPr>
            <w:tcW w:w="998" w:type="dxa"/>
            <w:tcBorders>
              <w:top w:val="nil"/>
              <w:left w:val="nil"/>
              <w:bottom w:val="single" w:sz="4" w:space="0" w:color="auto"/>
              <w:right w:val="single" w:sz="4" w:space="0" w:color="auto"/>
            </w:tcBorders>
            <w:shd w:val="clear" w:color="auto" w:fill="auto"/>
            <w:vAlign w:val="center"/>
            <w:hideMark/>
          </w:tcPr>
          <w:p w14:paraId="6E772321" w14:textId="77777777" w:rsidR="008431CF" w:rsidRPr="00961049" w:rsidRDefault="008431CF">
            <w:pPr>
              <w:spacing w:line="276" w:lineRule="auto"/>
              <w:ind w:left="-57" w:right="-57"/>
              <w:jc w:val="center"/>
              <w:rPr>
                <w:b/>
                <w:bCs/>
                <w:color w:val="000000"/>
                <w:sz w:val="18"/>
                <w:szCs w:val="18"/>
              </w:rPr>
            </w:pPr>
            <w:r w:rsidRPr="00961049">
              <w:rPr>
                <w:b/>
                <w:bCs/>
                <w:color w:val="000000"/>
                <w:sz w:val="18"/>
                <w:szCs w:val="18"/>
              </w:rPr>
              <w:t>99,9</w:t>
            </w:r>
          </w:p>
        </w:tc>
      </w:tr>
      <w:tr w:rsidR="008431CF" w:rsidRPr="00961049" w14:paraId="05A4BF45" w14:textId="77777777" w:rsidTr="00F249B4">
        <w:trPr>
          <w:trHeight w:val="204"/>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6309E69E" w14:textId="77777777" w:rsidR="008431CF" w:rsidRPr="00961049" w:rsidRDefault="008431CF">
            <w:pPr>
              <w:spacing w:line="276" w:lineRule="auto"/>
              <w:rPr>
                <w:i/>
                <w:iCs/>
                <w:color w:val="000000"/>
                <w:sz w:val="18"/>
                <w:szCs w:val="18"/>
              </w:rPr>
            </w:pPr>
            <w:r w:rsidRPr="00961049">
              <w:rPr>
                <w:i/>
                <w:iCs/>
                <w:color w:val="000000"/>
                <w:sz w:val="18"/>
                <w:szCs w:val="18"/>
              </w:rPr>
              <w:t>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14:paraId="0DE13682" w14:textId="77777777" w:rsidR="008431CF" w:rsidRPr="00961049" w:rsidRDefault="008431CF">
            <w:pPr>
              <w:spacing w:line="276" w:lineRule="auto"/>
              <w:ind w:left="-57" w:right="-57"/>
              <w:rPr>
                <w:color w:val="000000"/>
                <w:sz w:val="18"/>
                <w:szCs w:val="18"/>
              </w:rPr>
            </w:pPr>
            <w:r w:rsidRPr="0096104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3F4DD6A" w14:textId="77777777" w:rsidR="008431CF" w:rsidRPr="00961049" w:rsidRDefault="008431CF">
            <w:pPr>
              <w:spacing w:line="276" w:lineRule="auto"/>
              <w:ind w:left="-57" w:right="-57"/>
              <w:rPr>
                <w:color w:val="000000"/>
                <w:sz w:val="18"/>
                <w:szCs w:val="18"/>
              </w:rPr>
            </w:pPr>
            <w:r w:rsidRPr="0096104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33DEEA39" w14:textId="77777777" w:rsidR="008431CF" w:rsidRPr="00961049" w:rsidRDefault="008431CF">
            <w:pPr>
              <w:spacing w:line="276" w:lineRule="auto"/>
              <w:ind w:left="-57" w:right="-57"/>
              <w:rPr>
                <w:color w:val="000000"/>
                <w:sz w:val="18"/>
                <w:szCs w:val="18"/>
              </w:rPr>
            </w:pPr>
            <w:r w:rsidRPr="00961049">
              <w:rPr>
                <w:color w:val="000000"/>
                <w:sz w:val="18"/>
                <w:szCs w:val="18"/>
              </w:rPr>
              <w:t> </w:t>
            </w:r>
          </w:p>
        </w:tc>
        <w:tc>
          <w:tcPr>
            <w:tcW w:w="998" w:type="dxa"/>
            <w:tcBorders>
              <w:top w:val="nil"/>
              <w:left w:val="nil"/>
              <w:bottom w:val="single" w:sz="4" w:space="0" w:color="auto"/>
              <w:right w:val="single" w:sz="4" w:space="0" w:color="auto"/>
            </w:tcBorders>
            <w:shd w:val="clear" w:color="auto" w:fill="auto"/>
            <w:noWrap/>
            <w:vAlign w:val="bottom"/>
            <w:hideMark/>
          </w:tcPr>
          <w:p w14:paraId="09CC67D3" w14:textId="77777777" w:rsidR="008431CF" w:rsidRPr="00961049" w:rsidRDefault="008431CF">
            <w:pPr>
              <w:spacing w:line="276" w:lineRule="auto"/>
              <w:ind w:left="-57" w:right="-57"/>
              <w:rPr>
                <w:color w:val="000000"/>
                <w:sz w:val="18"/>
                <w:szCs w:val="18"/>
              </w:rPr>
            </w:pPr>
            <w:r w:rsidRPr="00961049">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1B7B856" w14:textId="77777777" w:rsidR="008431CF" w:rsidRPr="00961049" w:rsidRDefault="008431CF">
            <w:pPr>
              <w:spacing w:line="276" w:lineRule="auto"/>
              <w:ind w:left="-57" w:right="-57"/>
              <w:rPr>
                <w:color w:val="000000"/>
                <w:sz w:val="18"/>
                <w:szCs w:val="18"/>
              </w:rPr>
            </w:pPr>
            <w:r w:rsidRPr="0096104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02774F1" w14:textId="77777777" w:rsidR="008431CF" w:rsidRPr="00961049" w:rsidRDefault="008431CF">
            <w:pPr>
              <w:spacing w:line="276" w:lineRule="auto"/>
              <w:ind w:left="-57" w:right="-57"/>
              <w:rPr>
                <w:color w:val="000000"/>
                <w:sz w:val="18"/>
                <w:szCs w:val="18"/>
              </w:rPr>
            </w:pPr>
            <w:r w:rsidRPr="00961049">
              <w:rPr>
                <w:color w:val="000000"/>
                <w:sz w:val="18"/>
                <w:szCs w:val="18"/>
              </w:rPr>
              <w:t> </w:t>
            </w:r>
          </w:p>
        </w:tc>
        <w:tc>
          <w:tcPr>
            <w:tcW w:w="998" w:type="dxa"/>
            <w:tcBorders>
              <w:top w:val="nil"/>
              <w:left w:val="nil"/>
              <w:bottom w:val="single" w:sz="4" w:space="0" w:color="auto"/>
              <w:right w:val="single" w:sz="4" w:space="0" w:color="auto"/>
            </w:tcBorders>
            <w:shd w:val="clear" w:color="auto" w:fill="auto"/>
            <w:noWrap/>
            <w:vAlign w:val="bottom"/>
            <w:hideMark/>
          </w:tcPr>
          <w:p w14:paraId="04BDEFCA" w14:textId="77777777" w:rsidR="008431CF" w:rsidRPr="00961049" w:rsidRDefault="008431CF">
            <w:pPr>
              <w:spacing w:line="276" w:lineRule="auto"/>
              <w:ind w:left="-57" w:right="-57"/>
              <w:rPr>
                <w:color w:val="000000"/>
                <w:sz w:val="18"/>
                <w:szCs w:val="18"/>
              </w:rPr>
            </w:pPr>
            <w:r w:rsidRPr="00961049">
              <w:rPr>
                <w:color w:val="000000"/>
                <w:sz w:val="18"/>
                <w:szCs w:val="18"/>
              </w:rPr>
              <w:t> </w:t>
            </w:r>
          </w:p>
        </w:tc>
      </w:tr>
      <w:tr w:rsidR="008431CF" w:rsidRPr="00961049" w14:paraId="453B5B35" w14:textId="77777777" w:rsidTr="00F249B4">
        <w:trPr>
          <w:trHeight w:val="430"/>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1C4A67B6" w14:textId="77777777" w:rsidR="008431CF" w:rsidRPr="00961049" w:rsidRDefault="008431CF">
            <w:pPr>
              <w:spacing w:line="276" w:lineRule="auto"/>
              <w:jc w:val="both"/>
              <w:rPr>
                <w:color w:val="000000"/>
                <w:sz w:val="18"/>
                <w:szCs w:val="18"/>
              </w:rPr>
            </w:pPr>
            <w:r w:rsidRPr="00961049">
              <w:rPr>
                <w:color w:val="000000"/>
                <w:sz w:val="18"/>
                <w:szCs w:val="18"/>
              </w:rPr>
              <w:t>Федеральный проект «Развитие системы оказания первичной медико-санитарной помощи»</w:t>
            </w:r>
          </w:p>
        </w:tc>
        <w:tc>
          <w:tcPr>
            <w:tcW w:w="851" w:type="dxa"/>
            <w:tcBorders>
              <w:top w:val="nil"/>
              <w:left w:val="nil"/>
              <w:bottom w:val="single" w:sz="4" w:space="0" w:color="auto"/>
              <w:right w:val="single" w:sz="4" w:space="0" w:color="auto"/>
            </w:tcBorders>
            <w:shd w:val="clear" w:color="auto" w:fill="auto"/>
            <w:vAlign w:val="center"/>
            <w:hideMark/>
          </w:tcPr>
          <w:p w14:paraId="6D79653D" w14:textId="77777777" w:rsidR="008431CF" w:rsidRPr="00961049" w:rsidRDefault="008431CF">
            <w:pPr>
              <w:spacing w:line="276" w:lineRule="auto"/>
              <w:ind w:left="-57" w:right="-57"/>
              <w:jc w:val="center"/>
              <w:rPr>
                <w:color w:val="000000"/>
                <w:sz w:val="18"/>
                <w:szCs w:val="18"/>
              </w:rPr>
            </w:pPr>
            <w:r w:rsidRPr="00961049">
              <w:rPr>
                <w:color w:val="000000"/>
                <w:sz w:val="18"/>
                <w:szCs w:val="18"/>
              </w:rPr>
              <w:t>8 490,2</w:t>
            </w:r>
          </w:p>
        </w:tc>
        <w:tc>
          <w:tcPr>
            <w:tcW w:w="850" w:type="dxa"/>
            <w:tcBorders>
              <w:top w:val="nil"/>
              <w:left w:val="nil"/>
              <w:bottom w:val="single" w:sz="4" w:space="0" w:color="auto"/>
              <w:right w:val="single" w:sz="4" w:space="0" w:color="auto"/>
            </w:tcBorders>
            <w:shd w:val="clear" w:color="auto" w:fill="auto"/>
            <w:vAlign w:val="center"/>
            <w:hideMark/>
          </w:tcPr>
          <w:p w14:paraId="652DB7C4" w14:textId="77777777" w:rsidR="008431CF" w:rsidRPr="00961049" w:rsidRDefault="008431CF">
            <w:pPr>
              <w:spacing w:line="276" w:lineRule="auto"/>
              <w:ind w:left="-57" w:right="-57"/>
              <w:jc w:val="center"/>
              <w:rPr>
                <w:color w:val="000000"/>
                <w:sz w:val="18"/>
                <w:szCs w:val="18"/>
              </w:rPr>
            </w:pPr>
            <w:r w:rsidRPr="00961049">
              <w:rPr>
                <w:color w:val="000000"/>
                <w:sz w:val="18"/>
                <w:szCs w:val="18"/>
              </w:rPr>
              <w:t>7 607,3</w:t>
            </w:r>
          </w:p>
        </w:tc>
        <w:tc>
          <w:tcPr>
            <w:tcW w:w="851" w:type="dxa"/>
            <w:tcBorders>
              <w:top w:val="nil"/>
              <w:left w:val="nil"/>
              <w:bottom w:val="single" w:sz="4" w:space="0" w:color="auto"/>
              <w:right w:val="single" w:sz="4" w:space="0" w:color="auto"/>
            </w:tcBorders>
            <w:shd w:val="clear" w:color="auto" w:fill="auto"/>
            <w:vAlign w:val="center"/>
            <w:hideMark/>
          </w:tcPr>
          <w:p w14:paraId="25EFB58B" w14:textId="77777777" w:rsidR="008431CF" w:rsidRPr="00961049" w:rsidRDefault="008431CF">
            <w:pPr>
              <w:spacing w:line="276" w:lineRule="auto"/>
              <w:ind w:left="-57" w:right="-57"/>
              <w:jc w:val="center"/>
              <w:rPr>
                <w:color w:val="000000"/>
                <w:sz w:val="18"/>
                <w:szCs w:val="18"/>
              </w:rPr>
            </w:pPr>
            <w:r w:rsidRPr="00961049">
              <w:rPr>
                <w:color w:val="000000"/>
                <w:sz w:val="18"/>
                <w:szCs w:val="18"/>
              </w:rPr>
              <w:t>9 413,3</w:t>
            </w:r>
          </w:p>
        </w:tc>
        <w:tc>
          <w:tcPr>
            <w:tcW w:w="998" w:type="dxa"/>
            <w:tcBorders>
              <w:top w:val="nil"/>
              <w:left w:val="nil"/>
              <w:bottom w:val="single" w:sz="4" w:space="0" w:color="auto"/>
              <w:right w:val="single" w:sz="4" w:space="0" w:color="auto"/>
            </w:tcBorders>
            <w:shd w:val="clear" w:color="auto" w:fill="auto"/>
            <w:vAlign w:val="center"/>
            <w:hideMark/>
          </w:tcPr>
          <w:p w14:paraId="78145914" w14:textId="77777777" w:rsidR="008431CF" w:rsidRPr="00961049" w:rsidRDefault="008431CF">
            <w:pPr>
              <w:spacing w:line="276" w:lineRule="auto"/>
              <w:ind w:left="-57" w:right="-57"/>
              <w:jc w:val="center"/>
              <w:rPr>
                <w:color w:val="000000"/>
                <w:sz w:val="18"/>
                <w:szCs w:val="18"/>
              </w:rPr>
            </w:pPr>
            <w:r w:rsidRPr="00961049">
              <w:rPr>
                <w:color w:val="000000"/>
                <w:sz w:val="18"/>
                <w:szCs w:val="18"/>
              </w:rPr>
              <w:t>123,7</w:t>
            </w:r>
          </w:p>
        </w:tc>
        <w:tc>
          <w:tcPr>
            <w:tcW w:w="993" w:type="dxa"/>
            <w:tcBorders>
              <w:top w:val="nil"/>
              <w:left w:val="nil"/>
              <w:bottom w:val="single" w:sz="4" w:space="0" w:color="auto"/>
              <w:right w:val="single" w:sz="4" w:space="0" w:color="auto"/>
            </w:tcBorders>
            <w:shd w:val="clear" w:color="auto" w:fill="auto"/>
            <w:vAlign w:val="center"/>
            <w:hideMark/>
          </w:tcPr>
          <w:p w14:paraId="3FAA4E53" w14:textId="77777777" w:rsidR="008431CF" w:rsidRPr="00961049" w:rsidRDefault="008431CF">
            <w:pPr>
              <w:spacing w:line="276" w:lineRule="auto"/>
              <w:ind w:left="-57" w:right="-57"/>
              <w:jc w:val="center"/>
              <w:rPr>
                <w:color w:val="000000"/>
                <w:sz w:val="18"/>
                <w:szCs w:val="18"/>
              </w:rPr>
            </w:pPr>
            <w:r w:rsidRPr="00961049">
              <w:rPr>
                <w:color w:val="000000"/>
                <w:sz w:val="18"/>
                <w:szCs w:val="18"/>
              </w:rPr>
              <w:t>5 597,0</w:t>
            </w:r>
          </w:p>
        </w:tc>
        <w:tc>
          <w:tcPr>
            <w:tcW w:w="850" w:type="dxa"/>
            <w:tcBorders>
              <w:top w:val="nil"/>
              <w:left w:val="nil"/>
              <w:bottom w:val="single" w:sz="4" w:space="0" w:color="auto"/>
              <w:right w:val="single" w:sz="4" w:space="0" w:color="auto"/>
            </w:tcBorders>
            <w:shd w:val="clear" w:color="auto" w:fill="auto"/>
            <w:vAlign w:val="center"/>
            <w:hideMark/>
          </w:tcPr>
          <w:p w14:paraId="038B9BF3" w14:textId="77777777" w:rsidR="008431CF" w:rsidRPr="00961049" w:rsidRDefault="008431CF">
            <w:pPr>
              <w:spacing w:line="276" w:lineRule="auto"/>
              <w:ind w:left="-57" w:right="-57"/>
              <w:jc w:val="center"/>
              <w:rPr>
                <w:color w:val="000000"/>
                <w:sz w:val="18"/>
                <w:szCs w:val="18"/>
              </w:rPr>
            </w:pPr>
            <w:r w:rsidRPr="00961049">
              <w:rPr>
                <w:color w:val="000000"/>
                <w:sz w:val="18"/>
                <w:szCs w:val="18"/>
              </w:rPr>
              <w:t>7 678,0</w:t>
            </w:r>
          </w:p>
        </w:tc>
        <w:tc>
          <w:tcPr>
            <w:tcW w:w="998" w:type="dxa"/>
            <w:tcBorders>
              <w:top w:val="nil"/>
              <w:left w:val="nil"/>
              <w:bottom w:val="single" w:sz="4" w:space="0" w:color="auto"/>
              <w:right w:val="single" w:sz="4" w:space="0" w:color="auto"/>
            </w:tcBorders>
            <w:shd w:val="clear" w:color="auto" w:fill="auto"/>
            <w:vAlign w:val="center"/>
            <w:hideMark/>
          </w:tcPr>
          <w:p w14:paraId="1DEA6BEE" w14:textId="77777777" w:rsidR="008431CF" w:rsidRPr="00961049" w:rsidRDefault="008431CF">
            <w:pPr>
              <w:spacing w:line="276" w:lineRule="auto"/>
              <w:ind w:left="-57" w:right="-57"/>
              <w:jc w:val="center"/>
              <w:rPr>
                <w:color w:val="000000"/>
                <w:sz w:val="18"/>
                <w:szCs w:val="18"/>
              </w:rPr>
            </w:pPr>
            <w:r w:rsidRPr="00961049">
              <w:rPr>
                <w:color w:val="000000"/>
                <w:sz w:val="18"/>
                <w:szCs w:val="18"/>
              </w:rPr>
              <w:t>137,2</w:t>
            </w:r>
          </w:p>
        </w:tc>
      </w:tr>
      <w:tr w:rsidR="008431CF" w:rsidRPr="00961049" w14:paraId="016845EF" w14:textId="77777777" w:rsidTr="00F249B4">
        <w:trPr>
          <w:trHeight w:val="430"/>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1126E09D" w14:textId="77777777" w:rsidR="008431CF" w:rsidRPr="00961049" w:rsidRDefault="008431CF">
            <w:pPr>
              <w:spacing w:line="276" w:lineRule="auto"/>
              <w:jc w:val="both"/>
              <w:rPr>
                <w:color w:val="000000"/>
                <w:sz w:val="18"/>
                <w:szCs w:val="18"/>
              </w:rPr>
            </w:pPr>
            <w:r w:rsidRPr="00961049">
              <w:rPr>
                <w:color w:val="000000"/>
                <w:sz w:val="18"/>
                <w:szCs w:val="18"/>
              </w:rPr>
              <w:t xml:space="preserve">Федеральный проект «Борьба с </w:t>
            </w:r>
            <w:proofErr w:type="gramStart"/>
            <w:r w:rsidRPr="00961049">
              <w:rPr>
                <w:color w:val="000000"/>
                <w:sz w:val="18"/>
                <w:szCs w:val="18"/>
              </w:rPr>
              <w:t>сердечно-сосудистыми</w:t>
            </w:r>
            <w:proofErr w:type="gramEnd"/>
            <w:r w:rsidRPr="00961049">
              <w:rPr>
                <w:color w:val="000000"/>
                <w:sz w:val="18"/>
                <w:szCs w:val="18"/>
              </w:rPr>
              <w:t xml:space="preserve"> заболеваниями»</w:t>
            </w:r>
          </w:p>
        </w:tc>
        <w:tc>
          <w:tcPr>
            <w:tcW w:w="851" w:type="dxa"/>
            <w:tcBorders>
              <w:top w:val="nil"/>
              <w:left w:val="nil"/>
              <w:bottom w:val="single" w:sz="4" w:space="0" w:color="auto"/>
              <w:right w:val="single" w:sz="4" w:space="0" w:color="auto"/>
            </w:tcBorders>
            <w:shd w:val="clear" w:color="auto" w:fill="auto"/>
            <w:vAlign w:val="center"/>
            <w:hideMark/>
          </w:tcPr>
          <w:p w14:paraId="1B83B124" w14:textId="77777777" w:rsidR="008431CF" w:rsidRPr="00961049" w:rsidRDefault="008431CF">
            <w:pPr>
              <w:spacing w:line="276" w:lineRule="auto"/>
              <w:ind w:left="-57" w:right="-57"/>
              <w:jc w:val="center"/>
              <w:rPr>
                <w:color w:val="000000"/>
                <w:sz w:val="18"/>
                <w:szCs w:val="18"/>
              </w:rPr>
            </w:pPr>
            <w:r w:rsidRPr="00961049">
              <w:rPr>
                <w:color w:val="000000"/>
                <w:sz w:val="18"/>
                <w:szCs w:val="18"/>
              </w:rPr>
              <w:t>25 671,0</w:t>
            </w:r>
          </w:p>
        </w:tc>
        <w:tc>
          <w:tcPr>
            <w:tcW w:w="850" w:type="dxa"/>
            <w:tcBorders>
              <w:top w:val="nil"/>
              <w:left w:val="nil"/>
              <w:bottom w:val="single" w:sz="4" w:space="0" w:color="auto"/>
              <w:right w:val="single" w:sz="4" w:space="0" w:color="auto"/>
            </w:tcBorders>
            <w:shd w:val="clear" w:color="auto" w:fill="auto"/>
            <w:vAlign w:val="center"/>
            <w:hideMark/>
          </w:tcPr>
          <w:p w14:paraId="262F7E35" w14:textId="77777777" w:rsidR="008431CF" w:rsidRPr="00961049" w:rsidRDefault="008431CF">
            <w:pPr>
              <w:spacing w:line="276" w:lineRule="auto"/>
              <w:ind w:left="-57" w:right="-57"/>
              <w:jc w:val="center"/>
              <w:rPr>
                <w:color w:val="000000"/>
                <w:sz w:val="18"/>
                <w:szCs w:val="18"/>
              </w:rPr>
            </w:pPr>
            <w:r w:rsidRPr="00961049">
              <w:rPr>
                <w:color w:val="000000"/>
                <w:sz w:val="18"/>
                <w:szCs w:val="18"/>
              </w:rPr>
              <w:t>18 298,7</w:t>
            </w:r>
          </w:p>
        </w:tc>
        <w:tc>
          <w:tcPr>
            <w:tcW w:w="851" w:type="dxa"/>
            <w:tcBorders>
              <w:top w:val="nil"/>
              <w:left w:val="nil"/>
              <w:bottom w:val="single" w:sz="4" w:space="0" w:color="auto"/>
              <w:right w:val="single" w:sz="4" w:space="0" w:color="auto"/>
            </w:tcBorders>
            <w:shd w:val="clear" w:color="auto" w:fill="auto"/>
            <w:vAlign w:val="center"/>
            <w:hideMark/>
          </w:tcPr>
          <w:p w14:paraId="07097FB7" w14:textId="77777777" w:rsidR="008431CF" w:rsidRPr="00961049" w:rsidRDefault="008431CF">
            <w:pPr>
              <w:spacing w:line="276" w:lineRule="auto"/>
              <w:ind w:left="-57" w:right="-57"/>
              <w:jc w:val="center"/>
              <w:rPr>
                <w:color w:val="000000"/>
                <w:sz w:val="18"/>
                <w:szCs w:val="18"/>
              </w:rPr>
            </w:pPr>
            <w:r w:rsidRPr="00961049">
              <w:rPr>
                <w:color w:val="000000"/>
                <w:sz w:val="18"/>
                <w:szCs w:val="18"/>
              </w:rPr>
              <w:t>17 491,5</w:t>
            </w:r>
          </w:p>
        </w:tc>
        <w:tc>
          <w:tcPr>
            <w:tcW w:w="998" w:type="dxa"/>
            <w:tcBorders>
              <w:top w:val="nil"/>
              <w:left w:val="nil"/>
              <w:bottom w:val="single" w:sz="4" w:space="0" w:color="auto"/>
              <w:right w:val="single" w:sz="4" w:space="0" w:color="auto"/>
            </w:tcBorders>
            <w:shd w:val="clear" w:color="auto" w:fill="auto"/>
            <w:vAlign w:val="center"/>
            <w:hideMark/>
          </w:tcPr>
          <w:p w14:paraId="12753566" w14:textId="77777777" w:rsidR="008431CF" w:rsidRPr="00961049" w:rsidRDefault="008431CF">
            <w:pPr>
              <w:spacing w:line="276" w:lineRule="auto"/>
              <w:ind w:left="-57" w:right="-57"/>
              <w:jc w:val="center"/>
              <w:rPr>
                <w:color w:val="000000"/>
                <w:sz w:val="18"/>
                <w:szCs w:val="18"/>
              </w:rPr>
            </w:pPr>
            <w:r w:rsidRPr="00961049">
              <w:rPr>
                <w:color w:val="000000"/>
                <w:sz w:val="18"/>
                <w:szCs w:val="18"/>
              </w:rPr>
              <w:t>95,6</w:t>
            </w:r>
          </w:p>
        </w:tc>
        <w:tc>
          <w:tcPr>
            <w:tcW w:w="993" w:type="dxa"/>
            <w:tcBorders>
              <w:top w:val="nil"/>
              <w:left w:val="nil"/>
              <w:bottom w:val="single" w:sz="4" w:space="0" w:color="auto"/>
              <w:right w:val="single" w:sz="4" w:space="0" w:color="auto"/>
            </w:tcBorders>
            <w:shd w:val="clear" w:color="auto" w:fill="auto"/>
            <w:vAlign w:val="center"/>
            <w:hideMark/>
          </w:tcPr>
          <w:p w14:paraId="358E3A16" w14:textId="77777777" w:rsidR="008431CF" w:rsidRPr="00961049" w:rsidRDefault="008431CF">
            <w:pPr>
              <w:spacing w:line="276" w:lineRule="auto"/>
              <w:ind w:left="-57" w:right="-57"/>
              <w:jc w:val="center"/>
              <w:rPr>
                <w:color w:val="000000"/>
                <w:sz w:val="18"/>
                <w:szCs w:val="18"/>
              </w:rPr>
            </w:pPr>
            <w:r w:rsidRPr="00961049">
              <w:rPr>
                <w:color w:val="000000"/>
                <w:sz w:val="18"/>
                <w:szCs w:val="18"/>
              </w:rPr>
              <w:t>24 788,3</w:t>
            </w:r>
          </w:p>
        </w:tc>
        <w:tc>
          <w:tcPr>
            <w:tcW w:w="850" w:type="dxa"/>
            <w:tcBorders>
              <w:top w:val="nil"/>
              <w:left w:val="nil"/>
              <w:bottom w:val="single" w:sz="4" w:space="0" w:color="auto"/>
              <w:right w:val="single" w:sz="4" w:space="0" w:color="auto"/>
            </w:tcBorders>
            <w:shd w:val="clear" w:color="auto" w:fill="auto"/>
            <w:vAlign w:val="center"/>
            <w:hideMark/>
          </w:tcPr>
          <w:p w14:paraId="2C572207" w14:textId="77777777" w:rsidR="008431CF" w:rsidRPr="00961049" w:rsidRDefault="008431CF">
            <w:pPr>
              <w:spacing w:line="276" w:lineRule="auto"/>
              <w:ind w:left="-57" w:right="-57"/>
              <w:jc w:val="center"/>
              <w:rPr>
                <w:color w:val="000000"/>
                <w:sz w:val="18"/>
                <w:szCs w:val="18"/>
              </w:rPr>
            </w:pPr>
            <w:r w:rsidRPr="00961049">
              <w:rPr>
                <w:color w:val="000000"/>
                <w:sz w:val="18"/>
                <w:szCs w:val="18"/>
              </w:rPr>
              <w:t>23 333,9</w:t>
            </w:r>
          </w:p>
        </w:tc>
        <w:tc>
          <w:tcPr>
            <w:tcW w:w="998" w:type="dxa"/>
            <w:tcBorders>
              <w:top w:val="nil"/>
              <w:left w:val="nil"/>
              <w:bottom w:val="single" w:sz="4" w:space="0" w:color="auto"/>
              <w:right w:val="single" w:sz="4" w:space="0" w:color="auto"/>
            </w:tcBorders>
            <w:shd w:val="clear" w:color="auto" w:fill="auto"/>
            <w:vAlign w:val="center"/>
            <w:hideMark/>
          </w:tcPr>
          <w:p w14:paraId="25C13DB0" w14:textId="77777777" w:rsidR="008431CF" w:rsidRPr="00961049" w:rsidRDefault="008431CF">
            <w:pPr>
              <w:spacing w:line="276" w:lineRule="auto"/>
              <w:ind w:left="-57" w:right="-57"/>
              <w:jc w:val="center"/>
              <w:rPr>
                <w:color w:val="000000"/>
                <w:sz w:val="18"/>
                <w:szCs w:val="18"/>
              </w:rPr>
            </w:pPr>
            <w:r w:rsidRPr="00961049">
              <w:rPr>
                <w:color w:val="000000"/>
                <w:sz w:val="18"/>
                <w:szCs w:val="18"/>
              </w:rPr>
              <w:t>94,1</w:t>
            </w:r>
          </w:p>
        </w:tc>
      </w:tr>
      <w:tr w:rsidR="008431CF" w:rsidRPr="00961049" w14:paraId="7F1F8DF8" w14:textId="77777777" w:rsidTr="00F249B4">
        <w:trPr>
          <w:trHeight w:val="307"/>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184F8FC2" w14:textId="77777777" w:rsidR="008431CF" w:rsidRPr="00961049" w:rsidRDefault="008431CF">
            <w:pPr>
              <w:spacing w:line="276" w:lineRule="auto"/>
              <w:jc w:val="both"/>
              <w:rPr>
                <w:color w:val="000000"/>
                <w:sz w:val="18"/>
                <w:szCs w:val="18"/>
              </w:rPr>
            </w:pPr>
            <w:r w:rsidRPr="00961049">
              <w:rPr>
                <w:color w:val="000000"/>
                <w:sz w:val="18"/>
                <w:szCs w:val="18"/>
              </w:rPr>
              <w:t>Федеральный проект «Борьба с онкологическими заболеваниями»</w:t>
            </w:r>
          </w:p>
        </w:tc>
        <w:tc>
          <w:tcPr>
            <w:tcW w:w="851" w:type="dxa"/>
            <w:tcBorders>
              <w:top w:val="nil"/>
              <w:left w:val="nil"/>
              <w:bottom w:val="single" w:sz="4" w:space="0" w:color="auto"/>
              <w:right w:val="single" w:sz="4" w:space="0" w:color="auto"/>
            </w:tcBorders>
            <w:shd w:val="clear" w:color="auto" w:fill="auto"/>
            <w:vAlign w:val="center"/>
            <w:hideMark/>
          </w:tcPr>
          <w:p w14:paraId="3F4AC637" w14:textId="77777777" w:rsidR="008431CF" w:rsidRPr="00961049" w:rsidRDefault="008431CF">
            <w:pPr>
              <w:spacing w:line="276" w:lineRule="auto"/>
              <w:ind w:left="-57" w:right="-57"/>
              <w:jc w:val="center"/>
              <w:rPr>
                <w:color w:val="000000"/>
                <w:sz w:val="18"/>
                <w:szCs w:val="18"/>
              </w:rPr>
            </w:pPr>
            <w:r w:rsidRPr="00961049">
              <w:rPr>
                <w:color w:val="000000"/>
                <w:sz w:val="18"/>
                <w:szCs w:val="18"/>
              </w:rPr>
              <w:t>189 640,7</w:t>
            </w:r>
          </w:p>
        </w:tc>
        <w:tc>
          <w:tcPr>
            <w:tcW w:w="850" w:type="dxa"/>
            <w:tcBorders>
              <w:top w:val="nil"/>
              <w:left w:val="nil"/>
              <w:bottom w:val="single" w:sz="4" w:space="0" w:color="auto"/>
              <w:right w:val="single" w:sz="4" w:space="0" w:color="auto"/>
            </w:tcBorders>
            <w:shd w:val="clear" w:color="auto" w:fill="auto"/>
            <w:vAlign w:val="center"/>
            <w:hideMark/>
          </w:tcPr>
          <w:p w14:paraId="32A30EED" w14:textId="77777777" w:rsidR="008431CF" w:rsidRPr="00961049" w:rsidRDefault="008431CF">
            <w:pPr>
              <w:spacing w:line="276" w:lineRule="auto"/>
              <w:ind w:left="-57" w:right="-57"/>
              <w:jc w:val="center"/>
              <w:rPr>
                <w:color w:val="000000"/>
                <w:sz w:val="18"/>
                <w:szCs w:val="18"/>
              </w:rPr>
            </w:pPr>
            <w:r w:rsidRPr="00961049">
              <w:rPr>
                <w:color w:val="000000"/>
                <w:sz w:val="18"/>
                <w:szCs w:val="18"/>
              </w:rPr>
              <w:t>154 763,3</w:t>
            </w:r>
          </w:p>
        </w:tc>
        <w:tc>
          <w:tcPr>
            <w:tcW w:w="851" w:type="dxa"/>
            <w:tcBorders>
              <w:top w:val="nil"/>
              <w:left w:val="nil"/>
              <w:bottom w:val="single" w:sz="4" w:space="0" w:color="auto"/>
              <w:right w:val="single" w:sz="4" w:space="0" w:color="auto"/>
            </w:tcBorders>
            <w:shd w:val="clear" w:color="auto" w:fill="auto"/>
            <w:vAlign w:val="center"/>
            <w:hideMark/>
          </w:tcPr>
          <w:p w14:paraId="34805B49" w14:textId="77777777" w:rsidR="008431CF" w:rsidRPr="00961049" w:rsidRDefault="008431CF">
            <w:pPr>
              <w:spacing w:line="276" w:lineRule="auto"/>
              <w:ind w:left="-57" w:right="-57"/>
              <w:jc w:val="center"/>
              <w:rPr>
                <w:color w:val="000000"/>
                <w:sz w:val="18"/>
                <w:szCs w:val="18"/>
              </w:rPr>
            </w:pPr>
            <w:r w:rsidRPr="00961049">
              <w:rPr>
                <w:color w:val="000000"/>
                <w:sz w:val="18"/>
                <w:szCs w:val="18"/>
              </w:rPr>
              <w:t>153 703,9</w:t>
            </w:r>
          </w:p>
        </w:tc>
        <w:tc>
          <w:tcPr>
            <w:tcW w:w="998" w:type="dxa"/>
            <w:tcBorders>
              <w:top w:val="nil"/>
              <w:left w:val="nil"/>
              <w:bottom w:val="single" w:sz="4" w:space="0" w:color="auto"/>
              <w:right w:val="single" w:sz="4" w:space="0" w:color="auto"/>
            </w:tcBorders>
            <w:shd w:val="clear" w:color="auto" w:fill="auto"/>
            <w:vAlign w:val="center"/>
            <w:hideMark/>
          </w:tcPr>
          <w:p w14:paraId="3B3ADA68" w14:textId="77777777" w:rsidR="008431CF" w:rsidRPr="00961049" w:rsidRDefault="008431CF">
            <w:pPr>
              <w:spacing w:line="276" w:lineRule="auto"/>
              <w:ind w:left="-57" w:right="-57"/>
              <w:jc w:val="center"/>
              <w:rPr>
                <w:color w:val="000000"/>
                <w:sz w:val="18"/>
                <w:szCs w:val="18"/>
              </w:rPr>
            </w:pPr>
            <w:r w:rsidRPr="00961049">
              <w:rPr>
                <w:color w:val="000000"/>
                <w:sz w:val="18"/>
                <w:szCs w:val="18"/>
              </w:rPr>
              <w:t>99,3</w:t>
            </w:r>
          </w:p>
        </w:tc>
        <w:tc>
          <w:tcPr>
            <w:tcW w:w="993" w:type="dxa"/>
            <w:tcBorders>
              <w:top w:val="nil"/>
              <w:left w:val="nil"/>
              <w:bottom w:val="single" w:sz="4" w:space="0" w:color="auto"/>
              <w:right w:val="single" w:sz="4" w:space="0" w:color="auto"/>
            </w:tcBorders>
            <w:shd w:val="clear" w:color="auto" w:fill="auto"/>
            <w:vAlign w:val="center"/>
            <w:hideMark/>
          </w:tcPr>
          <w:p w14:paraId="5BD9AE48" w14:textId="77777777" w:rsidR="008431CF" w:rsidRPr="00961049" w:rsidRDefault="008431CF">
            <w:pPr>
              <w:spacing w:line="276" w:lineRule="auto"/>
              <w:ind w:left="-57" w:right="-57"/>
              <w:jc w:val="center"/>
              <w:rPr>
                <w:color w:val="000000"/>
                <w:sz w:val="18"/>
                <w:szCs w:val="18"/>
              </w:rPr>
            </w:pPr>
            <w:r w:rsidRPr="00961049">
              <w:rPr>
                <w:color w:val="000000"/>
                <w:sz w:val="18"/>
                <w:szCs w:val="18"/>
              </w:rPr>
              <w:t>153 016,3</w:t>
            </w:r>
          </w:p>
        </w:tc>
        <w:tc>
          <w:tcPr>
            <w:tcW w:w="850" w:type="dxa"/>
            <w:tcBorders>
              <w:top w:val="nil"/>
              <w:left w:val="nil"/>
              <w:bottom w:val="single" w:sz="4" w:space="0" w:color="auto"/>
              <w:right w:val="single" w:sz="4" w:space="0" w:color="auto"/>
            </w:tcBorders>
            <w:shd w:val="clear" w:color="auto" w:fill="auto"/>
            <w:vAlign w:val="center"/>
            <w:hideMark/>
          </w:tcPr>
          <w:p w14:paraId="48FFEC94" w14:textId="77777777" w:rsidR="008431CF" w:rsidRPr="00961049" w:rsidRDefault="008431CF">
            <w:pPr>
              <w:spacing w:line="276" w:lineRule="auto"/>
              <w:ind w:left="-57" w:right="-57"/>
              <w:jc w:val="center"/>
              <w:rPr>
                <w:color w:val="000000"/>
                <w:sz w:val="18"/>
                <w:szCs w:val="18"/>
              </w:rPr>
            </w:pPr>
            <w:r w:rsidRPr="00961049">
              <w:rPr>
                <w:color w:val="000000"/>
                <w:sz w:val="18"/>
                <w:szCs w:val="18"/>
              </w:rPr>
              <w:t>151 735,7</w:t>
            </w:r>
          </w:p>
        </w:tc>
        <w:tc>
          <w:tcPr>
            <w:tcW w:w="998" w:type="dxa"/>
            <w:tcBorders>
              <w:top w:val="nil"/>
              <w:left w:val="nil"/>
              <w:bottom w:val="single" w:sz="4" w:space="0" w:color="auto"/>
              <w:right w:val="single" w:sz="4" w:space="0" w:color="auto"/>
            </w:tcBorders>
            <w:shd w:val="clear" w:color="auto" w:fill="auto"/>
            <w:vAlign w:val="center"/>
            <w:hideMark/>
          </w:tcPr>
          <w:p w14:paraId="1D23BD3D" w14:textId="77777777" w:rsidR="008431CF" w:rsidRPr="00961049" w:rsidRDefault="008431CF">
            <w:pPr>
              <w:spacing w:line="276" w:lineRule="auto"/>
              <w:ind w:left="-57" w:right="-57"/>
              <w:jc w:val="center"/>
              <w:rPr>
                <w:color w:val="000000"/>
                <w:sz w:val="18"/>
                <w:szCs w:val="18"/>
              </w:rPr>
            </w:pPr>
            <w:r w:rsidRPr="00961049">
              <w:rPr>
                <w:color w:val="000000"/>
                <w:sz w:val="18"/>
                <w:szCs w:val="18"/>
              </w:rPr>
              <w:t>99,2</w:t>
            </w:r>
          </w:p>
        </w:tc>
      </w:tr>
      <w:tr w:rsidR="008431CF" w:rsidRPr="00961049" w14:paraId="2B0DB8EA" w14:textId="77777777" w:rsidTr="00F249B4">
        <w:trPr>
          <w:trHeight w:val="717"/>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789667DD" w14:textId="77777777" w:rsidR="008431CF" w:rsidRPr="00961049" w:rsidRDefault="008431CF">
            <w:pPr>
              <w:spacing w:line="276" w:lineRule="auto"/>
              <w:jc w:val="both"/>
              <w:rPr>
                <w:color w:val="000000"/>
                <w:sz w:val="18"/>
                <w:szCs w:val="18"/>
              </w:rPr>
            </w:pPr>
            <w:r w:rsidRPr="00961049">
              <w:rPr>
                <w:color w:val="000000"/>
                <w:sz w:val="18"/>
                <w:szCs w:val="18"/>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851" w:type="dxa"/>
            <w:tcBorders>
              <w:top w:val="nil"/>
              <w:left w:val="nil"/>
              <w:bottom w:val="single" w:sz="4" w:space="0" w:color="auto"/>
              <w:right w:val="single" w:sz="4" w:space="0" w:color="auto"/>
            </w:tcBorders>
            <w:shd w:val="clear" w:color="auto" w:fill="auto"/>
            <w:vAlign w:val="center"/>
            <w:hideMark/>
          </w:tcPr>
          <w:p w14:paraId="3D1B8465" w14:textId="77777777" w:rsidR="008431CF" w:rsidRPr="00961049" w:rsidRDefault="008431CF">
            <w:pPr>
              <w:spacing w:line="276" w:lineRule="auto"/>
              <w:ind w:left="-57" w:right="-57"/>
              <w:jc w:val="center"/>
              <w:rPr>
                <w:color w:val="000000"/>
                <w:sz w:val="18"/>
                <w:szCs w:val="18"/>
              </w:rPr>
            </w:pPr>
            <w:r w:rsidRPr="00961049">
              <w:rPr>
                <w:color w:val="000000"/>
                <w:sz w:val="18"/>
                <w:szCs w:val="18"/>
              </w:rPr>
              <w:t>21 218,2</w:t>
            </w:r>
          </w:p>
        </w:tc>
        <w:tc>
          <w:tcPr>
            <w:tcW w:w="850" w:type="dxa"/>
            <w:tcBorders>
              <w:top w:val="nil"/>
              <w:left w:val="nil"/>
              <w:bottom w:val="single" w:sz="4" w:space="0" w:color="auto"/>
              <w:right w:val="single" w:sz="4" w:space="0" w:color="auto"/>
            </w:tcBorders>
            <w:shd w:val="clear" w:color="auto" w:fill="auto"/>
            <w:vAlign w:val="center"/>
            <w:hideMark/>
          </w:tcPr>
          <w:p w14:paraId="63B2DAF3" w14:textId="77777777" w:rsidR="008431CF" w:rsidRPr="00961049" w:rsidRDefault="008431CF">
            <w:pPr>
              <w:spacing w:line="276" w:lineRule="auto"/>
              <w:ind w:left="-57" w:right="-57"/>
              <w:jc w:val="center"/>
              <w:rPr>
                <w:color w:val="000000"/>
                <w:sz w:val="18"/>
                <w:szCs w:val="18"/>
              </w:rPr>
            </w:pPr>
            <w:r w:rsidRPr="00961049">
              <w:rPr>
                <w:color w:val="000000"/>
                <w:sz w:val="18"/>
                <w:szCs w:val="18"/>
              </w:rPr>
              <w:t>19 227,0</w:t>
            </w:r>
          </w:p>
        </w:tc>
        <w:tc>
          <w:tcPr>
            <w:tcW w:w="851" w:type="dxa"/>
            <w:tcBorders>
              <w:top w:val="nil"/>
              <w:left w:val="nil"/>
              <w:bottom w:val="single" w:sz="4" w:space="0" w:color="auto"/>
              <w:right w:val="single" w:sz="4" w:space="0" w:color="auto"/>
            </w:tcBorders>
            <w:shd w:val="clear" w:color="auto" w:fill="auto"/>
            <w:vAlign w:val="center"/>
            <w:hideMark/>
          </w:tcPr>
          <w:p w14:paraId="5F868853" w14:textId="77777777" w:rsidR="008431CF" w:rsidRPr="00961049" w:rsidRDefault="008431CF">
            <w:pPr>
              <w:spacing w:line="276" w:lineRule="auto"/>
              <w:ind w:left="-57" w:right="-57"/>
              <w:jc w:val="center"/>
              <w:rPr>
                <w:color w:val="000000"/>
                <w:sz w:val="18"/>
                <w:szCs w:val="18"/>
              </w:rPr>
            </w:pPr>
            <w:r w:rsidRPr="00961049">
              <w:rPr>
                <w:color w:val="000000"/>
                <w:sz w:val="18"/>
                <w:szCs w:val="18"/>
              </w:rPr>
              <w:t>17 304,3</w:t>
            </w:r>
          </w:p>
        </w:tc>
        <w:tc>
          <w:tcPr>
            <w:tcW w:w="998" w:type="dxa"/>
            <w:tcBorders>
              <w:top w:val="nil"/>
              <w:left w:val="nil"/>
              <w:bottom w:val="single" w:sz="4" w:space="0" w:color="auto"/>
              <w:right w:val="single" w:sz="4" w:space="0" w:color="auto"/>
            </w:tcBorders>
            <w:shd w:val="clear" w:color="auto" w:fill="auto"/>
            <w:vAlign w:val="center"/>
            <w:hideMark/>
          </w:tcPr>
          <w:p w14:paraId="4728AF25" w14:textId="77777777" w:rsidR="008431CF" w:rsidRPr="00961049" w:rsidRDefault="008431CF">
            <w:pPr>
              <w:spacing w:line="276" w:lineRule="auto"/>
              <w:ind w:left="-57" w:right="-57"/>
              <w:jc w:val="center"/>
              <w:rPr>
                <w:color w:val="000000"/>
                <w:sz w:val="18"/>
                <w:szCs w:val="18"/>
              </w:rPr>
            </w:pPr>
            <w:r w:rsidRPr="00961049">
              <w:rPr>
                <w:color w:val="000000"/>
                <w:sz w:val="18"/>
                <w:szCs w:val="18"/>
              </w:rPr>
              <w:t>90,0</w:t>
            </w:r>
          </w:p>
        </w:tc>
        <w:tc>
          <w:tcPr>
            <w:tcW w:w="993" w:type="dxa"/>
            <w:tcBorders>
              <w:top w:val="nil"/>
              <w:left w:val="nil"/>
              <w:bottom w:val="single" w:sz="4" w:space="0" w:color="auto"/>
              <w:right w:val="single" w:sz="4" w:space="0" w:color="auto"/>
            </w:tcBorders>
            <w:shd w:val="clear" w:color="auto" w:fill="auto"/>
            <w:vAlign w:val="center"/>
            <w:hideMark/>
          </w:tcPr>
          <w:p w14:paraId="7ED3F3DB" w14:textId="77777777" w:rsidR="008431CF" w:rsidRPr="00961049" w:rsidRDefault="008431CF">
            <w:pPr>
              <w:spacing w:line="276" w:lineRule="auto"/>
              <w:ind w:left="-57" w:right="-57"/>
              <w:jc w:val="center"/>
              <w:rPr>
                <w:color w:val="000000"/>
                <w:sz w:val="18"/>
                <w:szCs w:val="18"/>
              </w:rPr>
            </w:pPr>
            <w:r w:rsidRPr="00961049">
              <w:rPr>
                <w:color w:val="000000"/>
                <w:sz w:val="18"/>
                <w:szCs w:val="18"/>
              </w:rPr>
              <w:t>12 632,4</w:t>
            </w:r>
          </w:p>
        </w:tc>
        <w:tc>
          <w:tcPr>
            <w:tcW w:w="850" w:type="dxa"/>
            <w:tcBorders>
              <w:top w:val="nil"/>
              <w:left w:val="nil"/>
              <w:bottom w:val="single" w:sz="4" w:space="0" w:color="auto"/>
              <w:right w:val="single" w:sz="4" w:space="0" w:color="auto"/>
            </w:tcBorders>
            <w:shd w:val="clear" w:color="auto" w:fill="auto"/>
            <w:vAlign w:val="center"/>
            <w:hideMark/>
          </w:tcPr>
          <w:p w14:paraId="243F1B76" w14:textId="77777777" w:rsidR="008431CF" w:rsidRPr="00961049" w:rsidRDefault="008431CF">
            <w:pPr>
              <w:spacing w:line="276" w:lineRule="auto"/>
              <w:ind w:left="-57" w:right="-57"/>
              <w:jc w:val="center"/>
              <w:rPr>
                <w:color w:val="000000"/>
                <w:sz w:val="18"/>
                <w:szCs w:val="18"/>
              </w:rPr>
            </w:pPr>
            <w:r w:rsidRPr="00961049">
              <w:rPr>
                <w:color w:val="000000"/>
                <w:sz w:val="18"/>
                <w:szCs w:val="18"/>
              </w:rPr>
              <w:t>11 369,2</w:t>
            </w:r>
          </w:p>
        </w:tc>
        <w:tc>
          <w:tcPr>
            <w:tcW w:w="998" w:type="dxa"/>
            <w:tcBorders>
              <w:top w:val="nil"/>
              <w:left w:val="nil"/>
              <w:bottom w:val="single" w:sz="4" w:space="0" w:color="auto"/>
              <w:right w:val="single" w:sz="4" w:space="0" w:color="auto"/>
            </w:tcBorders>
            <w:shd w:val="clear" w:color="auto" w:fill="auto"/>
            <w:vAlign w:val="center"/>
            <w:hideMark/>
          </w:tcPr>
          <w:p w14:paraId="240D3DEF" w14:textId="77777777" w:rsidR="008431CF" w:rsidRPr="00961049" w:rsidRDefault="008431CF">
            <w:pPr>
              <w:spacing w:line="276" w:lineRule="auto"/>
              <w:ind w:left="-57" w:right="-57"/>
              <w:jc w:val="center"/>
              <w:rPr>
                <w:color w:val="000000"/>
                <w:sz w:val="18"/>
                <w:szCs w:val="18"/>
              </w:rPr>
            </w:pPr>
            <w:r w:rsidRPr="00961049">
              <w:rPr>
                <w:color w:val="000000"/>
                <w:sz w:val="18"/>
                <w:szCs w:val="18"/>
              </w:rPr>
              <w:t>90,0</w:t>
            </w:r>
          </w:p>
        </w:tc>
      </w:tr>
      <w:tr w:rsidR="008431CF" w:rsidRPr="00961049" w14:paraId="19D578F7" w14:textId="77777777" w:rsidTr="00F249B4">
        <w:trPr>
          <w:trHeight w:val="573"/>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487BC099" w14:textId="77777777" w:rsidR="008431CF" w:rsidRPr="00961049" w:rsidRDefault="008431CF">
            <w:pPr>
              <w:spacing w:line="276" w:lineRule="auto"/>
              <w:jc w:val="both"/>
              <w:rPr>
                <w:color w:val="000000"/>
                <w:sz w:val="18"/>
                <w:szCs w:val="18"/>
              </w:rPr>
            </w:pPr>
            <w:r w:rsidRPr="00961049">
              <w:rPr>
                <w:color w:val="000000"/>
                <w:sz w:val="18"/>
                <w:szCs w:val="18"/>
              </w:rPr>
              <w:t>Федеральный проект «Обеспечение медицинских организаций системы здравоохранения квалифицированными кадрами»</w:t>
            </w:r>
          </w:p>
        </w:tc>
        <w:tc>
          <w:tcPr>
            <w:tcW w:w="851" w:type="dxa"/>
            <w:tcBorders>
              <w:top w:val="nil"/>
              <w:left w:val="nil"/>
              <w:bottom w:val="single" w:sz="4" w:space="0" w:color="auto"/>
              <w:right w:val="single" w:sz="4" w:space="0" w:color="auto"/>
            </w:tcBorders>
            <w:shd w:val="clear" w:color="auto" w:fill="auto"/>
            <w:vAlign w:val="center"/>
            <w:hideMark/>
          </w:tcPr>
          <w:p w14:paraId="4E989462" w14:textId="77777777" w:rsidR="008431CF" w:rsidRPr="00961049" w:rsidRDefault="008431CF">
            <w:pPr>
              <w:spacing w:line="276" w:lineRule="auto"/>
              <w:ind w:left="-57" w:right="-57"/>
              <w:jc w:val="center"/>
              <w:rPr>
                <w:color w:val="000000"/>
                <w:sz w:val="18"/>
                <w:szCs w:val="18"/>
              </w:rPr>
            </w:pPr>
            <w:r w:rsidRPr="00961049">
              <w:rPr>
                <w:color w:val="000000"/>
                <w:sz w:val="18"/>
                <w:szCs w:val="18"/>
              </w:rPr>
              <w:t>1 190,7</w:t>
            </w:r>
          </w:p>
        </w:tc>
        <w:tc>
          <w:tcPr>
            <w:tcW w:w="850" w:type="dxa"/>
            <w:tcBorders>
              <w:top w:val="nil"/>
              <w:left w:val="nil"/>
              <w:bottom w:val="single" w:sz="4" w:space="0" w:color="auto"/>
              <w:right w:val="single" w:sz="4" w:space="0" w:color="auto"/>
            </w:tcBorders>
            <w:shd w:val="clear" w:color="auto" w:fill="auto"/>
            <w:vAlign w:val="center"/>
            <w:hideMark/>
          </w:tcPr>
          <w:p w14:paraId="4E815588" w14:textId="77777777" w:rsidR="008431CF" w:rsidRPr="00961049" w:rsidRDefault="008431CF">
            <w:pPr>
              <w:spacing w:line="276" w:lineRule="auto"/>
              <w:ind w:left="-57" w:right="-57"/>
              <w:jc w:val="center"/>
              <w:rPr>
                <w:color w:val="000000"/>
                <w:sz w:val="18"/>
                <w:szCs w:val="18"/>
              </w:rPr>
            </w:pPr>
            <w:r w:rsidRPr="00961049">
              <w:rPr>
                <w:color w:val="000000"/>
                <w:sz w:val="18"/>
                <w:szCs w:val="18"/>
              </w:rPr>
              <w:t>1 208,1</w:t>
            </w:r>
          </w:p>
        </w:tc>
        <w:tc>
          <w:tcPr>
            <w:tcW w:w="851" w:type="dxa"/>
            <w:tcBorders>
              <w:top w:val="nil"/>
              <w:left w:val="nil"/>
              <w:bottom w:val="single" w:sz="4" w:space="0" w:color="auto"/>
              <w:right w:val="single" w:sz="4" w:space="0" w:color="auto"/>
            </w:tcBorders>
            <w:shd w:val="clear" w:color="auto" w:fill="auto"/>
            <w:vAlign w:val="center"/>
            <w:hideMark/>
          </w:tcPr>
          <w:p w14:paraId="52BB2BC1" w14:textId="77777777" w:rsidR="008431CF" w:rsidRPr="00961049" w:rsidRDefault="008431CF">
            <w:pPr>
              <w:spacing w:line="276" w:lineRule="auto"/>
              <w:ind w:left="-57" w:right="-57"/>
              <w:jc w:val="center"/>
              <w:rPr>
                <w:color w:val="000000"/>
                <w:sz w:val="18"/>
                <w:szCs w:val="18"/>
              </w:rPr>
            </w:pPr>
            <w:r w:rsidRPr="00961049">
              <w:rPr>
                <w:color w:val="000000"/>
                <w:sz w:val="18"/>
                <w:szCs w:val="18"/>
              </w:rPr>
              <w:t>1 199,3</w:t>
            </w:r>
          </w:p>
        </w:tc>
        <w:tc>
          <w:tcPr>
            <w:tcW w:w="998" w:type="dxa"/>
            <w:tcBorders>
              <w:top w:val="nil"/>
              <w:left w:val="nil"/>
              <w:bottom w:val="single" w:sz="4" w:space="0" w:color="auto"/>
              <w:right w:val="single" w:sz="4" w:space="0" w:color="auto"/>
            </w:tcBorders>
            <w:shd w:val="clear" w:color="auto" w:fill="auto"/>
            <w:vAlign w:val="center"/>
            <w:hideMark/>
          </w:tcPr>
          <w:p w14:paraId="718A73C9" w14:textId="77777777" w:rsidR="008431CF" w:rsidRPr="00961049" w:rsidRDefault="008431CF">
            <w:pPr>
              <w:spacing w:line="276" w:lineRule="auto"/>
              <w:ind w:left="-57" w:right="-57"/>
              <w:jc w:val="center"/>
              <w:rPr>
                <w:color w:val="000000"/>
                <w:sz w:val="18"/>
                <w:szCs w:val="18"/>
              </w:rPr>
            </w:pPr>
            <w:r w:rsidRPr="00961049">
              <w:rPr>
                <w:color w:val="000000"/>
                <w:sz w:val="18"/>
                <w:szCs w:val="18"/>
              </w:rPr>
              <w:t>99,3</w:t>
            </w:r>
          </w:p>
        </w:tc>
        <w:tc>
          <w:tcPr>
            <w:tcW w:w="993" w:type="dxa"/>
            <w:tcBorders>
              <w:top w:val="nil"/>
              <w:left w:val="nil"/>
              <w:bottom w:val="single" w:sz="4" w:space="0" w:color="auto"/>
              <w:right w:val="single" w:sz="4" w:space="0" w:color="auto"/>
            </w:tcBorders>
            <w:shd w:val="clear" w:color="auto" w:fill="auto"/>
            <w:vAlign w:val="center"/>
            <w:hideMark/>
          </w:tcPr>
          <w:p w14:paraId="6788DCB4" w14:textId="77777777" w:rsidR="008431CF" w:rsidRPr="00961049" w:rsidRDefault="008431CF">
            <w:pPr>
              <w:spacing w:line="276" w:lineRule="auto"/>
              <w:ind w:left="-57" w:right="-57"/>
              <w:jc w:val="center"/>
              <w:rPr>
                <w:color w:val="000000"/>
                <w:sz w:val="18"/>
                <w:szCs w:val="18"/>
              </w:rPr>
            </w:pPr>
            <w:r w:rsidRPr="00961049">
              <w:rPr>
                <w:color w:val="000000"/>
                <w:sz w:val="18"/>
                <w:szCs w:val="18"/>
              </w:rPr>
              <w:t>1 246,6</w:t>
            </w:r>
          </w:p>
        </w:tc>
        <w:tc>
          <w:tcPr>
            <w:tcW w:w="850" w:type="dxa"/>
            <w:tcBorders>
              <w:top w:val="nil"/>
              <w:left w:val="nil"/>
              <w:bottom w:val="single" w:sz="4" w:space="0" w:color="auto"/>
              <w:right w:val="single" w:sz="4" w:space="0" w:color="auto"/>
            </w:tcBorders>
            <w:shd w:val="clear" w:color="auto" w:fill="auto"/>
            <w:vAlign w:val="center"/>
            <w:hideMark/>
          </w:tcPr>
          <w:p w14:paraId="0887DACF" w14:textId="77777777" w:rsidR="008431CF" w:rsidRPr="00961049" w:rsidRDefault="008431CF">
            <w:pPr>
              <w:spacing w:line="276" w:lineRule="auto"/>
              <w:ind w:left="-57" w:right="-57"/>
              <w:jc w:val="center"/>
              <w:rPr>
                <w:color w:val="000000"/>
                <w:sz w:val="18"/>
                <w:szCs w:val="18"/>
              </w:rPr>
            </w:pPr>
            <w:r w:rsidRPr="00961049">
              <w:rPr>
                <w:color w:val="000000"/>
                <w:sz w:val="18"/>
                <w:szCs w:val="18"/>
              </w:rPr>
              <w:t>1 240,6</w:t>
            </w:r>
          </w:p>
        </w:tc>
        <w:tc>
          <w:tcPr>
            <w:tcW w:w="998" w:type="dxa"/>
            <w:tcBorders>
              <w:top w:val="nil"/>
              <w:left w:val="nil"/>
              <w:bottom w:val="single" w:sz="4" w:space="0" w:color="auto"/>
              <w:right w:val="single" w:sz="4" w:space="0" w:color="auto"/>
            </w:tcBorders>
            <w:shd w:val="clear" w:color="auto" w:fill="auto"/>
            <w:vAlign w:val="center"/>
            <w:hideMark/>
          </w:tcPr>
          <w:p w14:paraId="5EE1DC83" w14:textId="77777777" w:rsidR="008431CF" w:rsidRPr="00961049" w:rsidRDefault="008431CF">
            <w:pPr>
              <w:spacing w:line="276" w:lineRule="auto"/>
              <w:ind w:left="-57" w:right="-57"/>
              <w:jc w:val="center"/>
              <w:rPr>
                <w:color w:val="000000"/>
                <w:sz w:val="18"/>
                <w:szCs w:val="18"/>
              </w:rPr>
            </w:pPr>
            <w:r w:rsidRPr="00961049">
              <w:rPr>
                <w:color w:val="000000"/>
                <w:sz w:val="18"/>
                <w:szCs w:val="18"/>
              </w:rPr>
              <w:t>99,5</w:t>
            </w:r>
          </w:p>
        </w:tc>
      </w:tr>
      <w:tr w:rsidR="008431CF" w:rsidRPr="00961049" w14:paraId="5081C3DF" w14:textId="77777777" w:rsidTr="00F249B4">
        <w:trPr>
          <w:trHeight w:val="717"/>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2D8E5A5F" w14:textId="77777777" w:rsidR="008431CF" w:rsidRPr="00961049" w:rsidRDefault="008431CF">
            <w:pPr>
              <w:spacing w:line="276" w:lineRule="auto"/>
              <w:jc w:val="both"/>
              <w:rPr>
                <w:color w:val="000000"/>
                <w:sz w:val="18"/>
                <w:szCs w:val="18"/>
              </w:rPr>
            </w:pPr>
            <w:r w:rsidRPr="00961049">
              <w:rPr>
                <w:color w:val="000000"/>
                <w:sz w:val="18"/>
                <w:szCs w:val="18"/>
              </w:rP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851" w:type="dxa"/>
            <w:tcBorders>
              <w:top w:val="nil"/>
              <w:left w:val="nil"/>
              <w:bottom w:val="single" w:sz="4" w:space="0" w:color="auto"/>
              <w:right w:val="single" w:sz="4" w:space="0" w:color="auto"/>
            </w:tcBorders>
            <w:shd w:val="clear" w:color="auto" w:fill="auto"/>
            <w:vAlign w:val="center"/>
            <w:hideMark/>
          </w:tcPr>
          <w:p w14:paraId="492DC2A8" w14:textId="77777777" w:rsidR="008431CF" w:rsidRPr="00961049" w:rsidRDefault="008431CF">
            <w:pPr>
              <w:spacing w:line="276" w:lineRule="auto"/>
              <w:ind w:left="-57" w:right="-57"/>
              <w:jc w:val="center"/>
              <w:rPr>
                <w:color w:val="000000"/>
                <w:sz w:val="18"/>
                <w:szCs w:val="18"/>
              </w:rPr>
            </w:pPr>
            <w:r w:rsidRPr="00961049">
              <w:rPr>
                <w:color w:val="000000"/>
                <w:sz w:val="18"/>
                <w:szCs w:val="18"/>
              </w:rPr>
              <w:t>10 735,6</w:t>
            </w:r>
          </w:p>
        </w:tc>
        <w:tc>
          <w:tcPr>
            <w:tcW w:w="850" w:type="dxa"/>
            <w:tcBorders>
              <w:top w:val="nil"/>
              <w:left w:val="nil"/>
              <w:bottom w:val="single" w:sz="4" w:space="0" w:color="auto"/>
              <w:right w:val="single" w:sz="4" w:space="0" w:color="auto"/>
            </w:tcBorders>
            <w:shd w:val="clear" w:color="auto" w:fill="auto"/>
            <w:vAlign w:val="center"/>
            <w:hideMark/>
          </w:tcPr>
          <w:p w14:paraId="7B918031" w14:textId="77777777" w:rsidR="008431CF" w:rsidRPr="00961049" w:rsidRDefault="008431CF">
            <w:pPr>
              <w:spacing w:line="276" w:lineRule="auto"/>
              <w:ind w:left="-57" w:right="-57"/>
              <w:jc w:val="center"/>
              <w:rPr>
                <w:color w:val="000000"/>
                <w:sz w:val="18"/>
                <w:szCs w:val="18"/>
              </w:rPr>
            </w:pPr>
            <w:r w:rsidRPr="00961049">
              <w:rPr>
                <w:color w:val="000000"/>
                <w:sz w:val="18"/>
                <w:szCs w:val="18"/>
              </w:rPr>
              <w:t>9 870,1</w:t>
            </w:r>
          </w:p>
        </w:tc>
        <w:tc>
          <w:tcPr>
            <w:tcW w:w="851" w:type="dxa"/>
            <w:tcBorders>
              <w:top w:val="nil"/>
              <w:left w:val="nil"/>
              <w:bottom w:val="single" w:sz="4" w:space="0" w:color="auto"/>
              <w:right w:val="single" w:sz="4" w:space="0" w:color="auto"/>
            </w:tcBorders>
            <w:shd w:val="clear" w:color="auto" w:fill="auto"/>
            <w:vAlign w:val="center"/>
            <w:hideMark/>
          </w:tcPr>
          <w:p w14:paraId="17EFDDDA" w14:textId="77777777" w:rsidR="008431CF" w:rsidRPr="00961049" w:rsidRDefault="008431CF">
            <w:pPr>
              <w:spacing w:line="276" w:lineRule="auto"/>
              <w:ind w:left="-57" w:right="-57"/>
              <w:jc w:val="center"/>
              <w:rPr>
                <w:color w:val="000000"/>
                <w:sz w:val="18"/>
                <w:szCs w:val="18"/>
              </w:rPr>
            </w:pPr>
            <w:r w:rsidRPr="00961049">
              <w:rPr>
                <w:color w:val="000000"/>
                <w:sz w:val="18"/>
                <w:szCs w:val="18"/>
              </w:rPr>
              <w:t>9 258,1</w:t>
            </w:r>
          </w:p>
        </w:tc>
        <w:tc>
          <w:tcPr>
            <w:tcW w:w="998" w:type="dxa"/>
            <w:tcBorders>
              <w:top w:val="nil"/>
              <w:left w:val="nil"/>
              <w:bottom w:val="single" w:sz="4" w:space="0" w:color="auto"/>
              <w:right w:val="single" w:sz="4" w:space="0" w:color="auto"/>
            </w:tcBorders>
            <w:shd w:val="clear" w:color="auto" w:fill="auto"/>
            <w:vAlign w:val="center"/>
            <w:hideMark/>
          </w:tcPr>
          <w:p w14:paraId="681EA605" w14:textId="77777777" w:rsidR="008431CF" w:rsidRPr="00961049" w:rsidRDefault="008431CF">
            <w:pPr>
              <w:spacing w:line="276" w:lineRule="auto"/>
              <w:ind w:left="-57" w:right="-57"/>
              <w:jc w:val="center"/>
              <w:rPr>
                <w:color w:val="000000"/>
                <w:sz w:val="18"/>
                <w:szCs w:val="18"/>
              </w:rPr>
            </w:pPr>
            <w:r w:rsidRPr="00961049">
              <w:rPr>
                <w:color w:val="000000"/>
                <w:sz w:val="18"/>
                <w:szCs w:val="18"/>
              </w:rPr>
              <w:t>93,8</w:t>
            </w:r>
          </w:p>
        </w:tc>
        <w:tc>
          <w:tcPr>
            <w:tcW w:w="993" w:type="dxa"/>
            <w:tcBorders>
              <w:top w:val="nil"/>
              <w:left w:val="nil"/>
              <w:bottom w:val="single" w:sz="4" w:space="0" w:color="auto"/>
              <w:right w:val="single" w:sz="4" w:space="0" w:color="auto"/>
            </w:tcBorders>
            <w:shd w:val="clear" w:color="auto" w:fill="auto"/>
            <w:vAlign w:val="center"/>
            <w:hideMark/>
          </w:tcPr>
          <w:p w14:paraId="7AD40600" w14:textId="77777777" w:rsidR="008431CF" w:rsidRPr="00961049" w:rsidRDefault="008431CF">
            <w:pPr>
              <w:spacing w:line="276" w:lineRule="auto"/>
              <w:ind w:left="-57" w:right="-57"/>
              <w:jc w:val="center"/>
              <w:rPr>
                <w:color w:val="000000"/>
                <w:sz w:val="18"/>
                <w:szCs w:val="18"/>
              </w:rPr>
            </w:pPr>
            <w:r w:rsidRPr="00961049">
              <w:rPr>
                <w:color w:val="000000"/>
                <w:sz w:val="18"/>
                <w:szCs w:val="18"/>
              </w:rPr>
              <w:t>12 109,3</w:t>
            </w:r>
          </w:p>
        </w:tc>
        <w:tc>
          <w:tcPr>
            <w:tcW w:w="850" w:type="dxa"/>
            <w:tcBorders>
              <w:top w:val="nil"/>
              <w:left w:val="nil"/>
              <w:bottom w:val="single" w:sz="4" w:space="0" w:color="auto"/>
              <w:right w:val="single" w:sz="4" w:space="0" w:color="auto"/>
            </w:tcBorders>
            <w:shd w:val="clear" w:color="auto" w:fill="auto"/>
            <w:vAlign w:val="center"/>
            <w:hideMark/>
          </w:tcPr>
          <w:p w14:paraId="32F71554" w14:textId="77777777" w:rsidR="008431CF" w:rsidRPr="00961049" w:rsidRDefault="008431CF">
            <w:pPr>
              <w:spacing w:line="276" w:lineRule="auto"/>
              <w:ind w:left="-57" w:right="-57"/>
              <w:jc w:val="center"/>
              <w:rPr>
                <w:color w:val="000000"/>
                <w:sz w:val="18"/>
                <w:szCs w:val="18"/>
              </w:rPr>
            </w:pPr>
            <w:r w:rsidRPr="00961049">
              <w:rPr>
                <w:color w:val="000000"/>
                <w:sz w:val="18"/>
                <w:szCs w:val="18"/>
              </w:rPr>
              <w:t>11 314,1</w:t>
            </w:r>
          </w:p>
        </w:tc>
        <w:tc>
          <w:tcPr>
            <w:tcW w:w="998" w:type="dxa"/>
            <w:tcBorders>
              <w:top w:val="nil"/>
              <w:left w:val="nil"/>
              <w:bottom w:val="single" w:sz="4" w:space="0" w:color="auto"/>
              <w:right w:val="single" w:sz="4" w:space="0" w:color="auto"/>
            </w:tcBorders>
            <w:shd w:val="clear" w:color="auto" w:fill="auto"/>
            <w:vAlign w:val="center"/>
            <w:hideMark/>
          </w:tcPr>
          <w:p w14:paraId="4BF9FD93" w14:textId="77777777" w:rsidR="008431CF" w:rsidRPr="00961049" w:rsidRDefault="008431CF">
            <w:pPr>
              <w:spacing w:line="276" w:lineRule="auto"/>
              <w:ind w:left="-57" w:right="-57"/>
              <w:jc w:val="center"/>
              <w:rPr>
                <w:color w:val="000000"/>
                <w:sz w:val="18"/>
                <w:szCs w:val="18"/>
              </w:rPr>
            </w:pPr>
            <w:r w:rsidRPr="00961049">
              <w:rPr>
                <w:color w:val="000000"/>
                <w:sz w:val="18"/>
                <w:szCs w:val="18"/>
              </w:rPr>
              <w:t>93,4</w:t>
            </w:r>
          </w:p>
        </w:tc>
      </w:tr>
      <w:tr w:rsidR="008431CF" w:rsidRPr="00961049" w14:paraId="52C2008A" w14:textId="77777777" w:rsidTr="00F249B4">
        <w:trPr>
          <w:trHeight w:val="861"/>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1D442931" w14:textId="77777777" w:rsidR="008431CF" w:rsidRPr="00961049" w:rsidRDefault="008431CF">
            <w:pPr>
              <w:spacing w:line="276" w:lineRule="auto"/>
              <w:jc w:val="both"/>
              <w:rPr>
                <w:color w:val="000000"/>
                <w:sz w:val="18"/>
                <w:szCs w:val="18"/>
              </w:rPr>
            </w:pPr>
            <w:r w:rsidRPr="00961049">
              <w:rPr>
                <w:color w:val="000000"/>
                <w:sz w:val="18"/>
                <w:szCs w:val="18"/>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851" w:type="dxa"/>
            <w:tcBorders>
              <w:top w:val="nil"/>
              <w:left w:val="nil"/>
              <w:bottom w:val="single" w:sz="4" w:space="0" w:color="auto"/>
              <w:right w:val="single" w:sz="4" w:space="0" w:color="auto"/>
            </w:tcBorders>
            <w:shd w:val="clear" w:color="auto" w:fill="auto"/>
            <w:vAlign w:val="center"/>
            <w:hideMark/>
          </w:tcPr>
          <w:p w14:paraId="5AECF4D9" w14:textId="77777777" w:rsidR="008431CF" w:rsidRPr="00961049" w:rsidRDefault="008431CF">
            <w:pPr>
              <w:spacing w:line="276" w:lineRule="auto"/>
              <w:ind w:left="-57" w:right="-57"/>
              <w:jc w:val="center"/>
              <w:rPr>
                <w:color w:val="000000"/>
                <w:sz w:val="18"/>
                <w:szCs w:val="18"/>
              </w:rPr>
            </w:pPr>
            <w:r w:rsidRPr="00961049">
              <w:rPr>
                <w:color w:val="000000"/>
                <w:sz w:val="18"/>
                <w:szCs w:val="18"/>
              </w:rPr>
              <w:t>15 398,7</w:t>
            </w:r>
          </w:p>
        </w:tc>
        <w:tc>
          <w:tcPr>
            <w:tcW w:w="850" w:type="dxa"/>
            <w:tcBorders>
              <w:top w:val="nil"/>
              <w:left w:val="nil"/>
              <w:bottom w:val="single" w:sz="4" w:space="0" w:color="auto"/>
              <w:right w:val="single" w:sz="4" w:space="0" w:color="auto"/>
            </w:tcBorders>
            <w:shd w:val="clear" w:color="auto" w:fill="auto"/>
            <w:vAlign w:val="center"/>
            <w:hideMark/>
          </w:tcPr>
          <w:p w14:paraId="4F79FD93" w14:textId="77777777" w:rsidR="008431CF" w:rsidRPr="00961049" w:rsidRDefault="008431CF">
            <w:pPr>
              <w:spacing w:line="276" w:lineRule="auto"/>
              <w:ind w:left="-57" w:right="-57"/>
              <w:jc w:val="center"/>
              <w:rPr>
                <w:color w:val="000000"/>
                <w:sz w:val="18"/>
                <w:szCs w:val="18"/>
              </w:rPr>
            </w:pPr>
            <w:r w:rsidRPr="00961049">
              <w:rPr>
                <w:color w:val="000000"/>
                <w:sz w:val="18"/>
                <w:szCs w:val="18"/>
              </w:rPr>
              <w:t>9 000,0</w:t>
            </w:r>
          </w:p>
        </w:tc>
        <w:tc>
          <w:tcPr>
            <w:tcW w:w="851" w:type="dxa"/>
            <w:tcBorders>
              <w:top w:val="nil"/>
              <w:left w:val="nil"/>
              <w:bottom w:val="single" w:sz="4" w:space="0" w:color="auto"/>
              <w:right w:val="single" w:sz="4" w:space="0" w:color="auto"/>
            </w:tcBorders>
            <w:shd w:val="clear" w:color="auto" w:fill="auto"/>
            <w:vAlign w:val="center"/>
            <w:hideMark/>
          </w:tcPr>
          <w:p w14:paraId="1601DAF4" w14:textId="77777777" w:rsidR="008431CF" w:rsidRPr="00961049" w:rsidRDefault="008431CF">
            <w:pPr>
              <w:spacing w:line="276" w:lineRule="auto"/>
              <w:ind w:left="-57" w:right="-57"/>
              <w:jc w:val="center"/>
              <w:rPr>
                <w:color w:val="000000"/>
                <w:sz w:val="18"/>
                <w:szCs w:val="18"/>
              </w:rPr>
            </w:pPr>
            <w:r w:rsidRPr="00961049">
              <w:rPr>
                <w:color w:val="000000"/>
                <w:sz w:val="18"/>
                <w:szCs w:val="18"/>
              </w:rPr>
              <w:t>11 487,0</w:t>
            </w:r>
          </w:p>
        </w:tc>
        <w:tc>
          <w:tcPr>
            <w:tcW w:w="998" w:type="dxa"/>
            <w:tcBorders>
              <w:top w:val="nil"/>
              <w:left w:val="nil"/>
              <w:bottom w:val="single" w:sz="4" w:space="0" w:color="auto"/>
              <w:right w:val="single" w:sz="4" w:space="0" w:color="auto"/>
            </w:tcBorders>
            <w:shd w:val="clear" w:color="auto" w:fill="auto"/>
            <w:vAlign w:val="center"/>
            <w:hideMark/>
          </w:tcPr>
          <w:p w14:paraId="6039815B" w14:textId="77777777" w:rsidR="008431CF" w:rsidRPr="00961049" w:rsidRDefault="008431CF">
            <w:pPr>
              <w:spacing w:line="276" w:lineRule="auto"/>
              <w:ind w:left="-57" w:right="-57"/>
              <w:jc w:val="center"/>
              <w:rPr>
                <w:color w:val="000000"/>
                <w:sz w:val="18"/>
                <w:szCs w:val="18"/>
              </w:rPr>
            </w:pPr>
            <w:r w:rsidRPr="00961049">
              <w:rPr>
                <w:color w:val="000000"/>
                <w:sz w:val="18"/>
                <w:szCs w:val="18"/>
              </w:rPr>
              <w:t>127,6</w:t>
            </w:r>
          </w:p>
        </w:tc>
        <w:tc>
          <w:tcPr>
            <w:tcW w:w="993" w:type="dxa"/>
            <w:tcBorders>
              <w:top w:val="nil"/>
              <w:left w:val="nil"/>
              <w:bottom w:val="single" w:sz="4" w:space="0" w:color="auto"/>
              <w:right w:val="single" w:sz="4" w:space="0" w:color="auto"/>
            </w:tcBorders>
            <w:shd w:val="clear" w:color="auto" w:fill="auto"/>
            <w:vAlign w:val="center"/>
            <w:hideMark/>
          </w:tcPr>
          <w:p w14:paraId="19245B2D" w14:textId="77777777" w:rsidR="008431CF" w:rsidRPr="00961049" w:rsidRDefault="008431CF">
            <w:pPr>
              <w:spacing w:line="276" w:lineRule="auto"/>
              <w:ind w:left="-57" w:right="-57"/>
              <w:jc w:val="center"/>
              <w:rPr>
                <w:color w:val="000000"/>
                <w:sz w:val="18"/>
                <w:szCs w:val="18"/>
              </w:rPr>
            </w:pPr>
            <w:r w:rsidRPr="00961049">
              <w:rPr>
                <w:color w:val="000000"/>
                <w:sz w:val="18"/>
                <w:szCs w:val="18"/>
              </w:rPr>
              <w:t>10 000,0</w:t>
            </w:r>
          </w:p>
        </w:tc>
        <w:tc>
          <w:tcPr>
            <w:tcW w:w="850" w:type="dxa"/>
            <w:tcBorders>
              <w:top w:val="nil"/>
              <w:left w:val="nil"/>
              <w:bottom w:val="single" w:sz="4" w:space="0" w:color="auto"/>
              <w:right w:val="single" w:sz="4" w:space="0" w:color="auto"/>
            </w:tcBorders>
            <w:shd w:val="clear" w:color="auto" w:fill="auto"/>
            <w:vAlign w:val="center"/>
            <w:hideMark/>
          </w:tcPr>
          <w:p w14:paraId="22CA7C08" w14:textId="77777777" w:rsidR="008431CF" w:rsidRPr="00961049" w:rsidRDefault="008431CF">
            <w:pPr>
              <w:spacing w:line="276" w:lineRule="auto"/>
              <w:ind w:left="-57" w:right="-57"/>
              <w:jc w:val="center"/>
              <w:rPr>
                <w:color w:val="000000"/>
                <w:sz w:val="18"/>
                <w:szCs w:val="18"/>
              </w:rPr>
            </w:pPr>
            <w:r w:rsidRPr="00961049">
              <w:rPr>
                <w:color w:val="000000"/>
                <w:sz w:val="18"/>
                <w:szCs w:val="18"/>
              </w:rPr>
              <w:t>12 389,4</w:t>
            </w:r>
          </w:p>
        </w:tc>
        <w:tc>
          <w:tcPr>
            <w:tcW w:w="998" w:type="dxa"/>
            <w:tcBorders>
              <w:top w:val="nil"/>
              <w:left w:val="nil"/>
              <w:bottom w:val="single" w:sz="4" w:space="0" w:color="auto"/>
              <w:right w:val="single" w:sz="4" w:space="0" w:color="auto"/>
            </w:tcBorders>
            <w:shd w:val="clear" w:color="auto" w:fill="auto"/>
            <w:vAlign w:val="center"/>
            <w:hideMark/>
          </w:tcPr>
          <w:p w14:paraId="4D04F89A" w14:textId="77777777" w:rsidR="008431CF" w:rsidRPr="00961049" w:rsidRDefault="008431CF">
            <w:pPr>
              <w:spacing w:line="276" w:lineRule="auto"/>
              <w:ind w:left="-57" w:right="-57"/>
              <w:jc w:val="center"/>
              <w:rPr>
                <w:color w:val="000000"/>
                <w:sz w:val="18"/>
                <w:szCs w:val="18"/>
              </w:rPr>
            </w:pPr>
            <w:r w:rsidRPr="00961049">
              <w:rPr>
                <w:color w:val="000000"/>
                <w:sz w:val="18"/>
                <w:szCs w:val="18"/>
              </w:rPr>
              <w:t>123,9</w:t>
            </w:r>
          </w:p>
        </w:tc>
      </w:tr>
      <w:tr w:rsidR="008431CF" w:rsidRPr="00961049" w14:paraId="4EAB3691" w14:textId="77777777" w:rsidTr="00F249B4">
        <w:trPr>
          <w:trHeight w:val="307"/>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779B8ABE" w14:textId="77777777" w:rsidR="008431CF" w:rsidRPr="00961049" w:rsidRDefault="008431CF">
            <w:pPr>
              <w:spacing w:line="276" w:lineRule="auto"/>
              <w:jc w:val="both"/>
              <w:rPr>
                <w:color w:val="000000"/>
                <w:sz w:val="18"/>
                <w:szCs w:val="18"/>
              </w:rPr>
            </w:pPr>
            <w:r w:rsidRPr="00961049">
              <w:rPr>
                <w:color w:val="000000"/>
                <w:sz w:val="18"/>
                <w:szCs w:val="18"/>
              </w:rPr>
              <w:t>Федеральный проект «Развитие экспорта медицинских услуг»</w:t>
            </w:r>
          </w:p>
        </w:tc>
        <w:tc>
          <w:tcPr>
            <w:tcW w:w="851" w:type="dxa"/>
            <w:tcBorders>
              <w:top w:val="nil"/>
              <w:left w:val="nil"/>
              <w:bottom w:val="single" w:sz="4" w:space="0" w:color="auto"/>
              <w:right w:val="single" w:sz="4" w:space="0" w:color="auto"/>
            </w:tcBorders>
            <w:shd w:val="clear" w:color="auto" w:fill="auto"/>
            <w:vAlign w:val="center"/>
            <w:hideMark/>
          </w:tcPr>
          <w:p w14:paraId="25268859" w14:textId="77777777" w:rsidR="008431CF" w:rsidRPr="00961049" w:rsidRDefault="008431CF">
            <w:pPr>
              <w:spacing w:line="276" w:lineRule="auto"/>
              <w:ind w:left="-57" w:right="-57"/>
              <w:jc w:val="center"/>
              <w:rPr>
                <w:color w:val="000000"/>
                <w:sz w:val="18"/>
                <w:szCs w:val="18"/>
              </w:rPr>
            </w:pPr>
            <w:r w:rsidRPr="00961049">
              <w:rPr>
                <w:color w:val="000000"/>
                <w:sz w:val="18"/>
                <w:szCs w:val="18"/>
              </w:rPr>
              <w:t>27,0</w:t>
            </w:r>
          </w:p>
        </w:tc>
        <w:tc>
          <w:tcPr>
            <w:tcW w:w="850" w:type="dxa"/>
            <w:tcBorders>
              <w:top w:val="nil"/>
              <w:left w:val="nil"/>
              <w:bottom w:val="single" w:sz="4" w:space="0" w:color="auto"/>
              <w:right w:val="single" w:sz="4" w:space="0" w:color="auto"/>
            </w:tcBorders>
            <w:shd w:val="clear" w:color="auto" w:fill="auto"/>
            <w:vAlign w:val="center"/>
            <w:hideMark/>
          </w:tcPr>
          <w:p w14:paraId="52497268" w14:textId="77777777" w:rsidR="008431CF" w:rsidRPr="00961049" w:rsidRDefault="008431CF">
            <w:pPr>
              <w:spacing w:line="276" w:lineRule="auto"/>
              <w:ind w:left="-57" w:right="-57"/>
              <w:jc w:val="center"/>
              <w:rPr>
                <w:color w:val="000000"/>
                <w:sz w:val="18"/>
                <w:szCs w:val="18"/>
              </w:rPr>
            </w:pPr>
            <w:r w:rsidRPr="00961049">
              <w:rPr>
                <w:color w:val="000000"/>
                <w:sz w:val="18"/>
                <w:szCs w:val="18"/>
              </w:rPr>
              <w:t>27,0</w:t>
            </w:r>
          </w:p>
        </w:tc>
        <w:tc>
          <w:tcPr>
            <w:tcW w:w="851" w:type="dxa"/>
            <w:tcBorders>
              <w:top w:val="nil"/>
              <w:left w:val="nil"/>
              <w:bottom w:val="single" w:sz="4" w:space="0" w:color="auto"/>
              <w:right w:val="single" w:sz="4" w:space="0" w:color="auto"/>
            </w:tcBorders>
            <w:shd w:val="clear" w:color="auto" w:fill="auto"/>
            <w:vAlign w:val="center"/>
            <w:hideMark/>
          </w:tcPr>
          <w:p w14:paraId="66B6E2D6" w14:textId="77777777" w:rsidR="008431CF" w:rsidRPr="00961049" w:rsidRDefault="008431CF">
            <w:pPr>
              <w:spacing w:line="276" w:lineRule="auto"/>
              <w:ind w:left="-57" w:right="-57"/>
              <w:jc w:val="center"/>
              <w:rPr>
                <w:color w:val="000000"/>
                <w:sz w:val="18"/>
                <w:szCs w:val="18"/>
              </w:rPr>
            </w:pPr>
            <w:r w:rsidRPr="00961049">
              <w:rPr>
                <w:color w:val="000000"/>
                <w:sz w:val="18"/>
                <w:szCs w:val="18"/>
              </w:rPr>
              <w:t>26,0</w:t>
            </w:r>
          </w:p>
        </w:tc>
        <w:tc>
          <w:tcPr>
            <w:tcW w:w="998" w:type="dxa"/>
            <w:tcBorders>
              <w:top w:val="nil"/>
              <w:left w:val="nil"/>
              <w:bottom w:val="single" w:sz="4" w:space="0" w:color="auto"/>
              <w:right w:val="single" w:sz="4" w:space="0" w:color="auto"/>
            </w:tcBorders>
            <w:shd w:val="clear" w:color="auto" w:fill="auto"/>
            <w:vAlign w:val="center"/>
            <w:hideMark/>
          </w:tcPr>
          <w:p w14:paraId="11290A88" w14:textId="77777777" w:rsidR="008431CF" w:rsidRPr="00961049" w:rsidRDefault="008431CF">
            <w:pPr>
              <w:spacing w:line="276" w:lineRule="auto"/>
              <w:ind w:left="-57" w:right="-57"/>
              <w:jc w:val="center"/>
              <w:rPr>
                <w:color w:val="000000"/>
                <w:sz w:val="18"/>
                <w:szCs w:val="18"/>
              </w:rPr>
            </w:pPr>
            <w:r w:rsidRPr="00961049">
              <w:rPr>
                <w:color w:val="000000"/>
                <w:sz w:val="18"/>
                <w:szCs w:val="18"/>
              </w:rPr>
              <w:t>96,3</w:t>
            </w:r>
          </w:p>
        </w:tc>
        <w:tc>
          <w:tcPr>
            <w:tcW w:w="993" w:type="dxa"/>
            <w:tcBorders>
              <w:top w:val="nil"/>
              <w:left w:val="nil"/>
              <w:bottom w:val="single" w:sz="4" w:space="0" w:color="auto"/>
              <w:right w:val="single" w:sz="4" w:space="0" w:color="auto"/>
            </w:tcBorders>
            <w:shd w:val="clear" w:color="auto" w:fill="auto"/>
            <w:vAlign w:val="center"/>
            <w:hideMark/>
          </w:tcPr>
          <w:p w14:paraId="6E85AE43" w14:textId="77777777" w:rsidR="008431CF" w:rsidRPr="00961049" w:rsidRDefault="008431CF">
            <w:pPr>
              <w:spacing w:line="276" w:lineRule="auto"/>
              <w:ind w:left="-57" w:right="-57"/>
              <w:jc w:val="center"/>
              <w:rPr>
                <w:color w:val="000000"/>
                <w:sz w:val="18"/>
                <w:szCs w:val="18"/>
              </w:rPr>
            </w:pPr>
            <w:r w:rsidRPr="00961049">
              <w:rPr>
                <w:color w:val="000000"/>
                <w:sz w:val="18"/>
                <w:szCs w:val="18"/>
              </w:rPr>
              <w:t>30,0</w:t>
            </w:r>
          </w:p>
        </w:tc>
        <w:tc>
          <w:tcPr>
            <w:tcW w:w="850" w:type="dxa"/>
            <w:tcBorders>
              <w:top w:val="nil"/>
              <w:left w:val="nil"/>
              <w:bottom w:val="single" w:sz="4" w:space="0" w:color="auto"/>
              <w:right w:val="single" w:sz="4" w:space="0" w:color="auto"/>
            </w:tcBorders>
            <w:shd w:val="clear" w:color="auto" w:fill="auto"/>
            <w:vAlign w:val="center"/>
            <w:hideMark/>
          </w:tcPr>
          <w:p w14:paraId="197B3CA6" w14:textId="77777777" w:rsidR="008431CF" w:rsidRPr="00961049" w:rsidRDefault="008431CF">
            <w:pPr>
              <w:spacing w:line="276" w:lineRule="auto"/>
              <w:ind w:left="-57" w:right="-57"/>
              <w:jc w:val="center"/>
              <w:rPr>
                <w:color w:val="000000"/>
                <w:sz w:val="18"/>
                <w:szCs w:val="18"/>
              </w:rPr>
            </w:pPr>
            <w:r w:rsidRPr="00961049">
              <w:rPr>
                <w:color w:val="000000"/>
                <w:sz w:val="18"/>
                <w:szCs w:val="18"/>
              </w:rPr>
              <w:t>29,2</w:t>
            </w:r>
          </w:p>
        </w:tc>
        <w:tc>
          <w:tcPr>
            <w:tcW w:w="998" w:type="dxa"/>
            <w:tcBorders>
              <w:top w:val="nil"/>
              <w:left w:val="nil"/>
              <w:bottom w:val="single" w:sz="4" w:space="0" w:color="auto"/>
              <w:right w:val="single" w:sz="4" w:space="0" w:color="auto"/>
            </w:tcBorders>
            <w:shd w:val="clear" w:color="auto" w:fill="auto"/>
            <w:vAlign w:val="center"/>
            <w:hideMark/>
          </w:tcPr>
          <w:p w14:paraId="27D26CF8" w14:textId="77777777" w:rsidR="008431CF" w:rsidRPr="00961049" w:rsidRDefault="008431CF">
            <w:pPr>
              <w:spacing w:line="276" w:lineRule="auto"/>
              <w:ind w:left="-57" w:right="-57"/>
              <w:jc w:val="center"/>
              <w:rPr>
                <w:color w:val="000000"/>
                <w:sz w:val="18"/>
                <w:szCs w:val="18"/>
              </w:rPr>
            </w:pPr>
            <w:r w:rsidRPr="00961049">
              <w:rPr>
                <w:color w:val="000000"/>
                <w:sz w:val="18"/>
                <w:szCs w:val="18"/>
              </w:rPr>
              <w:t>97,3</w:t>
            </w:r>
          </w:p>
        </w:tc>
      </w:tr>
      <w:tr w:rsidR="008431CF" w:rsidRPr="00961049" w14:paraId="3A264BB0" w14:textId="77777777" w:rsidTr="00F249B4">
        <w:trPr>
          <w:trHeight w:val="430"/>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195935AA" w14:textId="77777777" w:rsidR="008431CF" w:rsidRPr="00961049" w:rsidRDefault="008431CF">
            <w:pPr>
              <w:spacing w:line="276" w:lineRule="auto"/>
              <w:jc w:val="both"/>
              <w:rPr>
                <w:color w:val="000000"/>
                <w:sz w:val="18"/>
                <w:szCs w:val="18"/>
              </w:rPr>
            </w:pPr>
            <w:r w:rsidRPr="00961049">
              <w:rPr>
                <w:color w:val="000000"/>
                <w:sz w:val="18"/>
                <w:szCs w:val="18"/>
              </w:rPr>
              <w:t>Федеральный проект «Модернизация первичного звена здравоохранения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14:paraId="0E6C7E32" w14:textId="77777777" w:rsidR="008431CF" w:rsidRPr="00961049" w:rsidRDefault="008431CF">
            <w:pPr>
              <w:spacing w:line="276" w:lineRule="auto"/>
              <w:ind w:left="-57" w:right="-57"/>
              <w:jc w:val="center"/>
              <w:rPr>
                <w:color w:val="000000"/>
                <w:sz w:val="18"/>
                <w:szCs w:val="18"/>
              </w:rPr>
            </w:pPr>
            <w:r w:rsidRPr="00961049">
              <w:rPr>
                <w:color w:val="000000"/>
                <w:sz w:val="18"/>
                <w:szCs w:val="18"/>
              </w:rPr>
              <w:t>99 837,0</w:t>
            </w:r>
          </w:p>
        </w:tc>
        <w:tc>
          <w:tcPr>
            <w:tcW w:w="850" w:type="dxa"/>
            <w:tcBorders>
              <w:top w:val="nil"/>
              <w:left w:val="nil"/>
              <w:bottom w:val="single" w:sz="4" w:space="0" w:color="auto"/>
              <w:right w:val="single" w:sz="4" w:space="0" w:color="auto"/>
            </w:tcBorders>
            <w:shd w:val="clear" w:color="auto" w:fill="auto"/>
            <w:vAlign w:val="center"/>
            <w:hideMark/>
          </w:tcPr>
          <w:p w14:paraId="733209EB" w14:textId="77777777" w:rsidR="008431CF" w:rsidRPr="00961049" w:rsidRDefault="008431CF">
            <w:pPr>
              <w:spacing w:line="276" w:lineRule="auto"/>
              <w:ind w:left="-57" w:right="-57"/>
              <w:jc w:val="center"/>
              <w:rPr>
                <w:color w:val="000000"/>
                <w:sz w:val="18"/>
                <w:szCs w:val="18"/>
              </w:rPr>
            </w:pPr>
            <w:r w:rsidRPr="00961049">
              <w:rPr>
                <w:color w:val="000000"/>
                <w:sz w:val="18"/>
                <w:szCs w:val="18"/>
              </w:rPr>
              <w:t>90 000,0</w:t>
            </w:r>
          </w:p>
        </w:tc>
        <w:tc>
          <w:tcPr>
            <w:tcW w:w="851" w:type="dxa"/>
            <w:tcBorders>
              <w:top w:val="nil"/>
              <w:left w:val="nil"/>
              <w:bottom w:val="single" w:sz="4" w:space="0" w:color="auto"/>
              <w:right w:val="single" w:sz="4" w:space="0" w:color="auto"/>
            </w:tcBorders>
            <w:shd w:val="clear" w:color="auto" w:fill="auto"/>
            <w:vAlign w:val="center"/>
            <w:hideMark/>
          </w:tcPr>
          <w:p w14:paraId="61B380B1" w14:textId="77777777" w:rsidR="008431CF" w:rsidRPr="00961049" w:rsidRDefault="008431CF">
            <w:pPr>
              <w:spacing w:line="276" w:lineRule="auto"/>
              <w:ind w:left="-57" w:right="-57"/>
              <w:jc w:val="center"/>
              <w:rPr>
                <w:color w:val="000000"/>
                <w:sz w:val="18"/>
                <w:szCs w:val="18"/>
              </w:rPr>
            </w:pPr>
            <w:r w:rsidRPr="00961049">
              <w:rPr>
                <w:color w:val="000000"/>
                <w:sz w:val="18"/>
                <w:szCs w:val="18"/>
              </w:rPr>
              <w:t>90 000,0</w:t>
            </w:r>
          </w:p>
        </w:tc>
        <w:tc>
          <w:tcPr>
            <w:tcW w:w="998" w:type="dxa"/>
            <w:tcBorders>
              <w:top w:val="nil"/>
              <w:left w:val="nil"/>
              <w:bottom w:val="single" w:sz="4" w:space="0" w:color="auto"/>
              <w:right w:val="single" w:sz="4" w:space="0" w:color="auto"/>
            </w:tcBorders>
            <w:shd w:val="clear" w:color="auto" w:fill="auto"/>
            <w:vAlign w:val="center"/>
            <w:hideMark/>
          </w:tcPr>
          <w:p w14:paraId="3E5CFE1D" w14:textId="77777777" w:rsidR="008431CF" w:rsidRPr="00961049" w:rsidRDefault="008431CF">
            <w:pPr>
              <w:spacing w:line="276" w:lineRule="auto"/>
              <w:ind w:left="-57" w:right="-57"/>
              <w:jc w:val="center"/>
              <w:rPr>
                <w:color w:val="000000"/>
                <w:sz w:val="18"/>
                <w:szCs w:val="18"/>
              </w:rPr>
            </w:pPr>
            <w:r w:rsidRPr="00961049">
              <w:rPr>
                <w:color w:val="000000"/>
                <w:sz w:val="18"/>
                <w:szCs w:val="18"/>
              </w:rPr>
              <w:t>100,0</w:t>
            </w:r>
          </w:p>
        </w:tc>
        <w:tc>
          <w:tcPr>
            <w:tcW w:w="993" w:type="dxa"/>
            <w:tcBorders>
              <w:top w:val="nil"/>
              <w:left w:val="nil"/>
              <w:bottom w:val="single" w:sz="4" w:space="0" w:color="auto"/>
              <w:right w:val="single" w:sz="4" w:space="0" w:color="auto"/>
            </w:tcBorders>
            <w:shd w:val="clear" w:color="auto" w:fill="auto"/>
            <w:vAlign w:val="center"/>
            <w:hideMark/>
          </w:tcPr>
          <w:p w14:paraId="108D6306" w14:textId="77777777" w:rsidR="008431CF" w:rsidRPr="00961049" w:rsidRDefault="008431CF">
            <w:pPr>
              <w:spacing w:line="276" w:lineRule="auto"/>
              <w:ind w:left="-57" w:right="-57"/>
              <w:jc w:val="center"/>
              <w:rPr>
                <w:color w:val="000000"/>
                <w:sz w:val="18"/>
                <w:szCs w:val="18"/>
              </w:rPr>
            </w:pPr>
            <w:r w:rsidRPr="00961049">
              <w:rPr>
                <w:color w:val="000000"/>
                <w:sz w:val="18"/>
                <w:szCs w:val="18"/>
              </w:rPr>
              <w:t>90 000,0</w:t>
            </w:r>
          </w:p>
        </w:tc>
        <w:tc>
          <w:tcPr>
            <w:tcW w:w="850" w:type="dxa"/>
            <w:tcBorders>
              <w:top w:val="nil"/>
              <w:left w:val="nil"/>
              <w:bottom w:val="single" w:sz="4" w:space="0" w:color="auto"/>
              <w:right w:val="single" w:sz="4" w:space="0" w:color="auto"/>
            </w:tcBorders>
            <w:shd w:val="clear" w:color="auto" w:fill="auto"/>
            <w:vAlign w:val="center"/>
            <w:hideMark/>
          </w:tcPr>
          <w:p w14:paraId="1B1C9168" w14:textId="77777777" w:rsidR="008431CF" w:rsidRPr="00961049" w:rsidRDefault="008431CF">
            <w:pPr>
              <w:spacing w:line="276" w:lineRule="auto"/>
              <w:ind w:left="-57" w:right="-57"/>
              <w:jc w:val="center"/>
              <w:rPr>
                <w:color w:val="000000"/>
                <w:sz w:val="18"/>
                <w:szCs w:val="18"/>
              </w:rPr>
            </w:pPr>
            <w:r w:rsidRPr="00961049">
              <w:rPr>
                <w:color w:val="000000"/>
                <w:sz w:val="18"/>
                <w:szCs w:val="18"/>
              </w:rPr>
              <w:t>90 000,0</w:t>
            </w:r>
          </w:p>
        </w:tc>
        <w:tc>
          <w:tcPr>
            <w:tcW w:w="998" w:type="dxa"/>
            <w:tcBorders>
              <w:top w:val="nil"/>
              <w:left w:val="nil"/>
              <w:bottom w:val="single" w:sz="4" w:space="0" w:color="auto"/>
              <w:right w:val="single" w:sz="4" w:space="0" w:color="auto"/>
            </w:tcBorders>
            <w:shd w:val="clear" w:color="auto" w:fill="auto"/>
            <w:vAlign w:val="center"/>
            <w:hideMark/>
          </w:tcPr>
          <w:p w14:paraId="32030D69" w14:textId="77777777" w:rsidR="008431CF" w:rsidRPr="00961049" w:rsidRDefault="008431CF">
            <w:pPr>
              <w:spacing w:line="276" w:lineRule="auto"/>
              <w:ind w:left="-57" w:right="-57"/>
              <w:jc w:val="center"/>
              <w:rPr>
                <w:color w:val="000000"/>
                <w:sz w:val="18"/>
                <w:szCs w:val="18"/>
              </w:rPr>
            </w:pPr>
            <w:r w:rsidRPr="00961049">
              <w:rPr>
                <w:color w:val="000000"/>
                <w:sz w:val="18"/>
                <w:szCs w:val="18"/>
              </w:rPr>
              <w:t>100,0</w:t>
            </w:r>
          </w:p>
        </w:tc>
      </w:tr>
    </w:tbl>
    <w:p w14:paraId="4B4941C8" w14:textId="709B5933" w:rsidR="00F249B4" w:rsidRDefault="00F249B4" w:rsidP="00F249B4">
      <w:pPr>
        <w:spacing w:line="276" w:lineRule="auto"/>
        <w:ind w:firstLine="709"/>
        <w:contextualSpacing/>
        <w:jc w:val="both"/>
        <w:rPr>
          <w:rFonts w:eastAsia="Calibri"/>
          <w:sz w:val="20"/>
          <w:szCs w:val="20"/>
        </w:rPr>
      </w:pPr>
      <w:r w:rsidRPr="00F249B4">
        <w:rPr>
          <w:rFonts w:eastAsia="Calibri"/>
          <w:i/>
          <w:sz w:val="20"/>
          <w:szCs w:val="20"/>
        </w:rPr>
        <w:t>Источник</w:t>
      </w:r>
      <w:r w:rsidRPr="00F249B4">
        <w:rPr>
          <w:rFonts w:eastAsia="Calibri"/>
          <w:sz w:val="20"/>
          <w:szCs w:val="20"/>
        </w:rPr>
        <w:t xml:space="preserve">: </w:t>
      </w:r>
      <w:r>
        <w:rPr>
          <w:rFonts w:eastAsia="Calibri"/>
          <w:sz w:val="20"/>
          <w:szCs w:val="20"/>
        </w:rPr>
        <w:t>Пояснительная записка</w:t>
      </w:r>
    </w:p>
    <w:p w14:paraId="4EACF6EC" w14:textId="77777777" w:rsidR="00F249B4" w:rsidRDefault="00F249B4" w:rsidP="00F249B4">
      <w:pPr>
        <w:ind w:firstLine="709"/>
      </w:pPr>
      <w:r>
        <w:rPr>
          <w:rFonts w:eastAsia="Calibri"/>
          <w:sz w:val="20"/>
          <w:szCs w:val="20"/>
        </w:rPr>
        <w:t>__________________</w:t>
      </w:r>
    </w:p>
    <w:p w14:paraId="5B6E8D1F" w14:textId="1FF9D6AA" w:rsidR="00F249B4" w:rsidRPr="00F249B4" w:rsidRDefault="00F249B4" w:rsidP="00F249B4">
      <w:pPr>
        <w:spacing w:line="276" w:lineRule="auto"/>
        <w:ind w:firstLine="709"/>
        <w:contextualSpacing/>
        <w:jc w:val="both"/>
        <w:rPr>
          <w:sz w:val="20"/>
          <w:szCs w:val="20"/>
        </w:rPr>
      </w:pPr>
      <w:r>
        <w:rPr>
          <w:rFonts w:eastAsia="Calibri"/>
          <w:sz w:val="20"/>
          <w:szCs w:val="20"/>
        </w:rPr>
        <w:t xml:space="preserve">Примечание: </w:t>
      </w:r>
    </w:p>
    <w:p w14:paraId="6A3270E8" w14:textId="77777777" w:rsidR="008431CF" w:rsidRPr="00F249B4" w:rsidRDefault="008431CF" w:rsidP="008431CF">
      <w:pPr>
        <w:spacing w:line="276" w:lineRule="auto"/>
        <w:ind w:firstLine="709"/>
        <w:contextualSpacing/>
        <w:jc w:val="both"/>
        <w:rPr>
          <w:sz w:val="20"/>
          <w:szCs w:val="20"/>
        </w:rPr>
      </w:pPr>
      <w:r w:rsidRPr="00F249B4">
        <w:rPr>
          <w:sz w:val="20"/>
          <w:szCs w:val="20"/>
        </w:rPr>
        <w:t>*показатели СБР по состоянию на 1 сентября 2022 г.</w:t>
      </w:r>
    </w:p>
    <w:p w14:paraId="3F37DD9A" w14:textId="77777777" w:rsidR="008431CF" w:rsidRPr="001E614B" w:rsidRDefault="008431CF" w:rsidP="008431CF">
      <w:pPr>
        <w:spacing w:line="276" w:lineRule="auto"/>
        <w:ind w:firstLine="709"/>
        <w:contextualSpacing/>
        <w:jc w:val="both"/>
      </w:pPr>
    </w:p>
    <w:p w14:paraId="5D3D2A32" w14:textId="6EE0AC98" w:rsidR="008431CF" w:rsidRPr="001E614B" w:rsidRDefault="008431CF" w:rsidP="00F249B4">
      <w:pPr>
        <w:spacing w:line="360" w:lineRule="auto"/>
        <w:ind w:firstLine="709"/>
        <w:jc w:val="both"/>
        <w:rPr>
          <w:sz w:val="28"/>
          <w:szCs w:val="20"/>
        </w:rPr>
      </w:pPr>
      <w:r w:rsidRPr="001E614B">
        <w:rPr>
          <w:sz w:val="28"/>
          <w:szCs w:val="20"/>
        </w:rPr>
        <w:t xml:space="preserve">Предусмотренные в законопроекте объемы бюджетных ассигнований по сравнению с объемами, утвержденными Законом № 390-ФЗ, в 2023 году уменьшены на 118,2 </w:t>
      </w:r>
      <w:proofErr w:type="gramStart"/>
      <w:r w:rsidR="00E40C69">
        <w:rPr>
          <w:sz w:val="28"/>
          <w:szCs w:val="20"/>
        </w:rPr>
        <w:t>млн</w:t>
      </w:r>
      <w:proofErr w:type="gramEnd"/>
      <w:r w:rsidRPr="001E614B">
        <w:rPr>
          <w:sz w:val="28"/>
          <w:szCs w:val="20"/>
        </w:rPr>
        <w:t xml:space="preserve"> руб., в 2024 году – на 329,8 </w:t>
      </w:r>
      <w:r w:rsidR="00E40C69">
        <w:rPr>
          <w:sz w:val="28"/>
          <w:szCs w:val="20"/>
        </w:rPr>
        <w:t>млн</w:t>
      </w:r>
      <w:r w:rsidRPr="001E614B">
        <w:rPr>
          <w:sz w:val="28"/>
          <w:szCs w:val="20"/>
        </w:rPr>
        <w:t xml:space="preserve"> руб. При этом, доля в ВВП совокупных расходов на здравоохранение снижена с 4,1% в 2020 году до 3,6% в 2023 году.</w:t>
      </w:r>
    </w:p>
    <w:p w14:paraId="0E88A46C" w14:textId="3B294185" w:rsidR="008431CF" w:rsidRPr="008A0509" w:rsidRDefault="008431CF" w:rsidP="00F249B4">
      <w:pPr>
        <w:spacing w:line="360" w:lineRule="auto"/>
        <w:ind w:firstLine="709"/>
        <w:jc w:val="both"/>
        <w:rPr>
          <w:bCs/>
          <w:i/>
          <w:iCs/>
          <w:sz w:val="28"/>
          <w:szCs w:val="20"/>
        </w:rPr>
      </w:pPr>
      <w:r w:rsidRPr="001E614B">
        <w:rPr>
          <w:sz w:val="28"/>
          <w:szCs w:val="20"/>
        </w:rPr>
        <w:t>Основные параметры уменьшения коснулись именно тех проектов, которые призваны</w:t>
      </w:r>
      <w:r w:rsidR="00281131">
        <w:rPr>
          <w:sz w:val="28"/>
          <w:szCs w:val="20"/>
        </w:rPr>
        <w:t>,</w:t>
      </w:r>
      <w:r w:rsidRPr="001E614B">
        <w:rPr>
          <w:sz w:val="28"/>
          <w:szCs w:val="20"/>
        </w:rPr>
        <w:t xml:space="preserve"> в первую очередь</w:t>
      </w:r>
      <w:r w:rsidR="00281131">
        <w:rPr>
          <w:sz w:val="28"/>
          <w:szCs w:val="20"/>
        </w:rPr>
        <w:t>,</w:t>
      </w:r>
      <w:r w:rsidRPr="001E614B">
        <w:rPr>
          <w:sz w:val="28"/>
          <w:szCs w:val="20"/>
        </w:rPr>
        <w:t xml:space="preserve"> обеспечивать целевые задачи, а те которые увеличены, направлены на второстепенные задачи. Так и</w:t>
      </w:r>
      <w:r w:rsidRPr="001E614B">
        <w:rPr>
          <w:sz w:val="28"/>
          <w:szCs w:val="28"/>
        </w:rPr>
        <w:t>зменение п</w:t>
      </w:r>
      <w:r w:rsidRPr="001E614B">
        <w:rPr>
          <w:sz w:val="28"/>
          <w:szCs w:val="20"/>
        </w:rPr>
        <w:t xml:space="preserve">араметров финансового обеспечения </w:t>
      </w:r>
      <w:r w:rsidRPr="001E614B">
        <w:rPr>
          <w:spacing w:val="-1"/>
          <w:sz w:val="28"/>
          <w:szCs w:val="20"/>
        </w:rPr>
        <w:t xml:space="preserve">федерального проекта </w:t>
      </w:r>
      <w:r w:rsidRPr="008A0509">
        <w:rPr>
          <w:bCs/>
          <w:i/>
          <w:iCs/>
          <w:spacing w:val="-1"/>
          <w:sz w:val="28"/>
          <w:szCs w:val="20"/>
        </w:rPr>
        <w:t>«Развитие системы оказания первичной медико-санитарной помощи»</w:t>
      </w:r>
      <w:r w:rsidRPr="001E614B">
        <w:rPr>
          <w:spacing w:val="-1"/>
          <w:sz w:val="28"/>
          <w:szCs w:val="20"/>
        </w:rPr>
        <w:t xml:space="preserve"> </w:t>
      </w:r>
      <w:r w:rsidRPr="001E614B">
        <w:rPr>
          <w:sz w:val="28"/>
          <w:szCs w:val="28"/>
        </w:rPr>
        <w:t xml:space="preserve">обусловлено </w:t>
      </w:r>
      <w:r w:rsidRPr="008A0509">
        <w:rPr>
          <w:bCs/>
          <w:sz w:val="28"/>
          <w:szCs w:val="28"/>
        </w:rPr>
        <w:t>увеличением</w:t>
      </w:r>
      <w:r w:rsidRPr="001E614B">
        <w:rPr>
          <w:sz w:val="28"/>
          <w:szCs w:val="28"/>
        </w:rPr>
        <w:t xml:space="preserve"> бюджетных ассигнований на </w:t>
      </w:r>
      <w:r w:rsidRPr="001E614B">
        <w:rPr>
          <w:sz w:val="28"/>
          <w:szCs w:val="20"/>
        </w:rPr>
        <w:t>обеспечение закупки авиационных работ в целях оказания медицинской помощи на территории Дальневосточного федерального округа в 2023-2024 г</w:t>
      </w:r>
      <w:r w:rsidR="00F249B4">
        <w:rPr>
          <w:sz w:val="28"/>
          <w:szCs w:val="20"/>
        </w:rPr>
        <w:t>одах</w:t>
      </w:r>
      <w:r w:rsidRPr="001E614B">
        <w:rPr>
          <w:sz w:val="28"/>
          <w:szCs w:val="20"/>
        </w:rPr>
        <w:t xml:space="preserve"> на 2 000,0 </w:t>
      </w:r>
      <w:proofErr w:type="gramStart"/>
      <w:r w:rsidR="00E40C69">
        <w:rPr>
          <w:sz w:val="28"/>
          <w:szCs w:val="20"/>
        </w:rPr>
        <w:t>млн</w:t>
      </w:r>
      <w:proofErr w:type="gramEnd"/>
      <w:r w:rsidRPr="001E614B">
        <w:rPr>
          <w:sz w:val="28"/>
          <w:szCs w:val="20"/>
        </w:rPr>
        <w:t xml:space="preserve"> руб. ежегодно. То есть, вместо оказания </w:t>
      </w:r>
      <w:r w:rsidRPr="008A0509">
        <w:rPr>
          <w:bCs/>
          <w:i/>
          <w:iCs/>
          <w:spacing w:val="-1"/>
          <w:sz w:val="28"/>
          <w:szCs w:val="20"/>
        </w:rPr>
        <w:t xml:space="preserve">первичной медико-санитарной помощи на месте, в Бюджет закладывается </w:t>
      </w:r>
      <w:r w:rsidRPr="008A0509">
        <w:rPr>
          <w:bCs/>
          <w:i/>
          <w:iCs/>
          <w:sz w:val="28"/>
          <w:szCs w:val="20"/>
        </w:rPr>
        <w:t>закупка авиационных работ.</w:t>
      </w:r>
    </w:p>
    <w:p w14:paraId="2B18780F" w14:textId="6B37DE6F" w:rsidR="008431CF" w:rsidRPr="001E614B" w:rsidRDefault="008431CF" w:rsidP="00F249B4">
      <w:pPr>
        <w:autoSpaceDE w:val="0"/>
        <w:autoSpaceDN w:val="0"/>
        <w:adjustRightInd w:val="0"/>
        <w:spacing w:line="360" w:lineRule="auto"/>
        <w:ind w:firstLine="709"/>
        <w:jc w:val="both"/>
        <w:rPr>
          <w:sz w:val="28"/>
          <w:szCs w:val="20"/>
        </w:rPr>
      </w:pPr>
      <w:r w:rsidRPr="001E614B">
        <w:rPr>
          <w:sz w:val="28"/>
          <w:szCs w:val="28"/>
        </w:rPr>
        <w:t>Изменение п</w:t>
      </w:r>
      <w:r w:rsidRPr="001E614B">
        <w:rPr>
          <w:sz w:val="28"/>
          <w:szCs w:val="20"/>
        </w:rPr>
        <w:t xml:space="preserve">араметров финансового обеспечения </w:t>
      </w:r>
      <w:r w:rsidRPr="001E614B">
        <w:rPr>
          <w:spacing w:val="-1"/>
          <w:sz w:val="28"/>
          <w:szCs w:val="20"/>
        </w:rPr>
        <w:t xml:space="preserve">федерального проекта </w:t>
      </w:r>
      <w:r w:rsidRPr="008A0509">
        <w:rPr>
          <w:bCs/>
          <w:i/>
          <w:iCs/>
          <w:spacing w:val="-1"/>
          <w:sz w:val="28"/>
          <w:szCs w:val="20"/>
        </w:rPr>
        <w:t>«Борьба с сердечно-сосудистыми заболеваниями»</w:t>
      </w:r>
      <w:r w:rsidRPr="001E614B">
        <w:rPr>
          <w:spacing w:val="-1"/>
          <w:sz w:val="28"/>
          <w:szCs w:val="20"/>
        </w:rPr>
        <w:t xml:space="preserve"> </w:t>
      </w:r>
      <w:r w:rsidRPr="001E614B">
        <w:rPr>
          <w:sz w:val="28"/>
          <w:szCs w:val="28"/>
        </w:rPr>
        <w:t xml:space="preserve">обусловлено </w:t>
      </w:r>
      <w:r w:rsidRPr="008A0509">
        <w:rPr>
          <w:bCs/>
          <w:sz w:val="28"/>
          <w:szCs w:val="28"/>
        </w:rPr>
        <w:t xml:space="preserve">уменьшением </w:t>
      </w:r>
      <w:r w:rsidRPr="001E614B">
        <w:rPr>
          <w:sz w:val="28"/>
          <w:szCs w:val="28"/>
        </w:rPr>
        <w:t xml:space="preserve">бюджетных ассигнований на </w:t>
      </w:r>
      <w:r w:rsidRPr="001E614B">
        <w:rPr>
          <w:sz w:val="28"/>
          <w:szCs w:val="20"/>
        </w:rPr>
        <w:t xml:space="preserve">оснащение оборудованием региональных сосудистых центров и первичных сосудистых отделений в 2023 году на 806,8 </w:t>
      </w:r>
      <w:proofErr w:type="gramStart"/>
      <w:r w:rsidR="00E40C69">
        <w:rPr>
          <w:sz w:val="28"/>
          <w:szCs w:val="20"/>
        </w:rPr>
        <w:t>млн</w:t>
      </w:r>
      <w:proofErr w:type="gramEnd"/>
      <w:r w:rsidRPr="001E614B">
        <w:rPr>
          <w:sz w:val="28"/>
          <w:szCs w:val="20"/>
        </w:rPr>
        <w:t xml:space="preserve"> руб., в 2024 году на 1 454,8 </w:t>
      </w:r>
      <w:r w:rsidR="00E40C69">
        <w:rPr>
          <w:sz w:val="28"/>
          <w:szCs w:val="20"/>
        </w:rPr>
        <w:t>млн</w:t>
      </w:r>
      <w:r w:rsidRPr="001E614B">
        <w:rPr>
          <w:sz w:val="28"/>
          <w:szCs w:val="20"/>
        </w:rPr>
        <w:t xml:space="preserve"> руб.</w:t>
      </w:r>
    </w:p>
    <w:p w14:paraId="64C2B376" w14:textId="77777777" w:rsidR="008431CF" w:rsidRPr="001E614B" w:rsidRDefault="008431CF" w:rsidP="00F249B4">
      <w:pPr>
        <w:autoSpaceDE w:val="0"/>
        <w:autoSpaceDN w:val="0"/>
        <w:adjustRightInd w:val="0"/>
        <w:spacing w:line="360" w:lineRule="auto"/>
        <w:ind w:firstLine="709"/>
        <w:jc w:val="both"/>
        <w:rPr>
          <w:sz w:val="28"/>
          <w:szCs w:val="28"/>
        </w:rPr>
      </w:pPr>
      <w:r w:rsidRPr="001E614B">
        <w:rPr>
          <w:sz w:val="28"/>
          <w:szCs w:val="28"/>
        </w:rPr>
        <w:t>Изменение п</w:t>
      </w:r>
      <w:r w:rsidRPr="001E614B">
        <w:rPr>
          <w:sz w:val="28"/>
          <w:szCs w:val="20"/>
        </w:rPr>
        <w:t xml:space="preserve">араметров финансового обеспечения </w:t>
      </w:r>
      <w:r w:rsidRPr="001E614B">
        <w:rPr>
          <w:spacing w:val="-1"/>
          <w:sz w:val="28"/>
          <w:szCs w:val="20"/>
        </w:rPr>
        <w:t xml:space="preserve">федерального проекта </w:t>
      </w:r>
      <w:r w:rsidRPr="008A0509">
        <w:rPr>
          <w:bCs/>
          <w:i/>
          <w:iCs/>
          <w:spacing w:val="-1"/>
          <w:sz w:val="28"/>
          <w:szCs w:val="20"/>
        </w:rPr>
        <w:t>«Борьба с онкологическими заболеваниями»</w:t>
      </w:r>
      <w:r w:rsidRPr="001E614B">
        <w:rPr>
          <w:spacing w:val="-1"/>
          <w:sz w:val="28"/>
          <w:szCs w:val="20"/>
        </w:rPr>
        <w:t xml:space="preserve"> </w:t>
      </w:r>
      <w:r w:rsidRPr="001E614B">
        <w:rPr>
          <w:sz w:val="28"/>
          <w:szCs w:val="28"/>
        </w:rPr>
        <w:t xml:space="preserve">обусловлено </w:t>
      </w:r>
      <w:r w:rsidRPr="008A0509">
        <w:rPr>
          <w:bCs/>
          <w:sz w:val="28"/>
          <w:szCs w:val="28"/>
        </w:rPr>
        <w:t xml:space="preserve">уменьшением </w:t>
      </w:r>
      <w:r w:rsidRPr="001E614B">
        <w:rPr>
          <w:sz w:val="28"/>
          <w:szCs w:val="28"/>
        </w:rPr>
        <w:t xml:space="preserve">бюджетных ассигнований </w:t>
      </w:r>
      <w:proofErr w:type="gramStart"/>
      <w:r w:rsidRPr="001E614B">
        <w:rPr>
          <w:sz w:val="28"/>
          <w:szCs w:val="28"/>
        </w:rPr>
        <w:t>на</w:t>
      </w:r>
      <w:proofErr w:type="gramEnd"/>
      <w:r w:rsidRPr="001E614B">
        <w:rPr>
          <w:sz w:val="28"/>
          <w:szCs w:val="28"/>
        </w:rPr>
        <w:t>:</w:t>
      </w:r>
    </w:p>
    <w:p w14:paraId="1C6B91CF" w14:textId="20861B7C" w:rsidR="008431CF" w:rsidRPr="001E614B" w:rsidRDefault="008431CF" w:rsidP="00F249B4">
      <w:pPr>
        <w:pStyle w:val="a4"/>
        <w:numPr>
          <w:ilvl w:val="0"/>
          <w:numId w:val="11"/>
        </w:numPr>
        <w:autoSpaceDE w:val="0"/>
        <w:autoSpaceDN w:val="0"/>
        <w:adjustRightInd w:val="0"/>
        <w:spacing w:line="360" w:lineRule="auto"/>
        <w:contextualSpacing w:val="0"/>
        <w:jc w:val="both"/>
        <w:rPr>
          <w:sz w:val="28"/>
        </w:rPr>
      </w:pPr>
      <w:r w:rsidRPr="001E614B">
        <w:rPr>
          <w:sz w:val="28"/>
          <w:szCs w:val="28"/>
        </w:rPr>
        <w:t xml:space="preserve">переоснащение медицинских организаций, оказывающих медицинскую помощь больным с онкологическими заболеваниями </w:t>
      </w:r>
      <w:r w:rsidRPr="001E614B">
        <w:rPr>
          <w:sz w:val="28"/>
        </w:rPr>
        <w:t xml:space="preserve">в 2023 году на 510,6 </w:t>
      </w:r>
      <w:proofErr w:type="gramStart"/>
      <w:r w:rsidR="00E40C69">
        <w:rPr>
          <w:sz w:val="28"/>
        </w:rPr>
        <w:t>млн</w:t>
      </w:r>
      <w:proofErr w:type="gramEnd"/>
      <w:r w:rsidRPr="001E614B">
        <w:rPr>
          <w:sz w:val="28"/>
        </w:rPr>
        <w:t xml:space="preserve"> руб., в 2024 году на 500,0 </w:t>
      </w:r>
      <w:r w:rsidR="00E40C69">
        <w:rPr>
          <w:sz w:val="28"/>
        </w:rPr>
        <w:t>млн</w:t>
      </w:r>
      <w:r w:rsidRPr="001E614B">
        <w:rPr>
          <w:sz w:val="28"/>
        </w:rPr>
        <w:t xml:space="preserve"> руб.;</w:t>
      </w:r>
    </w:p>
    <w:p w14:paraId="65C560CD" w14:textId="006834B5" w:rsidR="008431CF" w:rsidRPr="001E614B" w:rsidRDefault="008431CF" w:rsidP="00F249B4">
      <w:pPr>
        <w:pStyle w:val="a4"/>
        <w:numPr>
          <w:ilvl w:val="0"/>
          <w:numId w:val="11"/>
        </w:numPr>
        <w:autoSpaceDE w:val="0"/>
        <w:autoSpaceDN w:val="0"/>
        <w:adjustRightInd w:val="0"/>
        <w:spacing w:line="360" w:lineRule="auto"/>
        <w:contextualSpacing w:val="0"/>
        <w:jc w:val="both"/>
        <w:rPr>
          <w:sz w:val="28"/>
        </w:rPr>
      </w:pPr>
      <w:r w:rsidRPr="001E614B">
        <w:rPr>
          <w:sz w:val="28"/>
        </w:rPr>
        <w:t xml:space="preserve">новое строительство и реконструкцию в 2023 году на 544,1 </w:t>
      </w:r>
      <w:proofErr w:type="gramStart"/>
      <w:r w:rsidR="00E40C69">
        <w:rPr>
          <w:sz w:val="28"/>
        </w:rPr>
        <w:t>млн</w:t>
      </w:r>
      <w:proofErr w:type="gramEnd"/>
      <w:r w:rsidRPr="001E614B">
        <w:rPr>
          <w:sz w:val="28"/>
        </w:rPr>
        <w:t xml:space="preserve"> руб., в 2024 году на 777,6 </w:t>
      </w:r>
      <w:r w:rsidR="00E40C69">
        <w:rPr>
          <w:sz w:val="28"/>
        </w:rPr>
        <w:t>млн</w:t>
      </w:r>
      <w:r w:rsidRPr="001E614B">
        <w:rPr>
          <w:sz w:val="28"/>
        </w:rPr>
        <w:t xml:space="preserve"> руб.;</w:t>
      </w:r>
    </w:p>
    <w:p w14:paraId="601F97ED" w14:textId="472CE263" w:rsidR="008431CF" w:rsidRPr="001E614B" w:rsidRDefault="008431CF" w:rsidP="00F249B4">
      <w:pPr>
        <w:autoSpaceDE w:val="0"/>
        <w:autoSpaceDN w:val="0"/>
        <w:adjustRightInd w:val="0"/>
        <w:spacing w:line="360" w:lineRule="auto"/>
        <w:ind w:firstLine="709"/>
        <w:jc w:val="both"/>
        <w:rPr>
          <w:sz w:val="28"/>
          <w:szCs w:val="20"/>
        </w:rPr>
      </w:pPr>
      <w:r w:rsidRPr="001E614B">
        <w:rPr>
          <w:sz w:val="28"/>
          <w:szCs w:val="28"/>
        </w:rPr>
        <w:t>Изменение п</w:t>
      </w:r>
      <w:r w:rsidRPr="001E614B">
        <w:rPr>
          <w:sz w:val="28"/>
          <w:szCs w:val="20"/>
        </w:rPr>
        <w:t xml:space="preserve">араметров финансового обеспечения </w:t>
      </w:r>
      <w:r w:rsidRPr="001E614B">
        <w:rPr>
          <w:spacing w:val="-1"/>
          <w:sz w:val="28"/>
          <w:szCs w:val="20"/>
        </w:rPr>
        <w:t xml:space="preserve">федерального проекта </w:t>
      </w:r>
      <w:r w:rsidRPr="008A0509">
        <w:rPr>
          <w:bCs/>
          <w:i/>
          <w:iCs/>
          <w:spacing w:val="-1"/>
          <w:sz w:val="28"/>
          <w:szCs w:val="20"/>
        </w:rPr>
        <w:t>«Развитие детского здравоохранения, включая создание современной инфраструктуры оказания медицинской помощи детям»</w:t>
      </w:r>
      <w:r w:rsidRPr="001E614B">
        <w:rPr>
          <w:spacing w:val="-1"/>
          <w:sz w:val="28"/>
          <w:szCs w:val="20"/>
        </w:rPr>
        <w:t xml:space="preserve"> </w:t>
      </w:r>
      <w:r w:rsidRPr="001E614B">
        <w:rPr>
          <w:sz w:val="28"/>
          <w:szCs w:val="28"/>
        </w:rPr>
        <w:t xml:space="preserve">обусловлено </w:t>
      </w:r>
      <w:r w:rsidRPr="008A0509">
        <w:rPr>
          <w:bCs/>
          <w:sz w:val="28"/>
          <w:szCs w:val="28"/>
        </w:rPr>
        <w:t>уменьшением</w:t>
      </w:r>
      <w:r w:rsidRPr="001E614B">
        <w:rPr>
          <w:sz w:val="28"/>
          <w:szCs w:val="28"/>
        </w:rPr>
        <w:t xml:space="preserve"> бюджетных ассигнований на новое строительство или реконструкцию детских больниц (корпусов) </w:t>
      </w:r>
      <w:r w:rsidRPr="001E614B">
        <w:rPr>
          <w:sz w:val="28"/>
          <w:szCs w:val="20"/>
        </w:rPr>
        <w:t xml:space="preserve">в 2023 году на 1 922,7 </w:t>
      </w:r>
      <w:proofErr w:type="gramStart"/>
      <w:r w:rsidR="00E40C69">
        <w:rPr>
          <w:sz w:val="28"/>
          <w:szCs w:val="20"/>
        </w:rPr>
        <w:t>млн</w:t>
      </w:r>
      <w:proofErr w:type="gramEnd"/>
      <w:r w:rsidRPr="001E614B">
        <w:rPr>
          <w:sz w:val="28"/>
          <w:szCs w:val="20"/>
        </w:rPr>
        <w:t xml:space="preserve"> руб., в 2024 году на 1 263,2 </w:t>
      </w:r>
      <w:r w:rsidR="00E40C69">
        <w:rPr>
          <w:sz w:val="28"/>
          <w:szCs w:val="20"/>
        </w:rPr>
        <w:t>млн</w:t>
      </w:r>
      <w:r w:rsidRPr="001E614B">
        <w:rPr>
          <w:sz w:val="28"/>
          <w:szCs w:val="20"/>
        </w:rPr>
        <w:t xml:space="preserve"> руб.</w:t>
      </w:r>
    </w:p>
    <w:p w14:paraId="371437D0" w14:textId="0226D493" w:rsidR="008431CF" w:rsidRPr="001E614B" w:rsidRDefault="008431CF" w:rsidP="00F249B4">
      <w:pPr>
        <w:autoSpaceDE w:val="0"/>
        <w:autoSpaceDN w:val="0"/>
        <w:adjustRightInd w:val="0"/>
        <w:spacing w:line="360" w:lineRule="auto"/>
        <w:ind w:firstLine="709"/>
        <w:jc w:val="both"/>
        <w:rPr>
          <w:sz w:val="28"/>
          <w:szCs w:val="20"/>
        </w:rPr>
      </w:pPr>
      <w:r w:rsidRPr="001E614B">
        <w:rPr>
          <w:sz w:val="28"/>
          <w:szCs w:val="28"/>
        </w:rPr>
        <w:t>Изменение п</w:t>
      </w:r>
      <w:r w:rsidRPr="001E614B">
        <w:rPr>
          <w:sz w:val="28"/>
          <w:szCs w:val="20"/>
        </w:rPr>
        <w:t xml:space="preserve">араметров финансового обеспечения </w:t>
      </w:r>
      <w:r w:rsidRPr="001E614B">
        <w:rPr>
          <w:spacing w:val="-1"/>
          <w:sz w:val="28"/>
          <w:szCs w:val="20"/>
        </w:rPr>
        <w:t xml:space="preserve">федерального проекта </w:t>
      </w:r>
      <w:r w:rsidRPr="008A0509">
        <w:rPr>
          <w:bCs/>
          <w:i/>
          <w:iCs/>
          <w:spacing w:val="-1"/>
          <w:sz w:val="28"/>
          <w:szCs w:val="20"/>
        </w:rPr>
        <w:t>«Развитие сети национальных медицинских исследовательских центров и внедрение инновационных медицинских технологий»</w:t>
      </w:r>
      <w:r w:rsidRPr="001E614B">
        <w:rPr>
          <w:spacing w:val="-1"/>
          <w:sz w:val="28"/>
          <w:szCs w:val="20"/>
        </w:rPr>
        <w:t xml:space="preserve"> </w:t>
      </w:r>
      <w:r w:rsidRPr="001E614B">
        <w:rPr>
          <w:sz w:val="28"/>
          <w:szCs w:val="28"/>
        </w:rPr>
        <w:t xml:space="preserve">обусловлено </w:t>
      </w:r>
      <w:r w:rsidRPr="008A0509">
        <w:rPr>
          <w:bCs/>
          <w:sz w:val="28"/>
          <w:szCs w:val="28"/>
        </w:rPr>
        <w:t>уменьшением</w:t>
      </w:r>
      <w:r w:rsidRPr="001E614B">
        <w:rPr>
          <w:sz w:val="28"/>
          <w:szCs w:val="28"/>
        </w:rPr>
        <w:t xml:space="preserve"> бюджетных ассигнований на формирование и функционирование сети Национальных медицинских исследовательских центров </w:t>
      </w:r>
      <w:r w:rsidRPr="001E614B">
        <w:rPr>
          <w:sz w:val="28"/>
          <w:szCs w:val="20"/>
        </w:rPr>
        <w:t xml:space="preserve">в 2023 году на 605,9 </w:t>
      </w:r>
      <w:proofErr w:type="gramStart"/>
      <w:r w:rsidR="00E40C69">
        <w:rPr>
          <w:sz w:val="28"/>
          <w:szCs w:val="20"/>
        </w:rPr>
        <w:t>млн</w:t>
      </w:r>
      <w:proofErr w:type="gramEnd"/>
      <w:r w:rsidRPr="001E614B">
        <w:rPr>
          <w:sz w:val="28"/>
          <w:szCs w:val="20"/>
        </w:rPr>
        <w:t xml:space="preserve"> руб., в 2024 году на 828,3 </w:t>
      </w:r>
      <w:r w:rsidR="00E40C69">
        <w:rPr>
          <w:sz w:val="28"/>
          <w:szCs w:val="20"/>
        </w:rPr>
        <w:t>млн</w:t>
      </w:r>
      <w:r w:rsidRPr="001E614B">
        <w:rPr>
          <w:sz w:val="28"/>
          <w:szCs w:val="20"/>
        </w:rPr>
        <w:t xml:space="preserve"> руб.</w:t>
      </w:r>
    </w:p>
    <w:p w14:paraId="1DAE02CD" w14:textId="7DE2D773" w:rsidR="008431CF" w:rsidRPr="001E614B" w:rsidRDefault="008431CF" w:rsidP="00F249B4">
      <w:pPr>
        <w:autoSpaceDE w:val="0"/>
        <w:autoSpaceDN w:val="0"/>
        <w:adjustRightInd w:val="0"/>
        <w:spacing w:line="360" w:lineRule="auto"/>
        <w:ind w:firstLine="709"/>
        <w:jc w:val="both"/>
        <w:rPr>
          <w:sz w:val="28"/>
          <w:szCs w:val="20"/>
        </w:rPr>
      </w:pPr>
      <w:r w:rsidRPr="001E614B">
        <w:rPr>
          <w:sz w:val="28"/>
          <w:szCs w:val="20"/>
        </w:rPr>
        <w:t xml:space="preserve">Общая сумма </w:t>
      </w:r>
      <w:r w:rsidRPr="008A0509">
        <w:rPr>
          <w:bCs/>
          <w:sz w:val="28"/>
          <w:szCs w:val="28"/>
        </w:rPr>
        <w:t>уменьшения</w:t>
      </w:r>
      <w:r w:rsidRPr="001E614B">
        <w:rPr>
          <w:sz w:val="28"/>
          <w:szCs w:val="28"/>
        </w:rPr>
        <w:t xml:space="preserve"> бюджетных ассигнований составит в 2023 году – 4390,1 </w:t>
      </w:r>
      <w:proofErr w:type="gramStart"/>
      <w:r w:rsidR="00E40C69">
        <w:rPr>
          <w:sz w:val="28"/>
          <w:szCs w:val="20"/>
        </w:rPr>
        <w:t>млн</w:t>
      </w:r>
      <w:proofErr w:type="gramEnd"/>
      <w:r w:rsidRPr="001E614B">
        <w:rPr>
          <w:sz w:val="28"/>
          <w:szCs w:val="20"/>
        </w:rPr>
        <w:t xml:space="preserve"> руб., в 2024 году – 4823,9 </w:t>
      </w:r>
      <w:r w:rsidR="00E40C69">
        <w:rPr>
          <w:sz w:val="28"/>
          <w:szCs w:val="20"/>
        </w:rPr>
        <w:t>млн</w:t>
      </w:r>
      <w:r w:rsidRPr="001E614B">
        <w:rPr>
          <w:sz w:val="28"/>
          <w:szCs w:val="20"/>
        </w:rPr>
        <w:t xml:space="preserve"> руб.</w:t>
      </w:r>
    </w:p>
    <w:p w14:paraId="37AE3CF4" w14:textId="1C03F8CD" w:rsidR="008431CF" w:rsidRPr="001E614B" w:rsidRDefault="008431CF" w:rsidP="00F249B4">
      <w:pPr>
        <w:autoSpaceDE w:val="0"/>
        <w:autoSpaceDN w:val="0"/>
        <w:adjustRightInd w:val="0"/>
        <w:spacing w:line="360" w:lineRule="auto"/>
        <w:ind w:firstLine="709"/>
        <w:jc w:val="both"/>
        <w:rPr>
          <w:sz w:val="28"/>
          <w:szCs w:val="20"/>
        </w:rPr>
      </w:pPr>
      <w:r w:rsidRPr="001E614B">
        <w:rPr>
          <w:sz w:val="28"/>
          <w:szCs w:val="20"/>
        </w:rPr>
        <w:t xml:space="preserve">Между тем, на создание информационных систем, программ, цифровых контуров предусматривается </w:t>
      </w:r>
      <w:r w:rsidRPr="00243BCF">
        <w:rPr>
          <w:bCs/>
          <w:sz w:val="28"/>
          <w:szCs w:val="20"/>
        </w:rPr>
        <w:t>увеличение</w:t>
      </w:r>
      <w:r w:rsidRPr="001E614B">
        <w:rPr>
          <w:b/>
          <w:sz w:val="28"/>
          <w:szCs w:val="20"/>
        </w:rPr>
        <w:t xml:space="preserve"> </w:t>
      </w:r>
      <w:r w:rsidRPr="001E614B">
        <w:rPr>
          <w:sz w:val="28"/>
          <w:szCs w:val="28"/>
        </w:rPr>
        <w:t xml:space="preserve">бюджетных ассигнований в 2023 году – 3430,7 </w:t>
      </w:r>
      <w:proofErr w:type="gramStart"/>
      <w:r w:rsidR="00E40C69">
        <w:rPr>
          <w:sz w:val="28"/>
          <w:szCs w:val="20"/>
        </w:rPr>
        <w:t>млн</w:t>
      </w:r>
      <w:proofErr w:type="gramEnd"/>
      <w:r w:rsidRPr="001E614B">
        <w:rPr>
          <w:sz w:val="28"/>
          <w:szCs w:val="20"/>
        </w:rPr>
        <w:t xml:space="preserve"> руб., в 2024 году – 3381,8 </w:t>
      </w:r>
      <w:r w:rsidR="00E40C69">
        <w:rPr>
          <w:sz w:val="28"/>
          <w:szCs w:val="20"/>
        </w:rPr>
        <w:t>млн</w:t>
      </w:r>
      <w:r w:rsidRPr="001E614B">
        <w:rPr>
          <w:sz w:val="28"/>
          <w:szCs w:val="20"/>
        </w:rPr>
        <w:t xml:space="preserve"> руб. Так, изменения в сторону увеличения отражены в следующих параметрах –</w:t>
      </w:r>
      <w:r w:rsidRPr="001E614B">
        <w:rPr>
          <w:sz w:val="28"/>
          <w:szCs w:val="28"/>
        </w:rPr>
        <w:t xml:space="preserve"> финансового обеспечения федерального проекта </w:t>
      </w:r>
      <w:r w:rsidRPr="00961049">
        <w:rPr>
          <w:bCs/>
          <w:i/>
          <w:iCs/>
          <w:sz w:val="28"/>
          <w:szCs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Pr="001E614B">
        <w:rPr>
          <w:b/>
          <w:sz w:val="28"/>
          <w:szCs w:val="28"/>
        </w:rPr>
        <w:t xml:space="preserve"> </w:t>
      </w:r>
      <w:r w:rsidRPr="001E614B">
        <w:rPr>
          <w:sz w:val="28"/>
          <w:szCs w:val="28"/>
        </w:rPr>
        <w:t xml:space="preserve">обусловлено </w:t>
      </w:r>
      <w:r w:rsidRPr="00961049">
        <w:rPr>
          <w:bCs/>
          <w:sz w:val="28"/>
          <w:szCs w:val="28"/>
        </w:rPr>
        <w:t xml:space="preserve">увеличением </w:t>
      </w:r>
      <w:r w:rsidRPr="001E614B">
        <w:rPr>
          <w:sz w:val="28"/>
          <w:szCs w:val="28"/>
        </w:rPr>
        <w:t>бюджетных ассигнований на:</w:t>
      </w:r>
    </w:p>
    <w:p w14:paraId="3265253F" w14:textId="6125D1EA" w:rsidR="008431CF" w:rsidRPr="001E614B" w:rsidRDefault="008431CF" w:rsidP="00F249B4">
      <w:pPr>
        <w:pStyle w:val="a4"/>
        <w:numPr>
          <w:ilvl w:val="0"/>
          <w:numId w:val="12"/>
        </w:numPr>
        <w:tabs>
          <w:tab w:val="left" w:pos="567"/>
        </w:tabs>
        <w:spacing w:line="360" w:lineRule="auto"/>
        <w:ind w:left="0" w:firstLine="709"/>
        <w:contextualSpacing w:val="0"/>
        <w:jc w:val="both"/>
        <w:rPr>
          <w:sz w:val="28"/>
          <w:szCs w:val="28"/>
        </w:rPr>
      </w:pPr>
      <w:r w:rsidRPr="001E614B">
        <w:rPr>
          <w:sz w:val="28"/>
          <w:szCs w:val="28"/>
        </w:rPr>
        <w:t xml:space="preserve">создание национальной цифровой платформы «Здоровье» в 2023-2024 годы на 2 070,0 </w:t>
      </w:r>
      <w:proofErr w:type="gramStart"/>
      <w:r w:rsidR="00E40C69">
        <w:rPr>
          <w:sz w:val="28"/>
          <w:szCs w:val="28"/>
        </w:rPr>
        <w:t>млн</w:t>
      </w:r>
      <w:proofErr w:type="gramEnd"/>
      <w:r w:rsidRPr="001E614B">
        <w:rPr>
          <w:sz w:val="28"/>
          <w:szCs w:val="28"/>
        </w:rPr>
        <w:t xml:space="preserve"> руб. ежегодно;</w:t>
      </w:r>
    </w:p>
    <w:p w14:paraId="6D52BC19" w14:textId="0B14BF3A" w:rsidR="008431CF" w:rsidRPr="001E614B" w:rsidRDefault="008431CF" w:rsidP="00F249B4">
      <w:pPr>
        <w:pStyle w:val="a4"/>
        <w:numPr>
          <w:ilvl w:val="0"/>
          <w:numId w:val="12"/>
        </w:numPr>
        <w:tabs>
          <w:tab w:val="left" w:pos="567"/>
        </w:tabs>
        <w:spacing w:line="360" w:lineRule="auto"/>
        <w:ind w:left="0" w:firstLine="709"/>
        <w:contextualSpacing w:val="0"/>
        <w:jc w:val="both"/>
        <w:rPr>
          <w:sz w:val="28"/>
          <w:szCs w:val="28"/>
        </w:rPr>
      </w:pPr>
      <w:r w:rsidRPr="001E614B">
        <w:rPr>
          <w:sz w:val="28"/>
          <w:szCs w:val="28"/>
        </w:rPr>
        <w:t xml:space="preserve">внедрение медицинских информационных систем, обеспечение информационного взаимодействия с подсистемами единой государственной информационной системы в сфере здравоохранения (ЕГИСЗ) и с другими отраслевыми информационными системами при оказании медицинской помощи гражданам в 2023 году на 690,0 </w:t>
      </w:r>
      <w:proofErr w:type="gramStart"/>
      <w:r w:rsidR="00E40C69">
        <w:rPr>
          <w:sz w:val="28"/>
          <w:szCs w:val="28"/>
        </w:rPr>
        <w:t>млн</w:t>
      </w:r>
      <w:proofErr w:type="gramEnd"/>
      <w:r w:rsidRPr="001E614B">
        <w:rPr>
          <w:sz w:val="28"/>
          <w:szCs w:val="28"/>
        </w:rPr>
        <w:t xml:space="preserve"> руб., в 2024 году на 638,7 </w:t>
      </w:r>
      <w:r w:rsidR="00E40C69">
        <w:rPr>
          <w:sz w:val="28"/>
          <w:szCs w:val="28"/>
        </w:rPr>
        <w:t>млн</w:t>
      </w:r>
      <w:r w:rsidRPr="001E614B">
        <w:rPr>
          <w:sz w:val="28"/>
          <w:szCs w:val="28"/>
        </w:rPr>
        <w:t xml:space="preserve"> руб.;</w:t>
      </w:r>
    </w:p>
    <w:p w14:paraId="1A06FF99" w14:textId="02E4B46B" w:rsidR="008431CF" w:rsidRPr="001E614B" w:rsidRDefault="008431CF" w:rsidP="00F249B4">
      <w:pPr>
        <w:pStyle w:val="a4"/>
        <w:numPr>
          <w:ilvl w:val="0"/>
          <w:numId w:val="12"/>
        </w:numPr>
        <w:tabs>
          <w:tab w:val="left" w:pos="567"/>
        </w:tabs>
        <w:spacing w:line="360" w:lineRule="auto"/>
        <w:ind w:left="0" w:firstLine="709"/>
        <w:contextualSpacing w:val="0"/>
        <w:jc w:val="both"/>
        <w:rPr>
          <w:sz w:val="28"/>
          <w:szCs w:val="28"/>
        </w:rPr>
      </w:pPr>
      <w:r w:rsidRPr="001E614B">
        <w:rPr>
          <w:sz w:val="28"/>
          <w:szCs w:val="28"/>
        </w:rPr>
        <w:t xml:space="preserve">методическую поддержку и координацию реализации мероприятий федерального проекта, разработку требований к подсистемам государственных информационных систем в сфере здравоохранения субъектов Российской Федерации в 2023 году на 300,0 </w:t>
      </w:r>
      <w:proofErr w:type="gramStart"/>
      <w:r w:rsidR="00E40C69">
        <w:rPr>
          <w:sz w:val="28"/>
          <w:szCs w:val="28"/>
        </w:rPr>
        <w:t>млн</w:t>
      </w:r>
      <w:proofErr w:type="gramEnd"/>
      <w:r w:rsidRPr="001E614B">
        <w:rPr>
          <w:sz w:val="28"/>
          <w:szCs w:val="28"/>
        </w:rPr>
        <w:t xml:space="preserve"> руб., в 2024 году на 302,0 </w:t>
      </w:r>
      <w:r w:rsidR="00E40C69">
        <w:rPr>
          <w:sz w:val="28"/>
          <w:szCs w:val="28"/>
        </w:rPr>
        <w:t>млн</w:t>
      </w:r>
      <w:r w:rsidRPr="001E614B">
        <w:rPr>
          <w:sz w:val="28"/>
          <w:szCs w:val="28"/>
        </w:rPr>
        <w:t xml:space="preserve"> руб.;</w:t>
      </w:r>
    </w:p>
    <w:p w14:paraId="19885572" w14:textId="7BF713E1" w:rsidR="008431CF" w:rsidRPr="001E614B" w:rsidRDefault="008431CF" w:rsidP="00F249B4">
      <w:pPr>
        <w:pStyle w:val="a4"/>
        <w:numPr>
          <w:ilvl w:val="0"/>
          <w:numId w:val="12"/>
        </w:numPr>
        <w:tabs>
          <w:tab w:val="left" w:pos="567"/>
        </w:tabs>
        <w:spacing w:line="360" w:lineRule="auto"/>
        <w:ind w:left="0" w:firstLine="709"/>
        <w:contextualSpacing w:val="0"/>
        <w:jc w:val="both"/>
        <w:rPr>
          <w:sz w:val="28"/>
          <w:szCs w:val="28"/>
        </w:rPr>
      </w:pPr>
      <w:r w:rsidRPr="001E614B">
        <w:rPr>
          <w:sz w:val="28"/>
          <w:szCs w:val="28"/>
        </w:rPr>
        <w:t xml:space="preserve">создание и обеспечение эксплуатации отраслевого ситуационного центра в сфере здравоохранения в 2023 году на 98,0 </w:t>
      </w:r>
      <w:proofErr w:type="gramStart"/>
      <w:r w:rsidR="00E40C69">
        <w:rPr>
          <w:sz w:val="28"/>
          <w:szCs w:val="28"/>
        </w:rPr>
        <w:t>млн</w:t>
      </w:r>
      <w:proofErr w:type="gramEnd"/>
      <w:r w:rsidRPr="001E614B">
        <w:rPr>
          <w:sz w:val="28"/>
          <w:szCs w:val="28"/>
        </w:rPr>
        <w:t xml:space="preserve"> руб., в 2024 году на 98,4 </w:t>
      </w:r>
      <w:r w:rsidR="00E40C69">
        <w:rPr>
          <w:sz w:val="28"/>
          <w:szCs w:val="28"/>
        </w:rPr>
        <w:t>млн</w:t>
      </w:r>
      <w:r w:rsidRPr="001E614B">
        <w:rPr>
          <w:sz w:val="28"/>
          <w:szCs w:val="28"/>
        </w:rPr>
        <w:t xml:space="preserve"> руб.;</w:t>
      </w:r>
    </w:p>
    <w:p w14:paraId="1E42A71F" w14:textId="5724409B" w:rsidR="008431CF" w:rsidRPr="001E614B" w:rsidRDefault="008431CF" w:rsidP="00F249B4">
      <w:pPr>
        <w:pStyle w:val="a4"/>
        <w:numPr>
          <w:ilvl w:val="0"/>
          <w:numId w:val="12"/>
        </w:numPr>
        <w:tabs>
          <w:tab w:val="left" w:pos="567"/>
        </w:tabs>
        <w:spacing w:line="360" w:lineRule="auto"/>
        <w:ind w:left="0" w:firstLine="709"/>
        <w:contextualSpacing w:val="0"/>
        <w:jc w:val="both"/>
        <w:rPr>
          <w:sz w:val="28"/>
          <w:szCs w:val="28"/>
        </w:rPr>
      </w:pPr>
      <w:r w:rsidRPr="001E614B">
        <w:rPr>
          <w:sz w:val="28"/>
          <w:szCs w:val="28"/>
        </w:rPr>
        <w:t xml:space="preserve">обеспечение механизма взаимодействия медицинских организаций за счет создания и развития подсистем единой государственной информационной системы в сфере здравоохранения (ЕГИСЗ), формирующего единый цифровой контур здравоохранения, в 2023-2024 годы на 272,7 </w:t>
      </w:r>
      <w:proofErr w:type="gramStart"/>
      <w:r w:rsidR="00E40C69">
        <w:rPr>
          <w:sz w:val="28"/>
          <w:szCs w:val="28"/>
        </w:rPr>
        <w:t>млн</w:t>
      </w:r>
      <w:proofErr w:type="gramEnd"/>
      <w:r w:rsidRPr="001E614B">
        <w:rPr>
          <w:sz w:val="28"/>
          <w:szCs w:val="28"/>
        </w:rPr>
        <w:t xml:space="preserve"> руб. ежегодно.</w:t>
      </w:r>
    </w:p>
    <w:p w14:paraId="7E120648" w14:textId="72DCE93F" w:rsidR="008431CF" w:rsidRPr="001E614B" w:rsidRDefault="008431CF" w:rsidP="00F249B4">
      <w:pPr>
        <w:spacing w:line="360" w:lineRule="auto"/>
        <w:ind w:firstLine="709"/>
        <w:contextualSpacing/>
        <w:jc w:val="both"/>
        <w:rPr>
          <w:sz w:val="28"/>
          <w:szCs w:val="28"/>
        </w:rPr>
      </w:pPr>
      <w:r w:rsidRPr="001E614B">
        <w:rPr>
          <w:sz w:val="28"/>
          <w:szCs w:val="28"/>
        </w:rPr>
        <w:t xml:space="preserve">Определенное беспокойство вызывает обеспеченность лекарственными средствами. Так, при рассмотрении </w:t>
      </w:r>
      <w:r w:rsidR="0083643C">
        <w:rPr>
          <w:sz w:val="28"/>
          <w:szCs w:val="28"/>
        </w:rPr>
        <w:t>Законопроекта</w:t>
      </w:r>
      <w:r w:rsidRPr="001E614B">
        <w:rPr>
          <w:sz w:val="28"/>
          <w:szCs w:val="28"/>
        </w:rPr>
        <w:t xml:space="preserve"> на заседани</w:t>
      </w:r>
      <w:r w:rsidR="0083643C">
        <w:rPr>
          <w:sz w:val="28"/>
          <w:szCs w:val="28"/>
        </w:rPr>
        <w:t>и</w:t>
      </w:r>
      <w:r w:rsidRPr="001E614B">
        <w:rPr>
          <w:sz w:val="28"/>
          <w:szCs w:val="28"/>
        </w:rPr>
        <w:t xml:space="preserve"> Комитета Государственной Думы по охране здоровья было отмечено, что «расходы на лекарственное обеспечение не подлежали сокращению. На лечение 14 </w:t>
      </w:r>
      <w:proofErr w:type="spellStart"/>
      <w:r w:rsidRPr="001E614B">
        <w:rPr>
          <w:sz w:val="28"/>
          <w:szCs w:val="28"/>
        </w:rPr>
        <w:t>высокозатратных</w:t>
      </w:r>
      <w:proofErr w:type="spellEnd"/>
      <w:r w:rsidRPr="001E614B">
        <w:rPr>
          <w:sz w:val="28"/>
          <w:szCs w:val="28"/>
        </w:rPr>
        <w:t xml:space="preserve"> нозологий предусмотрено 64 </w:t>
      </w:r>
      <w:proofErr w:type="gramStart"/>
      <w:r w:rsidR="009C4461">
        <w:rPr>
          <w:sz w:val="28"/>
          <w:szCs w:val="28"/>
        </w:rPr>
        <w:t>млрд</w:t>
      </w:r>
      <w:proofErr w:type="gramEnd"/>
      <w:r w:rsidRPr="001E614B">
        <w:rPr>
          <w:sz w:val="28"/>
          <w:szCs w:val="28"/>
        </w:rPr>
        <w:t xml:space="preserve"> руб. в 2021 году и 66,9 </w:t>
      </w:r>
      <w:r w:rsidR="009C4461">
        <w:rPr>
          <w:sz w:val="28"/>
          <w:szCs w:val="28"/>
        </w:rPr>
        <w:t>млрд</w:t>
      </w:r>
      <w:r w:rsidRPr="001E614B">
        <w:rPr>
          <w:sz w:val="28"/>
          <w:szCs w:val="28"/>
        </w:rPr>
        <w:t xml:space="preserve"> руб. ежегодно в 2022-2023 г</w:t>
      </w:r>
      <w:r w:rsidR="0083643C">
        <w:rPr>
          <w:sz w:val="28"/>
          <w:szCs w:val="28"/>
        </w:rPr>
        <w:t>одах. П</w:t>
      </w:r>
      <w:r w:rsidRPr="001E614B">
        <w:rPr>
          <w:sz w:val="28"/>
          <w:szCs w:val="28"/>
        </w:rPr>
        <w:t xml:space="preserve">роиндексирован норматив финансовых затрат на обеспечение лекарственными препаратами отдельных категорий граждан с 860,6 руб. до 886,4 руб.». То есть, индексация лекарственных препаратов </w:t>
      </w:r>
      <w:r w:rsidR="0083643C">
        <w:rPr>
          <w:sz w:val="28"/>
          <w:szCs w:val="28"/>
        </w:rPr>
        <w:t>составила</w:t>
      </w:r>
      <w:r w:rsidRPr="001E614B">
        <w:rPr>
          <w:sz w:val="28"/>
          <w:szCs w:val="28"/>
        </w:rPr>
        <w:t xml:space="preserve"> 3,0%, что даже ниже официальной инфляции.</w:t>
      </w:r>
    </w:p>
    <w:p w14:paraId="1487F6F0" w14:textId="7044474D" w:rsidR="008431CF" w:rsidRPr="001E614B" w:rsidRDefault="008431CF" w:rsidP="00F249B4">
      <w:pPr>
        <w:spacing w:line="360" w:lineRule="auto"/>
        <w:ind w:firstLine="709"/>
        <w:contextualSpacing/>
        <w:jc w:val="both"/>
        <w:rPr>
          <w:color w:val="000000"/>
          <w:sz w:val="28"/>
          <w:szCs w:val="28"/>
        </w:rPr>
      </w:pPr>
      <w:r w:rsidRPr="001E614B">
        <w:rPr>
          <w:sz w:val="28"/>
          <w:szCs w:val="28"/>
        </w:rPr>
        <w:t>Между тем,</w:t>
      </w:r>
      <w:r w:rsidRPr="001E614B">
        <w:rPr>
          <w:color w:val="000000"/>
          <w:sz w:val="28"/>
          <w:szCs w:val="28"/>
        </w:rPr>
        <w:t xml:space="preserve"> только в марте 2022 года по данным Росстата лекарственные препараты, не относящиеся к жизненно необходимым и важнейшим лекарственным препаратам (ЖНВЛП) подорожали на 15,3% </w:t>
      </w:r>
      <w:r>
        <w:rPr>
          <w:color w:val="000000"/>
          <w:sz w:val="28"/>
          <w:szCs w:val="28"/>
        </w:rPr>
        <w:t>(</w:t>
      </w:r>
      <w:r w:rsidRPr="001E614B">
        <w:rPr>
          <w:color w:val="000000"/>
          <w:sz w:val="28"/>
          <w:szCs w:val="28"/>
        </w:rPr>
        <w:t xml:space="preserve">в том числе </w:t>
      </w:r>
      <w:proofErr w:type="spellStart"/>
      <w:r w:rsidRPr="001E614B">
        <w:rPr>
          <w:color w:val="000000"/>
          <w:sz w:val="28"/>
          <w:szCs w:val="28"/>
        </w:rPr>
        <w:t>канефрон</w:t>
      </w:r>
      <w:proofErr w:type="spellEnd"/>
      <w:r w:rsidRPr="001E614B">
        <w:rPr>
          <w:color w:val="000000"/>
          <w:sz w:val="28"/>
          <w:szCs w:val="28"/>
        </w:rPr>
        <w:t xml:space="preserve"> Н – на 25,6%, </w:t>
      </w:r>
      <w:proofErr w:type="spellStart"/>
      <w:r w:rsidRPr="001E614B">
        <w:rPr>
          <w:color w:val="000000"/>
          <w:sz w:val="28"/>
          <w:szCs w:val="28"/>
        </w:rPr>
        <w:t>мидокалм</w:t>
      </w:r>
      <w:proofErr w:type="spellEnd"/>
      <w:r w:rsidRPr="001E614B">
        <w:rPr>
          <w:color w:val="000000"/>
          <w:sz w:val="28"/>
          <w:szCs w:val="28"/>
        </w:rPr>
        <w:t xml:space="preserve"> – на 20,8%, </w:t>
      </w:r>
      <w:proofErr w:type="spellStart"/>
      <w:r w:rsidRPr="001E614B">
        <w:rPr>
          <w:color w:val="000000"/>
          <w:sz w:val="28"/>
          <w:szCs w:val="28"/>
        </w:rPr>
        <w:t>корвалол</w:t>
      </w:r>
      <w:proofErr w:type="spellEnd"/>
      <w:r w:rsidRPr="001E614B">
        <w:rPr>
          <w:color w:val="000000"/>
          <w:sz w:val="28"/>
          <w:szCs w:val="28"/>
        </w:rPr>
        <w:t xml:space="preserve"> – на 20,3%, </w:t>
      </w:r>
      <w:proofErr w:type="spellStart"/>
      <w:r w:rsidRPr="001E614B">
        <w:rPr>
          <w:color w:val="000000"/>
          <w:sz w:val="28"/>
          <w:szCs w:val="28"/>
        </w:rPr>
        <w:t>троксерутин</w:t>
      </w:r>
      <w:proofErr w:type="spellEnd"/>
      <w:r w:rsidRPr="001E614B">
        <w:rPr>
          <w:color w:val="000000"/>
          <w:sz w:val="28"/>
          <w:szCs w:val="28"/>
        </w:rPr>
        <w:t xml:space="preserve">, </w:t>
      </w:r>
      <w:proofErr w:type="spellStart"/>
      <w:r w:rsidRPr="001E614B">
        <w:rPr>
          <w:color w:val="000000"/>
          <w:sz w:val="28"/>
          <w:szCs w:val="28"/>
        </w:rPr>
        <w:t>афобазол</w:t>
      </w:r>
      <w:proofErr w:type="spellEnd"/>
      <w:r w:rsidRPr="001E614B">
        <w:rPr>
          <w:color w:val="000000"/>
          <w:sz w:val="28"/>
          <w:szCs w:val="28"/>
        </w:rPr>
        <w:t xml:space="preserve">, </w:t>
      </w:r>
      <w:proofErr w:type="spellStart"/>
      <w:r w:rsidRPr="001E614B">
        <w:rPr>
          <w:color w:val="000000"/>
          <w:sz w:val="28"/>
          <w:szCs w:val="28"/>
        </w:rPr>
        <w:t>синупрет</w:t>
      </w:r>
      <w:proofErr w:type="spellEnd"/>
      <w:r w:rsidRPr="001E614B">
        <w:rPr>
          <w:color w:val="000000"/>
          <w:sz w:val="28"/>
          <w:szCs w:val="28"/>
        </w:rPr>
        <w:t xml:space="preserve">, </w:t>
      </w:r>
      <w:proofErr w:type="spellStart"/>
      <w:r w:rsidRPr="001E614B">
        <w:rPr>
          <w:color w:val="000000"/>
          <w:sz w:val="28"/>
          <w:szCs w:val="28"/>
        </w:rPr>
        <w:t>магне</w:t>
      </w:r>
      <w:proofErr w:type="spellEnd"/>
      <w:r w:rsidRPr="001E614B">
        <w:rPr>
          <w:color w:val="000000"/>
          <w:sz w:val="28"/>
          <w:szCs w:val="28"/>
        </w:rPr>
        <w:t xml:space="preserve"> В</w:t>
      </w:r>
      <w:proofErr w:type="gramStart"/>
      <w:r w:rsidRPr="001E614B">
        <w:rPr>
          <w:color w:val="000000"/>
          <w:sz w:val="28"/>
          <w:szCs w:val="28"/>
        </w:rPr>
        <w:t>6</w:t>
      </w:r>
      <w:proofErr w:type="gramEnd"/>
      <w:r w:rsidRPr="001E614B">
        <w:rPr>
          <w:color w:val="000000"/>
          <w:sz w:val="28"/>
          <w:szCs w:val="28"/>
        </w:rPr>
        <w:t xml:space="preserve">, </w:t>
      </w:r>
      <w:proofErr w:type="spellStart"/>
      <w:r w:rsidRPr="001E614B">
        <w:rPr>
          <w:color w:val="000000"/>
          <w:sz w:val="28"/>
          <w:szCs w:val="28"/>
        </w:rPr>
        <w:t>левомеколь</w:t>
      </w:r>
      <w:proofErr w:type="spellEnd"/>
      <w:r w:rsidRPr="001E614B">
        <w:rPr>
          <w:color w:val="000000"/>
          <w:sz w:val="28"/>
          <w:szCs w:val="28"/>
        </w:rPr>
        <w:t xml:space="preserve">, </w:t>
      </w:r>
      <w:proofErr w:type="spellStart"/>
      <w:r w:rsidRPr="001E614B">
        <w:rPr>
          <w:color w:val="000000"/>
          <w:sz w:val="28"/>
          <w:szCs w:val="28"/>
        </w:rPr>
        <w:t>мирамистин</w:t>
      </w:r>
      <w:proofErr w:type="spellEnd"/>
      <w:r w:rsidRPr="001E614B">
        <w:rPr>
          <w:color w:val="000000"/>
          <w:sz w:val="28"/>
          <w:szCs w:val="28"/>
        </w:rPr>
        <w:t xml:space="preserve"> – на 17,1-19,1%, </w:t>
      </w:r>
      <w:proofErr w:type="spellStart"/>
      <w:r w:rsidRPr="001E614B">
        <w:rPr>
          <w:color w:val="000000"/>
          <w:sz w:val="28"/>
          <w:szCs w:val="28"/>
        </w:rPr>
        <w:t>метамизол</w:t>
      </w:r>
      <w:proofErr w:type="spellEnd"/>
      <w:r w:rsidRPr="001E614B">
        <w:rPr>
          <w:color w:val="000000"/>
          <w:sz w:val="28"/>
          <w:szCs w:val="28"/>
        </w:rPr>
        <w:t xml:space="preserve"> натрия, комбинированные анальгетики, </w:t>
      </w:r>
      <w:proofErr w:type="spellStart"/>
      <w:r w:rsidRPr="001E614B">
        <w:rPr>
          <w:color w:val="000000"/>
          <w:sz w:val="28"/>
          <w:szCs w:val="28"/>
        </w:rPr>
        <w:t>алмагель</w:t>
      </w:r>
      <w:proofErr w:type="spellEnd"/>
      <w:r w:rsidRPr="001E614B">
        <w:rPr>
          <w:color w:val="000000"/>
          <w:sz w:val="28"/>
          <w:szCs w:val="28"/>
        </w:rPr>
        <w:t xml:space="preserve">, поливитамины, </w:t>
      </w:r>
      <w:proofErr w:type="spellStart"/>
      <w:r w:rsidRPr="001E614B">
        <w:rPr>
          <w:color w:val="000000"/>
          <w:sz w:val="28"/>
          <w:szCs w:val="28"/>
        </w:rPr>
        <w:t>эссенциале</w:t>
      </w:r>
      <w:proofErr w:type="spellEnd"/>
      <w:r w:rsidRPr="001E614B">
        <w:rPr>
          <w:color w:val="000000"/>
          <w:sz w:val="28"/>
          <w:szCs w:val="28"/>
        </w:rPr>
        <w:t xml:space="preserve"> форте Н, </w:t>
      </w:r>
      <w:proofErr w:type="spellStart"/>
      <w:r w:rsidRPr="001E614B">
        <w:rPr>
          <w:color w:val="000000"/>
          <w:sz w:val="28"/>
          <w:szCs w:val="28"/>
        </w:rPr>
        <w:t>нимесулид</w:t>
      </w:r>
      <w:proofErr w:type="spellEnd"/>
      <w:r w:rsidRPr="001E614B">
        <w:rPr>
          <w:color w:val="000000"/>
          <w:sz w:val="28"/>
          <w:szCs w:val="28"/>
        </w:rPr>
        <w:t xml:space="preserve">, активированный уголь, </w:t>
      </w:r>
      <w:proofErr w:type="gramStart"/>
      <w:r w:rsidRPr="001E614B">
        <w:rPr>
          <w:color w:val="000000"/>
          <w:sz w:val="28"/>
          <w:szCs w:val="28"/>
        </w:rPr>
        <w:t xml:space="preserve">таурин, </w:t>
      </w:r>
      <w:proofErr w:type="spellStart"/>
      <w:r w:rsidRPr="001E614B">
        <w:rPr>
          <w:color w:val="000000"/>
          <w:sz w:val="28"/>
          <w:szCs w:val="28"/>
        </w:rPr>
        <w:t>метилурацил</w:t>
      </w:r>
      <w:proofErr w:type="spellEnd"/>
      <w:r w:rsidRPr="001E614B">
        <w:rPr>
          <w:color w:val="000000"/>
          <w:sz w:val="28"/>
          <w:szCs w:val="28"/>
        </w:rPr>
        <w:t xml:space="preserve">, </w:t>
      </w:r>
      <w:proofErr w:type="spellStart"/>
      <w:r w:rsidRPr="001E614B">
        <w:rPr>
          <w:color w:val="000000"/>
          <w:sz w:val="28"/>
          <w:szCs w:val="28"/>
        </w:rPr>
        <w:t>аципол</w:t>
      </w:r>
      <w:proofErr w:type="spellEnd"/>
      <w:r w:rsidRPr="001E614B">
        <w:rPr>
          <w:color w:val="000000"/>
          <w:sz w:val="28"/>
          <w:szCs w:val="28"/>
        </w:rPr>
        <w:t xml:space="preserve"> – на 15,0-16,6%</w:t>
      </w:r>
      <w:r>
        <w:rPr>
          <w:color w:val="000000"/>
          <w:sz w:val="28"/>
          <w:szCs w:val="28"/>
        </w:rPr>
        <w:t>)</w:t>
      </w:r>
      <w:r w:rsidRPr="001E614B">
        <w:rPr>
          <w:color w:val="000000"/>
          <w:sz w:val="28"/>
          <w:szCs w:val="28"/>
        </w:rPr>
        <w:t>.</w:t>
      </w:r>
      <w:proofErr w:type="gramEnd"/>
      <w:r>
        <w:rPr>
          <w:color w:val="000000"/>
          <w:sz w:val="28"/>
          <w:szCs w:val="28"/>
        </w:rPr>
        <w:t xml:space="preserve"> </w:t>
      </w:r>
      <w:proofErr w:type="gramStart"/>
      <w:r w:rsidRPr="001E614B">
        <w:rPr>
          <w:color w:val="000000"/>
          <w:sz w:val="28"/>
          <w:szCs w:val="28"/>
        </w:rPr>
        <w:t xml:space="preserve">Согласно данным DSM </w:t>
      </w:r>
      <w:proofErr w:type="spellStart"/>
      <w:r w:rsidRPr="001E614B">
        <w:rPr>
          <w:color w:val="000000"/>
          <w:sz w:val="28"/>
          <w:szCs w:val="28"/>
        </w:rPr>
        <w:t>Group</w:t>
      </w:r>
      <w:proofErr w:type="spellEnd"/>
      <w:r w:rsidRPr="001E614B">
        <w:rPr>
          <w:color w:val="000000"/>
          <w:sz w:val="28"/>
          <w:szCs w:val="28"/>
        </w:rPr>
        <w:t>, больше всего за полгода в России подорожала группа противопаразитных препаратов, в которые включили также инсектициды и репелленты – на 19,4%. На втором месте препараты для лечения заболеваний кожи – рост составил 10,9%, на третьем – препараты для лечения урогенитальных органов и половые гормоны – 9,3%.</w:t>
      </w:r>
      <w:r>
        <w:rPr>
          <w:color w:val="000000"/>
          <w:sz w:val="28"/>
          <w:szCs w:val="28"/>
        </w:rPr>
        <w:t xml:space="preserve"> </w:t>
      </w:r>
      <w:r w:rsidRPr="001E614B">
        <w:rPr>
          <w:color w:val="000000"/>
          <w:sz w:val="28"/>
          <w:szCs w:val="28"/>
        </w:rPr>
        <w:t>В сентябре 2022 года по данным Росстата цены на лекарственные препараты, не относящиеся к жизненно</w:t>
      </w:r>
      <w:proofErr w:type="gramEnd"/>
      <w:r w:rsidRPr="001E614B">
        <w:rPr>
          <w:color w:val="000000"/>
          <w:sz w:val="28"/>
          <w:szCs w:val="28"/>
        </w:rPr>
        <w:t xml:space="preserve"> необходимым и важнейшим лекарственным препаратам, в среднем выросли на 0,9%. Лекарственные препараты из перечня ЖНВЛП в среднем подорожали на 0,3%</w:t>
      </w:r>
      <w:r>
        <w:rPr>
          <w:color w:val="000000"/>
          <w:sz w:val="28"/>
          <w:szCs w:val="28"/>
        </w:rPr>
        <w:t>.</w:t>
      </w:r>
      <w:r w:rsidRPr="001E614B">
        <w:rPr>
          <w:color w:val="000000"/>
          <w:sz w:val="28"/>
          <w:szCs w:val="28"/>
        </w:rPr>
        <w:t> </w:t>
      </w:r>
    </w:p>
    <w:p w14:paraId="6FC6C213" w14:textId="2CB29D00" w:rsidR="004A457A" w:rsidRDefault="004A457A" w:rsidP="00F249B4">
      <w:pPr>
        <w:spacing w:line="360" w:lineRule="auto"/>
        <w:ind w:firstLine="360"/>
        <w:jc w:val="both"/>
        <w:rPr>
          <w:b/>
          <w:sz w:val="28"/>
          <w:szCs w:val="28"/>
        </w:rPr>
      </w:pPr>
    </w:p>
    <w:p w14:paraId="5BCE64B0" w14:textId="27A3EC26" w:rsidR="004E6D1F" w:rsidRPr="0096730A" w:rsidRDefault="004E6D1F" w:rsidP="0096730A">
      <w:pPr>
        <w:pStyle w:val="a4"/>
        <w:numPr>
          <w:ilvl w:val="1"/>
          <w:numId w:val="19"/>
        </w:numPr>
        <w:autoSpaceDE w:val="0"/>
        <w:autoSpaceDN w:val="0"/>
        <w:adjustRightInd w:val="0"/>
        <w:spacing w:line="360" w:lineRule="auto"/>
        <w:jc w:val="both"/>
        <w:rPr>
          <w:sz w:val="28"/>
          <w:szCs w:val="28"/>
        </w:rPr>
      </w:pPr>
      <w:r w:rsidRPr="0096730A">
        <w:rPr>
          <w:b/>
          <w:sz w:val="28"/>
          <w:szCs w:val="28"/>
        </w:rPr>
        <w:t>Национальный проект «</w:t>
      </w:r>
      <w:r w:rsidRPr="0096730A">
        <w:rPr>
          <w:b/>
          <w:sz w:val="28"/>
          <w:szCs w:val="20"/>
        </w:rPr>
        <w:t>Культура»</w:t>
      </w:r>
      <w:r w:rsidRPr="001E614B">
        <w:rPr>
          <w:rStyle w:val="aa"/>
          <w:b/>
          <w:szCs w:val="20"/>
        </w:rPr>
        <w:footnoteReference w:id="24"/>
      </w:r>
    </w:p>
    <w:p w14:paraId="17F996FF" w14:textId="12546147" w:rsidR="004E6D1F" w:rsidRDefault="004E6D1F" w:rsidP="00F249B4">
      <w:pPr>
        <w:spacing w:line="360" w:lineRule="auto"/>
        <w:ind w:firstLine="709"/>
        <w:contextualSpacing/>
        <w:jc w:val="both"/>
        <w:rPr>
          <w:sz w:val="28"/>
          <w:szCs w:val="20"/>
        </w:rPr>
      </w:pPr>
      <w:r w:rsidRPr="001E614B">
        <w:rPr>
          <w:sz w:val="28"/>
          <w:szCs w:val="20"/>
        </w:rPr>
        <w:t xml:space="preserve">Бюджетные ассигнования на финансовое обеспечение реализации национального проекта «Культура» запланированы в 2023 году в объеме 54 063,9 </w:t>
      </w:r>
      <w:proofErr w:type="gramStart"/>
      <w:r w:rsidR="00E40C69">
        <w:rPr>
          <w:sz w:val="28"/>
          <w:szCs w:val="20"/>
        </w:rPr>
        <w:t>млн</w:t>
      </w:r>
      <w:proofErr w:type="gramEnd"/>
      <w:r>
        <w:rPr>
          <w:sz w:val="28"/>
          <w:szCs w:val="20"/>
        </w:rPr>
        <w:t xml:space="preserve"> руб.</w:t>
      </w:r>
      <w:r w:rsidRPr="001E614B">
        <w:rPr>
          <w:sz w:val="28"/>
          <w:szCs w:val="20"/>
        </w:rPr>
        <w:t xml:space="preserve">, в 2024 году </w:t>
      </w:r>
      <w:r>
        <w:rPr>
          <w:sz w:val="28"/>
          <w:szCs w:val="20"/>
        </w:rPr>
        <w:t>–</w:t>
      </w:r>
      <w:r w:rsidRPr="001E614B">
        <w:rPr>
          <w:sz w:val="28"/>
          <w:szCs w:val="20"/>
        </w:rPr>
        <w:t xml:space="preserve"> 47 170,1 </w:t>
      </w:r>
      <w:r w:rsidR="00E40C69">
        <w:rPr>
          <w:sz w:val="28"/>
          <w:szCs w:val="20"/>
        </w:rPr>
        <w:t>млн</w:t>
      </w:r>
      <w:r>
        <w:rPr>
          <w:sz w:val="28"/>
          <w:szCs w:val="20"/>
        </w:rPr>
        <w:t xml:space="preserve"> руб.</w:t>
      </w:r>
      <w:r w:rsidRPr="001E614B">
        <w:rPr>
          <w:sz w:val="28"/>
          <w:szCs w:val="20"/>
        </w:rPr>
        <w:t xml:space="preserve"> </w:t>
      </w:r>
      <w:r>
        <w:rPr>
          <w:sz w:val="28"/>
          <w:szCs w:val="20"/>
        </w:rPr>
        <w:t>(табл.</w:t>
      </w:r>
      <w:r w:rsidRPr="001E614B">
        <w:rPr>
          <w:sz w:val="28"/>
          <w:szCs w:val="20"/>
        </w:rPr>
        <w:t xml:space="preserve"> </w:t>
      </w:r>
      <w:r w:rsidR="00A72021">
        <w:rPr>
          <w:sz w:val="28"/>
          <w:szCs w:val="20"/>
        </w:rPr>
        <w:t>2</w:t>
      </w:r>
      <w:r w:rsidR="00901ACF">
        <w:rPr>
          <w:sz w:val="28"/>
          <w:szCs w:val="20"/>
        </w:rPr>
        <w:t>0</w:t>
      </w:r>
      <w:r>
        <w:rPr>
          <w:sz w:val="28"/>
          <w:szCs w:val="20"/>
        </w:rPr>
        <w:t>)</w:t>
      </w:r>
      <w:r w:rsidRPr="001E614B">
        <w:rPr>
          <w:sz w:val="28"/>
          <w:szCs w:val="20"/>
        </w:rPr>
        <w:t>.</w:t>
      </w:r>
    </w:p>
    <w:p w14:paraId="1F8D4C30" w14:textId="77777777" w:rsidR="00716DF3" w:rsidRPr="001E614B" w:rsidRDefault="00716DF3" w:rsidP="004E6D1F">
      <w:pPr>
        <w:spacing w:line="276" w:lineRule="auto"/>
        <w:ind w:firstLine="709"/>
        <w:contextualSpacing/>
        <w:jc w:val="both"/>
        <w:rPr>
          <w:color w:val="000000"/>
          <w:sz w:val="28"/>
          <w:szCs w:val="28"/>
        </w:rPr>
      </w:pPr>
    </w:p>
    <w:p w14:paraId="5D226D0E" w14:textId="7B97A75C" w:rsidR="004E6D1F" w:rsidRPr="0083643C" w:rsidRDefault="004E6D1F" w:rsidP="0083643C">
      <w:pPr>
        <w:contextualSpacing/>
        <w:jc w:val="both"/>
        <w:rPr>
          <w:bCs/>
          <w:sz w:val="28"/>
          <w:szCs w:val="28"/>
        </w:rPr>
      </w:pPr>
      <w:r w:rsidRPr="0083643C">
        <w:rPr>
          <w:bCs/>
          <w:sz w:val="28"/>
          <w:szCs w:val="28"/>
        </w:rPr>
        <w:t xml:space="preserve">Таблица </w:t>
      </w:r>
      <w:r w:rsidR="00A72021" w:rsidRPr="0083643C">
        <w:rPr>
          <w:bCs/>
          <w:sz w:val="28"/>
          <w:szCs w:val="28"/>
        </w:rPr>
        <w:t>2</w:t>
      </w:r>
      <w:r w:rsidR="00901ACF">
        <w:rPr>
          <w:bCs/>
          <w:sz w:val="28"/>
          <w:szCs w:val="28"/>
        </w:rPr>
        <w:t>0</w:t>
      </w:r>
      <w:r w:rsidR="0083643C">
        <w:rPr>
          <w:bCs/>
          <w:sz w:val="28"/>
          <w:szCs w:val="28"/>
        </w:rPr>
        <w:t xml:space="preserve"> - </w:t>
      </w:r>
      <w:r w:rsidRPr="0083643C">
        <w:rPr>
          <w:bCs/>
          <w:sz w:val="28"/>
          <w:szCs w:val="28"/>
        </w:rPr>
        <w:t>Бюджетные ассигнования на финансовое обеспечение реализации национального проекта «Культура» (</w:t>
      </w:r>
      <w:proofErr w:type="gramStart"/>
      <w:r w:rsidR="00E40C69" w:rsidRPr="0083643C">
        <w:rPr>
          <w:bCs/>
          <w:sz w:val="28"/>
          <w:szCs w:val="28"/>
        </w:rPr>
        <w:t>млн</w:t>
      </w:r>
      <w:proofErr w:type="gramEnd"/>
      <w:r w:rsidRPr="0083643C">
        <w:rPr>
          <w:bCs/>
          <w:sz w:val="28"/>
          <w:szCs w:val="28"/>
        </w:rPr>
        <w:t xml:space="preserve"> руб.)</w:t>
      </w:r>
    </w:p>
    <w:tbl>
      <w:tblPr>
        <w:tblW w:w="9639" w:type="dxa"/>
        <w:tblInd w:w="108" w:type="dxa"/>
        <w:tblLook w:val="04A0" w:firstRow="1" w:lastRow="0" w:firstColumn="1" w:lastColumn="0" w:noHBand="0" w:noVBand="1"/>
      </w:tblPr>
      <w:tblGrid>
        <w:gridCol w:w="2049"/>
        <w:gridCol w:w="1036"/>
        <w:gridCol w:w="1261"/>
        <w:gridCol w:w="1151"/>
        <w:gridCol w:w="1104"/>
        <w:gridCol w:w="1065"/>
        <w:gridCol w:w="1096"/>
        <w:gridCol w:w="877"/>
      </w:tblGrid>
      <w:tr w:rsidR="004E6D1F" w:rsidRPr="00716DF3" w14:paraId="25BEE3AE" w14:textId="77777777" w:rsidTr="0083643C">
        <w:trPr>
          <w:trHeight w:val="272"/>
          <w:tblHead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BEA9AD" w14:textId="77777777" w:rsidR="004E6D1F" w:rsidRPr="00716DF3" w:rsidRDefault="004E6D1F">
            <w:pPr>
              <w:jc w:val="center"/>
              <w:rPr>
                <w:b/>
                <w:iCs/>
                <w:color w:val="000000"/>
                <w:sz w:val="20"/>
                <w:szCs w:val="20"/>
              </w:rPr>
            </w:pPr>
            <w:r w:rsidRPr="00716DF3">
              <w:rPr>
                <w:b/>
                <w:iCs/>
                <w:color w:val="000000"/>
                <w:sz w:val="20"/>
                <w:szCs w:val="20"/>
              </w:rPr>
              <w:t>Наименование</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80016E" w14:textId="77777777" w:rsidR="004E6D1F" w:rsidRPr="00716DF3" w:rsidRDefault="004E6D1F">
            <w:pPr>
              <w:jc w:val="center"/>
              <w:rPr>
                <w:b/>
                <w:color w:val="000000"/>
                <w:sz w:val="20"/>
                <w:szCs w:val="20"/>
              </w:rPr>
            </w:pPr>
            <w:r w:rsidRPr="00716DF3">
              <w:rPr>
                <w:b/>
                <w:color w:val="000000"/>
                <w:sz w:val="20"/>
                <w:szCs w:val="20"/>
              </w:rPr>
              <w:t>2022 год*</w:t>
            </w:r>
          </w:p>
        </w:tc>
        <w:tc>
          <w:tcPr>
            <w:tcW w:w="3516" w:type="dxa"/>
            <w:gridSpan w:val="3"/>
            <w:tcBorders>
              <w:top w:val="single" w:sz="4" w:space="0" w:color="auto"/>
              <w:left w:val="nil"/>
              <w:bottom w:val="single" w:sz="4" w:space="0" w:color="auto"/>
              <w:right w:val="single" w:sz="4" w:space="0" w:color="000000"/>
            </w:tcBorders>
            <w:shd w:val="clear" w:color="auto" w:fill="auto"/>
            <w:vAlign w:val="center"/>
            <w:hideMark/>
          </w:tcPr>
          <w:p w14:paraId="0EC3998D" w14:textId="77777777" w:rsidR="004E6D1F" w:rsidRPr="00716DF3" w:rsidRDefault="004E6D1F">
            <w:pPr>
              <w:jc w:val="center"/>
              <w:rPr>
                <w:b/>
                <w:color w:val="000000"/>
                <w:sz w:val="20"/>
                <w:szCs w:val="20"/>
              </w:rPr>
            </w:pPr>
            <w:r w:rsidRPr="00716DF3">
              <w:rPr>
                <w:b/>
                <w:color w:val="000000"/>
                <w:sz w:val="20"/>
                <w:szCs w:val="20"/>
              </w:rPr>
              <w:t>2023 год</w:t>
            </w:r>
          </w:p>
        </w:tc>
        <w:tc>
          <w:tcPr>
            <w:tcW w:w="3038" w:type="dxa"/>
            <w:gridSpan w:val="3"/>
            <w:tcBorders>
              <w:top w:val="single" w:sz="4" w:space="0" w:color="auto"/>
              <w:left w:val="nil"/>
              <w:bottom w:val="single" w:sz="4" w:space="0" w:color="auto"/>
              <w:right w:val="single" w:sz="4" w:space="0" w:color="000000"/>
            </w:tcBorders>
            <w:shd w:val="clear" w:color="auto" w:fill="auto"/>
            <w:vAlign w:val="center"/>
            <w:hideMark/>
          </w:tcPr>
          <w:p w14:paraId="00E67FBB" w14:textId="77777777" w:rsidR="004E6D1F" w:rsidRPr="00716DF3" w:rsidRDefault="004E6D1F">
            <w:pPr>
              <w:jc w:val="center"/>
              <w:rPr>
                <w:b/>
                <w:color w:val="000000"/>
                <w:sz w:val="20"/>
                <w:szCs w:val="20"/>
              </w:rPr>
            </w:pPr>
            <w:r w:rsidRPr="00716DF3">
              <w:rPr>
                <w:b/>
                <w:color w:val="000000"/>
                <w:sz w:val="20"/>
                <w:szCs w:val="20"/>
              </w:rPr>
              <w:t>2024 год</w:t>
            </w:r>
          </w:p>
        </w:tc>
      </w:tr>
      <w:tr w:rsidR="004E6D1F" w:rsidRPr="00716DF3" w14:paraId="34926E10" w14:textId="77777777" w:rsidTr="0083643C">
        <w:trPr>
          <w:trHeight w:val="437"/>
          <w:tblHeader/>
        </w:trPr>
        <w:tc>
          <w:tcPr>
            <w:tcW w:w="2049" w:type="dxa"/>
            <w:vMerge/>
            <w:tcBorders>
              <w:top w:val="single" w:sz="4" w:space="0" w:color="auto"/>
              <w:left w:val="single" w:sz="4" w:space="0" w:color="auto"/>
              <w:bottom w:val="single" w:sz="4" w:space="0" w:color="000000"/>
              <w:right w:val="single" w:sz="4" w:space="0" w:color="auto"/>
            </w:tcBorders>
            <w:vAlign w:val="center"/>
            <w:hideMark/>
          </w:tcPr>
          <w:p w14:paraId="27314D46" w14:textId="77777777" w:rsidR="004E6D1F" w:rsidRPr="00716DF3" w:rsidRDefault="004E6D1F">
            <w:pPr>
              <w:rPr>
                <w:b/>
                <w:iCs/>
                <w:color w:val="000000"/>
                <w:sz w:val="20"/>
                <w:szCs w:val="20"/>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14:paraId="296E4B36" w14:textId="77777777" w:rsidR="004E6D1F" w:rsidRPr="00716DF3" w:rsidRDefault="004E6D1F">
            <w:pPr>
              <w:rPr>
                <w:b/>
                <w:color w:val="000000"/>
                <w:sz w:val="20"/>
                <w:szCs w:val="20"/>
              </w:rPr>
            </w:pPr>
          </w:p>
        </w:tc>
        <w:tc>
          <w:tcPr>
            <w:tcW w:w="1261" w:type="dxa"/>
            <w:tcBorders>
              <w:top w:val="nil"/>
              <w:left w:val="nil"/>
              <w:bottom w:val="single" w:sz="4" w:space="0" w:color="auto"/>
              <w:right w:val="single" w:sz="4" w:space="0" w:color="auto"/>
            </w:tcBorders>
            <w:shd w:val="clear" w:color="auto" w:fill="auto"/>
            <w:vAlign w:val="center"/>
            <w:hideMark/>
          </w:tcPr>
          <w:p w14:paraId="07483179" w14:textId="77777777" w:rsidR="004E6D1F" w:rsidRPr="00716DF3" w:rsidRDefault="004E6D1F">
            <w:pPr>
              <w:jc w:val="center"/>
              <w:rPr>
                <w:b/>
                <w:color w:val="000000"/>
                <w:sz w:val="20"/>
                <w:szCs w:val="20"/>
              </w:rPr>
            </w:pPr>
            <w:r w:rsidRPr="00716DF3">
              <w:rPr>
                <w:b/>
                <w:color w:val="000000"/>
                <w:sz w:val="20"/>
                <w:szCs w:val="20"/>
              </w:rPr>
              <w:t xml:space="preserve">Закон </w:t>
            </w:r>
            <w:r w:rsidRPr="00716DF3">
              <w:rPr>
                <w:b/>
                <w:color w:val="000000"/>
                <w:sz w:val="20"/>
                <w:szCs w:val="20"/>
              </w:rPr>
              <w:br/>
              <w:t>№ 390-ФЗ</w:t>
            </w:r>
          </w:p>
        </w:tc>
        <w:tc>
          <w:tcPr>
            <w:tcW w:w="1151" w:type="dxa"/>
            <w:tcBorders>
              <w:top w:val="nil"/>
              <w:left w:val="nil"/>
              <w:bottom w:val="single" w:sz="4" w:space="0" w:color="auto"/>
              <w:right w:val="single" w:sz="4" w:space="0" w:color="auto"/>
            </w:tcBorders>
            <w:shd w:val="clear" w:color="auto" w:fill="auto"/>
            <w:vAlign w:val="center"/>
            <w:hideMark/>
          </w:tcPr>
          <w:p w14:paraId="779E986D" w14:textId="77777777" w:rsidR="004E6D1F" w:rsidRPr="00716DF3" w:rsidRDefault="004E6D1F">
            <w:pPr>
              <w:jc w:val="center"/>
              <w:rPr>
                <w:b/>
                <w:color w:val="000000"/>
                <w:sz w:val="20"/>
                <w:szCs w:val="20"/>
              </w:rPr>
            </w:pPr>
            <w:proofErr w:type="spellStart"/>
            <w:r w:rsidRPr="00716DF3">
              <w:rPr>
                <w:b/>
                <w:color w:val="000000"/>
                <w:sz w:val="20"/>
                <w:szCs w:val="20"/>
              </w:rPr>
              <w:t>Закон</w:t>
            </w:r>
            <w:proofErr w:type="gramStart"/>
            <w:r w:rsidRPr="00716DF3">
              <w:rPr>
                <w:b/>
                <w:color w:val="000000"/>
                <w:sz w:val="20"/>
                <w:szCs w:val="20"/>
              </w:rPr>
              <w:t>о</w:t>
            </w:r>
            <w:proofErr w:type="spellEnd"/>
            <w:r w:rsidRPr="00716DF3">
              <w:rPr>
                <w:b/>
                <w:color w:val="000000"/>
                <w:sz w:val="20"/>
                <w:szCs w:val="20"/>
              </w:rPr>
              <w:t>-</w:t>
            </w:r>
            <w:proofErr w:type="gramEnd"/>
            <w:r w:rsidRPr="00716DF3">
              <w:rPr>
                <w:b/>
                <w:color w:val="000000"/>
                <w:sz w:val="20"/>
                <w:szCs w:val="20"/>
              </w:rPr>
              <w:br/>
              <w:t>проект</w:t>
            </w:r>
          </w:p>
        </w:tc>
        <w:tc>
          <w:tcPr>
            <w:tcW w:w="1104" w:type="dxa"/>
            <w:tcBorders>
              <w:top w:val="nil"/>
              <w:left w:val="nil"/>
              <w:bottom w:val="single" w:sz="4" w:space="0" w:color="auto"/>
              <w:right w:val="single" w:sz="4" w:space="0" w:color="auto"/>
            </w:tcBorders>
            <w:shd w:val="clear" w:color="auto" w:fill="auto"/>
            <w:vAlign w:val="center"/>
            <w:hideMark/>
          </w:tcPr>
          <w:p w14:paraId="1A4A8F44" w14:textId="77777777" w:rsidR="004E6D1F" w:rsidRPr="00716DF3" w:rsidRDefault="004E6D1F">
            <w:pPr>
              <w:jc w:val="center"/>
              <w:rPr>
                <w:b/>
                <w:color w:val="000000"/>
                <w:sz w:val="20"/>
                <w:szCs w:val="20"/>
              </w:rPr>
            </w:pPr>
            <w:r w:rsidRPr="00716DF3">
              <w:rPr>
                <w:b/>
                <w:color w:val="000000"/>
                <w:sz w:val="20"/>
                <w:szCs w:val="20"/>
              </w:rPr>
              <w:t>Δ к закону, %</w:t>
            </w:r>
          </w:p>
        </w:tc>
        <w:tc>
          <w:tcPr>
            <w:tcW w:w="1065" w:type="dxa"/>
            <w:tcBorders>
              <w:top w:val="nil"/>
              <w:left w:val="nil"/>
              <w:bottom w:val="single" w:sz="4" w:space="0" w:color="auto"/>
              <w:right w:val="single" w:sz="4" w:space="0" w:color="auto"/>
            </w:tcBorders>
            <w:shd w:val="clear" w:color="auto" w:fill="auto"/>
            <w:vAlign w:val="center"/>
            <w:hideMark/>
          </w:tcPr>
          <w:p w14:paraId="3966D0BC" w14:textId="77777777" w:rsidR="004E6D1F" w:rsidRPr="00716DF3" w:rsidRDefault="004E6D1F">
            <w:pPr>
              <w:jc w:val="center"/>
              <w:rPr>
                <w:b/>
                <w:color w:val="000000"/>
                <w:sz w:val="20"/>
                <w:szCs w:val="20"/>
              </w:rPr>
            </w:pPr>
            <w:r w:rsidRPr="00716DF3">
              <w:rPr>
                <w:b/>
                <w:color w:val="000000"/>
                <w:sz w:val="20"/>
                <w:szCs w:val="20"/>
              </w:rPr>
              <w:t xml:space="preserve">Закон </w:t>
            </w:r>
            <w:r w:rsidRPr="00716DF3">
              <w:rPr>
                <w:b/>
                <w:color w:val="000000"/>
                <w:sz w:val="20"/>
                <w:szCs w:val="20"/>
              </w:rPr>
              <w:br/>
              <w:t>№ 390-ФЗ</w:t>
            </w:r>
          </w:p>
        </w:tc>
        <w:tc>
          <w:tcPr>
            <w:tcW w:w="1096" w:type="dxa"/>
            <w:tcBorders>
              <w:top w:val="nil"/>
              <w:left w:val="nil"/>
              <w:bottom w:val="single" w:sz="4" w:space="0" w:color="auto"/>
              <w:right w:val="single" w:sz="4" w:space="0" w:color="auto"/>
            </w:tcBorders>
            <w:shd w:val="clear" w:color="auto" w:fill="auto"/>
            <w:vAlign w:val="center"/>
            <w:hideMark/>
          </w:tcPr>
          <w:p w14:paraId="38629C81" w14:textId="77777777" w:rsidR="004E6D1F" w:rsidRPr="00716DF3" w:rsidRDefault="004E6D1F">
            <w:pPr>
              <w:jc w:val="center"/>
              <w:rPr>
                <w:b/>
                <w:color w:val="000000"/>
                <w:sz w:val="20"/>
                <w:szCs w:val="20"/>
              </w:rPr>
            </w:pPr>
            <w:proofErr w:type="spellStart"/>
            <w:r w:rsidRPr="00716DF3">
              <w:rPr>
                <w:b/>
                <w:color w:val="000000"/>
                <w:sz w:val="20"/>
                <w:szCs w:val="20"/>
              </w:rPr>
              <w:t>Закон</w:t>
            </w:r>
            <w:proofErr w:type="gramStart"/>
            <w:r w:rsidRPr="00716DF3">
              <w:rPr>
                <w:b/>
                <w:color w:val="000000"/>
                <w:sz w:val="20"/>
                <w:szCs w:val="20"/>
              </w:rPr>
              <w:t>о</w:t>
            </w:r>
            <w:proofErr w:type="spellEnd"/>
            <w:r w:rsidRPr="00716DF3">
              <w:rPr>
                <w:b/>
                <w:color w:val="000000"/>
                <w:sz w:val="20"/>
                <w:szCs w:val="20"/>
              </w:rPr>
              <w:t>-</w:t>
            </w:r>
            <w:proofErr w:type="gramEnd"/>
            <w:r w:rsidRPr="00716DF3">
              <w:rPr>
                <w:b/>
                <w:color w:val="000000"/>
                <w:sz w:val="20"/>
                <w:szCs w:val="20"/>
              </w:rPr>
              <w:br/>
              <w:t>проект</w:t>
            </w:r>
          </w:p>
        </w:tc>
        <w:tc>
          <w:tcPr>
            <w:tcW w:w="877" w:type="dxa"/>
            <w:tcBorders>
              <w:top w:val="nil"/>
              <w:left w:val="nil"/>
              <w:bottom w:val="single" w:sz="4" w:space="0" w:color="auto"/>
              <w:right w:val="single" w:sz="4" w:space="0" w:color="auto"/>
            </w:tcBorders>
            <w:shd w:val="clear" w:color="auto" w:fill="auto"/>
            <w:vAlign w:val="center"/>
            <w:hideMark/>
          </w:tcPr>
          <w:p w14:paraId="3A1AE365" w14:textId="77777777" w:rsidR="004E6D1F" w:rsidRPr="00716DF3" w:rsidRDefault="004E6D1F">
            <w:pPr>
              <w:jc w:val="center"/>
              <w:rPr>
                <w:b/>
                <w:color w:val="000000"/>
                <w:sz w:val="20"/>
                <w:szCs w:val="20"/>
              </w:rPr>
            </w:pPr>
            <w:r w:rsidRPr="00716DF3">
              <w:rPr>
                <w:b/>
                <w:color w:val="000000"/>
                <w:sz w:val="20"/>
                <w:szCs w:val="20"/>
              </w:rPr>
              <w:t>Δ к закону, %</w:t>
            </w:r>
          </w:p>
        </w:tc>
      </w:tr>
      <w:tr w:rsidR="004E6D1F" w:rsidRPr="001E614B" w14:paraId="6332B1E5" w14:textId="77777777" w:rsidTr="0083643C">
        <w:trPr>
          <w:trHeight w:val="218"/>
          <w:tblHeader/>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70952384" w14:textId="77777777" w:rsidR="004E6D1F" w:rsidRPr="001E614B" w:rsidRDefault="004E6D1F">
            <w:pPr>
              <w:jc w:val="center"/>
              <w:rPr>
                <w:color w:val="000000"/>
                <w:sz w:val="13"/>
                <w:szCs w:val="13"/>
              </w:rPr>
            </w:pPr>
            <w:r w:rsidRPr="001E614B">
              <w:rPr>
                <w:color w:val="000000"/>
                <w:sz w:val="13"/>
                <w:szCs w:val="13"/>
              </w:rPr>
              <w:t>1</w:t>
            </w:r>
          </w:p>
        </w:tc>
        <w:tc>
          <w:tcPr>
            <w:tcW w:w="1036" w:type="dxa"/>
            <w:tcBorders>
              <w:top w:val="nil"/>
              <w:left w:val="nil"/>
              <w:bottom w:val="single" w:sz="4" w:space="0" w:color="auto"/>
              <w:right w:val="single" w:sz="4" w:space="0" w:color="auto"/>
            </w:tcBorders>
            <w:shd w:val="clear" w:color="auto" w:fill="auto"/>
            <w:vAlign w:val="center"/>
            <w:hideMark/>
          </w:tcPr>
          <w:p w14:paraId="248078A3" w14:textId="77777777" w:rsidR="004E6D1F" w:rsidRPr="001E614B" w:rsidRDefault="004E6D1F">
            <w:pPr>
              <w:jc w:val="center"/>
              <w:rPr>
                <w:color w:val="000000"/>
                <w:sz w:val="13"/>
                <w:szCs w:val="13"/>
              </w:rPr>
            </w:pPr>
            <w:r w:rsidRPr="001E614B">
              <w:rPr>
                <w:color w:val="000000"/>
                <w:sz w:val="13"/>
                <w:szCs w:val="13"/>
              </w:rPr>
              <w:t>2</w:t>
            </w:r>
          </w:p>
        </w:tc>
        <w:tc>
          <w:tcPr>
            <w:tcW w:w="1261" w:type="dxa"/>
            <w:tcBorders>
              <w:top w:val="nil"/>
              <w:left w:val="nil"/>
              <w:bottom w:val="single" w:sz="4" w:space="0" w:color="auto"/>
              <w:right w:val="single" w:sz="4" w:space="0" w:color="auto"/>
            </w:tcBorders>
            <w:shd w:val="clear" w:color="auto" w:fill="auto"/>
            <w:vAlign w:val="center"/>
            <w:hideMark/>
          </w:tcPr>
          <w:p w14:paraId="6FA0DE74" w14:textId="77777777" w:rsidR="004E6D1F" w:rsidRPr="001E614B" w:rsidRDefault="004E6D1F">
            <w:pPr>
              <w:jc w:val="center"/>
              <w:rPr>
                <w:color w:val="000000"/>
                <w:sz w:val="13"/>
                <w:szCs w:val="13"/>
              </w:rPr>
            </w:pPr>
            <w:r w:rsidRPr="001E614B">
              <w:rPr>
                <w:color w:val="000000"/>
                <w:sz w:val="13"/>
                <w:szCs w:val="13"/>
              </w:rPr>
              <w:t>3</w:t>
            </w:r>
          </w:p>
        </w:tc>
        <w:tc>
          <w:tcPr>
            <w:tcW w:w="1151" w:type="dxa"/>
            <w:tcBorders>
              <w:top w:val="nil"/>
              <w:left w:val="nil"/>
              <w:bottom w:val="single" w:sz="4" w:space="0" w:color="auto"/>
              <w:right w:val="single" w:sz="4" w:space="0" w:color="auto"/>
            </w:tcBorders>
            <w:shd w:val="clear" w:color="auto" w:fill="auto"/>
            <w:vAlign w:val="center"/>
            <w:hideMark/>
          </w:tcPr>
          <w:p w14:paraId="0982EECC" w14:textId="77777777" w:rsidR="004E6D1F" w:rsidRPr="001E614B" w:rsidRDefault="004E6D1F">
            <w:pPr>
              <w:jc w:val="center"/>
              <w:rPr>
                <w:color w:val="000000"/>
                <w:sz w:val="13"/>
                <w:szCs w:val="13"/>
              </w:rPr>
            </w:pPr>
            <w:r w:rsidRPr="001E614B">
              <w:rPr>
                <w:color w:val="000000"/>
                <w:sz w:val="13"/>
                <w:szCs w:val="13"/>
              </w:rPr>
              <w:t>4</w:t>
            </w:r>
          </w:p>
        </w:tc>
        <w:tc>
          <w:tcPr>
            <w:tcW w:w="1104" w:type="dxa"/>
            <w:tcBorders>
              <w:top w:val="nil"/>
              <w:left w:val="nil"/>
              <w:bottom w:val="single" w:sz="4" w:space="0" w:color="auto"/>
              <w:right w:val="single" w:sz="4" w:space="0" w:color="auto"/>
            </w:tcBorders>
            <w:shd w:val="clear" w:color="auto" w:fill="auto"/>
            <w:vAlign w:val="center"/>
            <w:hideMark/>
          </w:tcPr>
          <w:p w14:paraId="7F0FB5E3" w14:textId="77777777" w:rsidR="004E6D1F" w:rsidRPr="001E614B" w:rsidRDefault="004E6D1F">
            <w:pPr>
              <w:jc w:val="center"/>
              <w:rPr>
                <w:color w:val="000000"/>
                <w:sz w:val="13"/>
                <w:szCs w:val="13"/>
              </w:rPr>
            </w:pPr>
            <w:r w:rsidRPr="001E614B">
              <w:rPr>
                <w:color w:val="000000"/>
                <w:sz w:val="13"/>
                <w:szCs w:val="13"/>
              </w:rPr>
              <w:t>5=4/3*100</w:t>
            </w:r>
          </w:p>
        </w:tc>
        <w:tc>
          <w:tcPr>
            <w:tcW w:w="1065" w:type="dxa"/>
            <w:tcBorders>
              <w:top w:val="nil"/>
              <w:left w:val="nil"/>
              <w:bottom w:val="single" w:sz="4" w:space="0" w:color="auto"/>
              <w:right w:val="single" w:sz="4" w:space="0" w:color="auto"/>
            </w:tcBorders>
            <w:shd w:val="clear" w:color="auto" w:fill="auto"/>
            <w:vAlign w:val="center"/>
            <w:hideMark/>
          </w:tcPr>
          <w:p w14:paraId="18C1C4FF" w14:textId="77777777" w:rsidR="004E6D1F" w:rsidRPr="001E614B" w:rsidRDefault="004E6D1F">
            <w:pPr>
              <w:jc w:val="center"/>
              <w:rPr>
                <w:color w:val="000000"/>
                <w:sz w:val="13"/>
                <w:szCs w:val="13"/>
              </w:rPr>
            </w:pPr>
            <w:r w:rsidRPr="001E614B">
              <w:rPr>
                <w:color w:val="000000"/>
                <w:sz w:val="13"/>
                <w:szCs w:val="13"/>
              </w:rPr>
              <w:t>6</w:t>
            </w:r>
          </w:p>
        </w:tc>
        <w:tc>
          <w:tcPr>
            <w:tcW w:w="1096" w:type="dxa"/>
            <w:tcBorders>
              <w:top w:val="nil"/>
              <w:left w:val="nil"/>
              <w:bottom w:val="single" w:sz="4" w:space="0" w:color="auto"/>
              <w:right w:val="single" w:sz="4" w:space="0" w:color="auto"/>
            </w:tcBorders>
            <w:shd w:val="clear" w:color="auto" w:fill="auto"/>
            <w:vAlign w:val="center"/>
            <w:hideMark/>
          </w:tcPr>
          <w:p w14:paraId="5CAF241B" w14:textId="77777777" w:rsidR="004E6D1F" w:rsidRPr="001E614B" w:rsidRDefault="004E6D1F">
            <w:pPr>
              <w:jc w:val="center"/>
              <w:rPr>
                <w:color w:val="000000"/>
                <w:sz w:val="13"/>
                <w:szCs w:val="13"/>
              </w:rPr>
            </w:pPr>
            <w:r w:rsidRPr="001E614B">
              <w:rPr>
                <w:color w:val="000000"/>
                <w:sz w:val="13"/>
                <w:szCs w:val="13"/>
              </w:rPr>
              <w:t>7</w:t>
            </w:r>
          </w:p>
        </w:tc>
        <w:tc>
          <w:tcPr>
            <w:tcW w:w="877" w:type="dxa"/>
            <w:tcBorders>
              <w:top w:val="nil"/>
              <w:left w:val="nil"/>
              <w:bottom w:val="single" w:sz="4" w:space="0" w:color="auto"/>
              <w:right w:val="single" w:sz="4" w:space="0" w:color="auto"/>
            </w:tcBorders>
            <w:shd w:val="clear" w:color="auto" w:fill="auto"/>
            <w:vAlign w:val="center"/>
            <w:hideMark/>
          </w:tcPr>
          <w:p w14:paraId="460905DC" w14:textId="77777777" w:rsidR="004E6D1F" w:rsidRPr="001E614B" w:rsidRDefault="004E6D1F">
            <w:pPr>
              <w:jc w:val="center"/>
              <w:rPr>
                <w:color w:val="000000"/>
                <w:sz w:val="13"/>
                <w:szCs w:val="13"/>
              </w:rPr>
            </w:pPr>
            <w:r w:rsidRPr="001E614B">
              <w:rPr>
                <w:color w:val="000000"/>
                <w:sz w:val="13"/>
                <w:szCs w:val="13"/>
              </w:rPr>
              <w:t>8=7/6*100</w:t>
            </w:r>
          </w:p>
        </w:tc>
      </w:tr>
      <w:tr w:rsidR="004E6D1F" w:rsidRPr="00716DF3" w14:paraId="758BEDFF" w14:textId="77777777" w:rsidTr="0083643C">
        <w:trPr>
          <w:trHeight w:val="272"/>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2ADF8A64" w14:textId="77777777" w:rsidR="004E6D1F" w:rsidRPr="00716DF3" w:rsidRDefault="004E6D1F">
            <w:pPr>
              <w:rPr>
                <w:b/>
                <w:bCs/>
                <w:color w:val="000000"/>
                <w:sz w:val="22"/>
                <w:szCs w:val="22"/>
              </w:rPr>
            </w:pPr>
            <w:r w:rsidRPr="00716DF3">
              <w:rPr>
                <w:b/>
                <w:bCs/>
                <w:color w:val="000000"/>
                <w:sz w:val="22"/>
                <w:szCs w:val="22"/>
              </w:rPr>
              <w:t>Всего</w:t>
            </w:r>
          </w:p>
        </w:tc>
        <w:tc>
          <w:tcPr>
            <w:tcW w:w="1036" w:type="dxa"/>
            <w:tcBorders>
              <w:top w:val="nil"/>
              <w:left w:val="nil"/>
              <w:bottom w:val="single" w:sz="4" w:space="0" w:color="auto"/>
              <w:right w:val="single" w:sz="4" w:space="0" w:color="auto"/>
            </w:tcBorders>
            <w:shd w:val="clear" w:color="auto" w:fill="auto"/>
            <w:vAlign w:val="center"/>
            <w:hideMark/>
          </w:tcPr>
          <w:p w14:paraId="5CCCDCE4" w14:textId="77777777" w:rsidR="004E6D1F" w:rsidRPr="00716DF3" w:rsidRDefault="004E6D1F">
            <w:pPr>
              <w:jc w:val="center"/>
              <w:rPr>
                <w:b/>
                <w:bCs/>
                <w:color w:val="000000"/>
                <w:sz w:val="22"/>
                <w:szCs w:val="22"/>
              </w:rPr>
            </w:pPr>
            <w:r w:rsidRPr="00716DF3">
              <w:rPr>
                <w:b/>
                <w:bCs/>
                <w:color w:val="000000"/>
                <w:sz w:val="22"/>
                <w:szCs w:val="22"/>
              </w:rPr>
              <w:t>48 140,6</w:t>
            </w:r>
          </w:p>
        </w:tc>
        <w:tc>
          <w:tcPr>
            <w:tcW w:w="1261" w:type="dxa"/>
            <w:tcBorders>
              <w:top w:val="nil"/>
              <w:left w:val="nil"/>
              <w:bottom w:val="single" w:sz="4" w:space="0" w:color="auto"/>
              <w:right w:val="single" w:sz="4" w:space="0" w:color="auto"/>
            </w:tcBorders>
            <w:shd w:val="clear" w:color="auto" w:fill="auto"/>
            <w:vAlign w:val="center"/>
            <w:hideMark/>
          </w:tcPr>
          <w:p w14:paraId="3A430A5E" w14:textId="77777777" w:rsidR="004E6D1F" w:rsidRPr="00716DF3" w:rsidRDefault="004E6D1F">
            <w:pPr>
              <w:jc w:val="center"/>
              <w:rPr>
                <w:b/>
                <w:bCs/>
                <w:color w:val="000000"/>
                <w:sz w:val="22"/>
                <w:szCs w:val="22"/>
              </w:rPr>
            </w:pPr>
            <w:r w:rsidRPr="00716DF3">
              <w:rPr>
                <w:b/>
                <w:bCs/>
                <w:color w:val="000000"/>
                <w:sz w:val="22"/>
                <w:szCs w:val="22"/>
              </w:rPr>
              <w:t>42 898,4</w:t>
            </w:r>
          </w:p>
        </w:tc>
        <w:tc>
          <w:tcPr>
            <w:tcW w:w="1151" w:type="dxa"/>
            <w:tcBorders>
              <w:top w:val="nil"/>
              <w:left w:val="nil"/>
              <w:bottom w:val="single" w:sz="4" w:space="0" w:color="auto"/>
              <w:right w:val="single" w:sz="4" w:space="0" w:color="auto"/>
            </w:tcBorders>
            <w:shd w:val="clear" w:color="auto" w:fill="auto"/>
            <w:vAlign w:val="center"/>
            <w:hideMark/>
          </w:tcPr>
          <w:p w14:paraId="38F1956F" w14:textId="77777777" w:rsidR="004E6D1F" w:rsidRPr="00716DF3" w:rsidRDefault="004E6D1F">
            <w:pPr>
              <w:jc w:val="center"/>
              <w:rPr>
                <w:b/>
                <w:bCs/>
                <w:color w:val="000000"/>
                <w:sz w:val="22"/>
                <w:szCs w:val="22"/>
              </w:rPr>
            </w:pPr>
            <w:r w:rsidRPr="00716DF3">
              <w:rPr>
                <w:b/>
                <w:bCs/>
                <w:color w:val="000000"/>
                <w:sz w:val="22"/>
                <w:szCs w:val="22"/>
              </w:rPr>
              <w:t>54 063,9</w:t>
            </w:r>
          </w:p>
        </w:tc>
        <w:tc>
          <w:tcPr>
            <w:tcW w:w="1104" w:type="dxa"/>
            <w:tcBorders>
              <w:top w:val="nil"/>
              <w:left w:val="nil"/>
              <w:bottom w:val="single" w:sz="4" w:space="0" w:color="auto"/>
              <w:right w:val="single" w:sz="4" w:space="0" w:color="auto"/>
            </w:tcBorders>
            <w:shd w:val="clear" w:color="auto" w:fill="auto"/>
            <w:vAlign w:val="center"/>
            <w:hideMark/>
          </w:tcPr>
          <w:p w14:paraId="26FEA2A3" w14:textId="77777777" w:rsidR="004E6D1F" w:rsidRPr="00716DF3" w:rsidRDefault="004E6D1F">
            <w:pPr>
              <w:jc w:val="center"/>
              <w:rPr>
                <w:b/>
                <w:bCs/>
                <w:color w:val="000000"/>
                <w:sz w:val="22"/>
                <w:szCs w:val="22"/>
              </w:rPr>
            </w:pPr>
            <w:r w:rsidRPr="00716DF3">
              <w:rPr>
                <w:b/>
                <w:bCs/>
                <w:color w:val="000000"/>
                <w:sz w:val="22"/>
                <w:szCs w:val="22"/>
              </w:rPr>
              <w:t>126,0</w:t>
            </w:r>
          </w:p>
        </w:tc>
        <w:tc>
          <w:tcPr>
            <w:tcW w:w="1065" w:type="dxa"/>
            <w:tcBorders>
              <w:top w:val="nil"/>
              <w:left w:val="nil"/>
              <w:bottom w:val="single" w:sz="4" w:space="0" w:color="auto"/>
              <w:right w:val="single" w:sz="4" w:space="0" w:color="auto"/>
            </w:tcBorders>
            <w:shd w:val="clear" w:color="auto" w:fill="auto"/>
            <w:vAlign w:val="center"/>
            <w:hideMark/>
          </w:tcPr>
          <w:p w14:paraId="11B1FC7E" w14:textId="77777777" w:rsidR="004E6D1F" w:rsidRPr="00716DF3" w:rsidRDefault="004E6D1F">
            <w:pPr>
              <w:jc w:val="center"/>
              <w:rPr>
                <w:b/>
                <w:bCs/>
                <w:color w:val="000000"/>
                <w:sz w:val="22"/>
                <w:szCs w:val="22"/>
              </w:rPr>
            </w:pPr>
            <w:r w:rsidRPr="00716DF3">
              <w:rPr>
                <w:b/>
                <w:bCs/>
                <w:color w:val="000000"/>
                <w:sz w:val="22"/>
                <w:szCs w:val="22"/>
              </w:rPr>
              <w:t>43 852,5</w:t>
            </w:r>
          </w:p>
        </w:tc>
        <w:tc>
          <w:tcPr>
            <w:tcW w:w="1096" w:type="dxa"/>
            <w:tcBorders>
              <w:top w:val="nil"/>
              <w:left w:val="nil"/>
              <w:bottom w:val="single" w:sz="4" w:space="0" w:color="auto"/>
              <w:right w:val="single" w:sz="4" w:space="0" w:color="auto"/>
            </w:tcBorders>
            <w:shd w:val="clear" w:color="auto" w:fill="auto"/>
            <w:vAlign w:val="center"/>
            <w:hideMark/>
          </w:tcPr>
          <w:p w14:paraId="743026DE" w14:textId="77777777" w:rsidR="004E6D1F" w:rsidRPr="00716DF3" w:rsidRDefault="004E6D1F">
            <w:pPr>
              <w:jc w:val="center"/>
              <w:rPr>
                <w:b/>
                <w:bCs/>
                <w:color w:val="000000"/>
                <w:sz w:val="22"/>
                <w:szCs w:val="22"/>
              </w:rPr>
            </w:pPr>
            <w:r w:rsidRPr="00716DF3">
              <w:rPr>
                <w:b/>
                <w:bCs/>
                <w:color w:val="000000"/>
                <w:sz w:val="22"/>
                <w:szCs w:val="22"/>
              </w:rPr>
              <w:t>47 170,1</w:t>
            </w:r>
          </w:p>
        </w:tc>
        <w:tc>
          <w:tcPr>
            <w:tcW w:w="877" w:type="dxa"/>
            <w:tcBorders>
              <w:top w:val="nil"/>
              <w:left w:val="nil"/>
              <w:bottom w:val="single" w:sz="4" w:space="0" w:color="auto"/>
              <w:right w:val="single" w:sz="4" w:space="0" w:color="auto"/>
            </w:tcBorders>
            <w:shd w:val="clear" w:color="auto" w:fill="auto"/>
            <w:vAlign w:val="center"/>
            <w:hideMark/>
          </w:tcPr>
          <w:p w14:paraId="764FFC38" w14:textId="77777777" w:rsidR="004E6D1F" w:rsidRPr="00716DF3" w:rsidRDefault="004E6D1F">
            <w:pPr>
              <w:jc w:val="center"/>
              <w:rPr>
                <w:b/>
                <w:bCs/>
                <w:color w:val="000000"/>
                <w:sz w:val="22"/>
                <w:szCs w:val="22"/>
              </w:rPr>
            </w:pPr>
            <w:r w:rsidRPr="00716DF3">
              <w:rPr>
                <w:b/>
                <w:bCs/>
                <w:color w:val="000000"/>
                <w:sz w:val="22"/>
                <w:szCs w:val="22"/>
              </w:rPr>
              <w:t>107,6</w:t>
            </w:r>
          </w:p>
        </w:tc>
      </w:tr>
      <w:tr w:rsidR="004E6D1F" w:rsidRPr="00716DF3" w14:paraId="2305E4BD" w14:textId="77777777" w:rsidTr="0083643C">
        <w:trPr>
          <w:trHeight w:val="272"/>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14364102" w14:textId="77777777" w:rsidR="004E6D1F" w:rsidRPr="00716DF3" w:rsidRDefault="004E6D1F">
            <w:pPr>
              <w:rPr>
                <w:i/>
                <w:iCs/>
                <w:color w:val="000000"/>
                <w:sz w:val="22"/>
                <w:szCs w:val="22"/>
              </w:rPr>
            </w:pPr>
            <w:r w:rsidRPr="00716DF3">
              <w:rPr>
                <w:i/>
                <w:iCs/>
                <w:color w:val="000000"/>
                <w:sz w:val="22"/>
                <w:szCs w:val="22"/>
              </w:rPr>
              <w:t>в том числе:</w:t>
            </w:r>
          </w:p>
        </w:tc>
        <w:tc>
          <w:tcPr>
            <w:tcW w:w="1036" w:type="dxa"/>
            <w:tcBorders>
              <w:top w:val="nil"/>
              <w:left w:val="nil"/>
              <w:bottom w:val="single" w:sz="4" w:space="0" w:color="auto"/>
              <w:right w:val="single" w:sz="4" w:space="0" w:color="auto"/>
            </w:tcBorders>
            <w:shd w:val="clear" w:color="auto" w:fill="auto"/>
            <w:noWrap/>
            <w:vAlign w:val="bottom"/>
            <w:hideMark/>
          </w:tcPr>
          <w:p w14:paraId="00689677" w14:textId="77777777" w:rsidR="004E6D1F" w:rsidRPr="00716DF3" w:rsidRDefault="004E6D1F">
            <w:pPr>
              <w:rPr>
                <w:color w:val="000000"/>
                <w:sz w:val="22"/>
                <w:szCs w:val="22"/>
              </w:rPr>
            </w:pPr>
            <w:r w:rsidRPr="00716DF3">
              <w:rPr>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bottom"/>
            <w:hideMark/>
          </w:tcPr>
          <w:p w14:paraId="4760F134" w14:textId="77777777" w:rsidR="004E6D1F" w:rsidRPr="00716DF3" w:rsidRDefault="004E6D1F">
            <w:pPr>
              <w:rPr>
                <w:color w:val="000000"/>
                <w:sz w:val="22"/>
                <w:szCs w:val="22"/>
              </w:rPr>
            </w:pPr>
            <w:r w:rsidRPr="00716DF3">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bottom"/>
            <w:hideMark/>
          </w:tcPr>
          <w:p w14:paraId="6D12248B" w14:textId="77777777" w:rsidR="004E6D1F" w:rsidRPr="00716DF3" w:rsidRDefault="004E6D1F">
            <w:pPr>
              <w:rPr>
                <w:color w:val="000000"/>
                <w:sz w:val="22"/>
                <w:szCs w:val="22"/>
              </w:rPr>
            </w:pPr>
            <w:r w:rsidRPr="00716DF3">
              <w:rPr>
                <w:color w:val="000000"/>
                <w:sz w:val="22"/>
                <w:szCs w:val="22"/>
              </w:rPr>
              <w:t> </w:t>
            </w:r>
          </w:p>
        </w:tc>
        <w:tc>
          <w:tcPr>
            <w:tcW w:w="1104" w:type="dxa"/>
            <w:tcBorders>
              <w:top w:val="nil"/>
              <w:left w:val="nil"/>
              <w:bottom w:val="single" w:sz="4" w:space="0" w:color="auto"/>
              <w:right w:val="single" w:sz="4" w:space="0" w:color="auto"/>
            </w:tcBorders>
            <w:shd w:val="clear" w:color="auto" w:fill="auto"/>
            <w:noWrap/>
            <w:vAlign w:val="bottom"/>
            <w:hideMark/>
          </w:tcPr>
          <w:p w14:paraId="6C10C9C0" w14:textId="77777777" w:rsidR="004E6D1F" w:rsidRPr="00716DF3" w:rsidRDefault="004E6D1F">
            <w:pPr>
              <w:rPr>
                <w:color w:val="000000"/>
                <w:sz w:val="22"/>
                <w:szCs w:val="22"/>
              </w:rPr>
            </w:pPr>
            <w:r w:rsidRPr="00716DF3">
              <w:rPr>
                <w:color w:val="000000"/>
                <w:sz w:val="22"/>
                <w:szCs w:val="22"/>
              </w:rPr>
              <w:t> </w:t>
            </w:r>
          </w:p>
        </w:tc>
        <w:tc>
          <w:tcPr>
            <w:tcW w:w="1065" w:type="dxa"/>
            <w:tcBorders>
              <w:top w:val="nil"/>
              <w:left w:val="nil"/>
              <w:bottom w:val="single" w:sz="4" w:space="0" w:color="auto"/>
              <w:right w:val="single" w:sz="4" w:space="0" w:color="auto"/>
            </w:tcBorders>
            <w:shd w:val="clear" w:color="auto" w:fill="auto"/>
            <w:noWrap/>
            <w:vAlign w:val="bottom"/>
            <w:hideMark/>
          </w:tcPr>
          <w:p w14:paraId="5B18C242" w14:textId="77777777" w:rsidR="004E6D1F" w:rsidRPr="00716DF3" w:rsidRDefault="004E6D1F">
            <w:pPr>
              <w:rPr>
                <w:color w:val="000000"/>
                <w:sz w:val="22"/>
                <w:szCs w:val="22"/>
              </w:rPr>
            </w:pPr>
            <w:r w:rsidRPr="00716DF3">
              <w:rPr>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5FE15363" w14:textId="77777777" w:rsidR="004E6D1F" w:rsidRPr="00716DF3" w:rsidRDefault="004E6D1F">
            <w:pPr>
              <w:rPr>
                <w:color w:val="000000"/>
                <w:sz w:val="22"/>
                <w:szCs w:val="22"/>
              </w:rPr>
            </w:pPr>
            <w:r w:rsidRPr="00716DF3">
              <w:rPr>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14:paraId="6248EF01" w14:textId="77777777" w:rsidR="004E6D1F" w:rsidRPr="00716DF3" w:rsidRDefault="004E6D1F">
            <w:pPr>
              <w:rPr>
                <w:color w:val="000000"/>
                <w:sz w:val="22"/>
                <w:szCs w:val="22"/>
              </w:rPr>
            </w:pPr>
            <w:r w:rsidRPr="00716DF3">
              <w:rPr>
                <w:color w:val="000000"/>
                <w:sz w:val="22"/>
                <w:szCs w:val="22"/>
              </w:rPr>
              <w:t> </w:t>
            </w:r>
          </w:p>
        </w:tc>
      </w:tr>
      <w:tr w:rsidR="004E6D1F" w:rsidRPr="00716DF3" w14:paraId="00CB8614" w14:textId="77777777" w:rsidTr="0083643C">
        <w:trPr>
          <w:trHeight w:val="381"/>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3424E54D" w14:textId="77777777" w:rsidR="004E6D1F" w:rsidRPr="00716DF3" w:rsidRDefault="004E6D1F">
            <w:pPr>
              <w:jc w:val="both"/>
              <w:rPr>
                <w:color w:val="000000"/>
                <w:sz w:val="22"/>
                <w:szCs w:val="22"/>
              </w:rPr>
            </w:pPr>
            <w:r w:rsidRPr="00716DF3">
              <w:rPr>
                <w:color w:val="000000"/>
                <w:sz w:val="22"/>
                <w:szCs w:val="22"/>
              </w:rPr>
              <w:t>Федеральный проект «Культурная среда»</w:t>
            </w:r>
          </w:p>
        </w:tc>
        <w:tc>
          <w:tcPr>
            <w:tcW w:w="1036" w:type="dxa"/>
            <w:tcBorders>
              <w:top w:val="nil"/>
              <w:left w:val="nil"/>
              <w:bottom w:val="single" w:sz="4" w:space="0" w:color="auto"/>
              <w:right w:val="single" w:sz="4" w:space="0" w:color="auto"/>
            </w:tcBorders>
            <w:shd w:val="clear" w:color="auto" w:fill="auto"/>
            <w:vAlign w:val="center"/>
            <w:hideMark/>
          </w:tcPr>
          <w:p w14:paraId="067D8F1F" w14:textId="77777777" w:rsidR="004E6D1F" w:rsidRPr="00716DF3" w:rsidRDefault="004E6D1F">
            <w:pPr>
              <w:jc w:val="center"/>
              <w:rPr>
                <w:color w:val="000000"/>
                <w:sz w:val="22"/>
                <w:szCs w:val="22"/>
              </w:rPr>
            </w:pPr>
            <w:r w:rsidRPr="00716DF3">
              <w:rPr>
                <w:color w:val="000000"/>
                <w:sz w:val="22"/>
                <w:szCs w:val="22"/>
              </w:rPr>
              <w:t>24 876,2</w:t>
            </w:r>
          </w:p>
        </w:tc>
        <w:tc>
          <w:tcPr>
            <w:tcW w:w="1261" w:type="dxa"/>
            <w:tcBorders>
              <w:top w:val="nil"/>
              <w:left w:val="nil"/>
              <w:bottom w:val="single" w:sz="4" w:space="0" w:color="auto"/>
              <w:right w:val="single" w:sz="4" w:space="0" w:color="auto"/>
            </w:tcBorders>
            <w:shd w:val="clear" w:color="auto" w:fill="auto"/>
            <w:vAlign w:val="center"/>
            <w:hideMark/>
          </w:tcPr>
          <w:p w14:paraId="19E84B11" w14:textId="77777777" w:rsidR="004E6D1F" w:rsidRPr="00716DF3" w:rsidRDefault="004E6D1F">
            <w:pPr>
              <w:jc w:val="center"/>
              <w:rPr>
                <w:color w:val="000000"/>
                <w:sz w:val="22"/>
                <w:szCs w:val="22"/>
              </w:rPr>
            </w:pPr>
            <w:r w:rsidRPr="00716DF3">
              <w:rPr>
                <w:color w:val="000000"/>
                <w:sz w:val="22"/>
                <w:szCs w:val="22"/>
              </w:rPr>
              <w:t>25 459,9</w:t>
            </w:r>
          </w:p>
        </w:tc>
        <w:tc>
          <w:tcPr>
            <w:tcW w:w="1151" w:type="dxa"/>
            <w:tcBorders>
              <w:top w:val="nil"/>
              <w:left w:val="nil"/>
              <w:bottom w:val="single" w:sz="4" w:space="0" w:color="auto"/>
              <w:right w:val="single" w:sz="4" w:space="0" w:color="auto"/>
            </w:tcBorders>
            <w:shd w:val="clear" w:color="auto" w:fill="auto"/>
            <w:vAlign w:val="center"/>
            <w:hideMark/>
          </w:tcPr>
          <w:p w14:paraId="7F94847E" w14:textId="77777777" w:rsidR="004E6D1F" w:rsidRPr="00716DF3" w:rsidRDefault="004E6D1F">
            <w:pPr>
              <w:jc w:val="center"/>
              <w:rPr>
                <w:color w:val="000000"/>
                <w:sz w:val="22"/>
                <w:szCs w:val="22"/>
              </w:rPr>
            </w:pPr>
            <w:r w:rsidRPr="00716DF3">
              <w:rPr>
                <w:color w:val="000000"/>
                <w:sz w:val="22"/>
                <w:szCs w:val="22"/>
              </w:rPr>
              <w:t>29 243,2</w:t>
            </w:r>
          </w:p>
        </w:tc>
        <w:tc>
          <w:tcPr>
            <w:tcW w:w="1104" w:type="dxa"/>
            <w:tcBorders>
              <w:top w:val="nil"/>
              <w:left w:val="nil"/>
              <w:bottom w:val="single" w:sz="4" w:space="0" w:color="auto"/>
              <w:right w:val="single" w:sz="4" w:space="0" w:color="auto"/>
            </w:tcBorders>
            <w:shd w:val="clear" w:color="auto" w:fill="auto"/>
            <w:vAlign w:val="center"/>
            <w:hideMark/>
          </w:tcPr>
          <w:p w14:paraId="7FABD440" w14:textId="77777777" w:rsidR="004E6D1F" w:rsidRPr="00716DF3" w:rsidRDefault="004E6D1F">
            <w:pPr>
              <w:jc w:val="center"/>
              <w:rPr>
                <w:color w:val="000000"/>
                <w:sz w:val="22"/>
                <w:szCs w:val="22"/>
              </w:rPr>
            </w:pPr>
            <w:r w:rsidRPr="00716DF3">
              <w:rPr>
                <w:color w:val="000000"/>
                <w:sz w:val="22"/>
                <w:szCs w:val="22"/>
              </w:rPr>
              <w:t>114,9</w:t>
            </w:r>
          </w:p>
        </w:tc>
        <w:tc>
          <w:tcPr>
            <w:tcW w:w="1065" w:type="dxa"/>
            <w:tcBorders>
              <w:top w:val="nil"/>
              <w:left w:val="nil"/>
              <w:bottom w:val="single" w:sz="4" w:space="0" w:color="auto"/>
              <w:right w:val="single" w:sz="4" w:space="0" w:color="auto"/>
            </w:tcBorders>
            <w:shd w:val="clear" w:color="auto" w:fill="auto"/>
            <w:vAlign w:val="center"/>
            <w:hideMark/>
          </w:tcPr>
          <w:p w14:paraId="7DFA8C77" w14:textId="77777777" w:rsidR="004E6D1F" w:rsidRPr="00716DF3" w:rsidRDefault="004E6D1F">
            <w:pPr>
              <w:jc w:val="center"/>
              <w:rPr>
                <w:color w:val="000000"/>
                <w:sz w:val="22"/>
                <w:szCs w:val="22"/>
              </w:rPr>
            </w:pPr>
            <w:r w:rsidRPr="00716DF3">
              <w:rPr>
                <w:color w:val="000000"/>
                <w:sz w:val="22"/>
                <w:szCs w:val="22"/>
              </w:rPr>
              <w:t>26 204,3</w:t>
            </w:r>
          </w:p>
        </w:tc>
        <w:tc>
          <w:tcPr>
            <w:tcW w:w="1096" w:type="dxa"/>
            <w:tcBorders>
              <w:top w:val="nil"/>
              <w:left w:val="nil"/>
              <w:bottom w:val="single" w:sz="4" w:space="0" w:color="auto"/>
              <w:right w:val="single" w:sz="4" w:space="0" w:color="auto"/>
            </w:tcBorders>
            <w:shd w:val="clear" w:color="auto" w:fill="auto"/>
            <w:vAlign w:val="center"/>
            <w:hideMark/>
          </w:tcPr>
          <w:p w14:paraId="0FEB9CC1" w14:textId="77777777" w:rsidR="004E6D1F" w:rsidRPr="00716DF3" w:rsidRDefault="004E6D1F">
            <w:pPr>
              <w:jc w:val="center"/>
              <w:rPr>
                <w:color w:val="000000"/>
                <w:sz w:val="22"/>
                <w:szCs w:val="22"/>
              </w:rPr>
            </w:pPr>
            <w:r w:rsidRPr="00716DF3">
              <w:rPr>
                <w:color w:val="000000"/>
                <w:sz w:val="22"/>
                <w:szCs w:val="22"/>
              </w:rPr>
              <w:t>29 913,1</w:t>
            </w:r>
          </w:p>
        </w:tc>
        <w:tc>
          <w:tcPr>
            <w:tcW w:w="877" w:type="dxa"/>
            <w:tcBorders>
              <w:top w:val="nil"/>
              <w:left w:val="nil"/>
              <w:bottom w:val="single" w:sz="4" w:space="0" w:color="auto"/>
              <w:right w:val="single" w:sz="4" w:space="0" w:color="auto"/>
            </w:tcBorders>
            <w:shd w:val="clear" w:color="auto" w:fill="auto"/>
            <w:vAlign w:val="center"/>
            <w:hideMark/>
          </w:tcPr>
          <w:p w14:paraId="5CE964C3" w14:textId="77777777" w:rsidR="004E6D1F" w:rsidRPr="00716DF3" w:rsidRDefault="004E6D1F">
            <w:pPr>
              <w:jc w:val="center"/>
              <w:rPr>
                <w:color w:val="000000"/>
                <w:sz w:val="22"/>
                <w:szCs w:val="22"/>
              </w:rPr>
            </w:pPr>
            <w:r w:rsidRPr="00716DF3">
              <w:rPr>
                <w:color w:val="000000"/>
                <w:sz w:val="22"/>
                <w:szCs w:val="22"/>
              </w:rPr>
              <w:t>114,2</w:t>
            </w:r>
          </w:p>
        </w:tc>
      </w:tr>
      <w:tr w:rsidR="004E6D1F" w:rsidRPr="00716DF3" w14:paraId="04AE6682" w14:textId="77777777" w:rsidTr="0083643C">
        <w:trPr>
          <w:trHeight w:val="381"/>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1AE35CB3" w14:textId="77777777" w:rsidR="004E6D1F" w:rsidRPr="00716DF3" w:rsidRDefault="004E6D1F">
            <w:pPr>
              <w:jc w:val="both"/>
              <w:rPr>
                <w:color w:val="000000"/>
                <w:sz w:val="22"/>
                <w:szCs w:val="22"/>
              </w:rPr>
            </w:pPr>
            <w:r w:rsidRPr="00716DF3">
              <w:rPr>
                <w:color w:val="000000"/>
                <w:sz w:val="22"/>
                <w:szCs w:val="22"/>
              </w:rPr>
              <w:t>Федеральный проект «Творческие люди»</w:t>
            </w:r>
          </w:p>
        </w:tc>
        <w:tc>
          <w:tcPr>
            <w:tcW w:w="1036" w:type="dxa"/>
            <w:tcBorders>
              <w:top w:val="nil"/>
              <w:left w:val="nil"/>
              <w:bottom w:val="single" w:sz="4" w:space="0" w:color="auto"/>
              <w:right w:val="single" w:sz="4" w:space="0" w:color="auto"/>
            </w:tcBorders>
            <w:shd w:val="clear" w:color="auto" w:fill="auto"/>
            <w:vAlign w:val="center"/>
            <w:hideMark/>
          </w:tcPr>
          <w:p w14:paraId="1F67F1AF" w14:textId="77777777" w:rsidR="004E6D1F" w:rsidRPr="00716DF3" w:rsidRDefault="004E6D1F">
            <w:pPr>
              <w:jc w:val="center"/>
              <w:rPr>
                <w:color w:val="000000"/>
                <w:sz w:val="22"/>
                <w:szCs w:val="22"/>
              </w:rPr>
            </w:pPr>
            <w:r w:rsidRPr="00716DF3">
              <w:rPr>
                <w:color w:val="000000"/>
                <w:sz w:val="22"/>
                <w:szCs w:val="22"/>
              </w:rPr>
              <w:t>3 021,7</w:t>
            </w:r>
          </w:p>
        </w:tc>
        <w:tc>
          <w:tcPr>
            <w:tcW w:w="1261" w:type="dxa"/>
            <w:tcBorders>
              <w:top w:val="nil"/>
              <w:left w:val="nil"/>
              <w:bottom w:val="single" w:sz="4" w:space="0" w:color="auto"/>
              <w:right w:val="single" w:sz="4" w:space="0" w:color="auto"/>
            </w:tcBorders>
            <w:shd w:val="clear" w:color="auto" w:fill="auto"/>
            <w:vAlign w:val="center"/>
            <w:hideMark/>
          </w:tcPr>
          <w:p w14:paraId="71AF7D75" w14:textId="77777777" w:rsidR="004E6D1F" w:rsidRPr="00716DF3" w:rsidRDefault="004E6D1F">
            <w:pPr>
              <w:jc w:val="center"/>
              <w:rPr>
                <w:color w:val="000000"/>
                <w:sz w:val="22"/>
                <w:szCs w:val="22"/>
              </w:rPr>
            </w:pPr>
            <w:r w:rsidRPr="00716DF3">
              <w:rPr>
                <w:color w:val="000000"/>
                <w:sz w:val="22"/>
                <w:szCs w:val="22"/>
              </w:rPr>
              <w:t>3 480,4</w:t>
            </w:r>
          </w:p>
        </w:tc>
        <w:tc>
          <w:tcPr>
            <w:tcW w:w="1151" w:type="dxa"/>
            <w:tcBorders>
              <w:top w:val="nil"/>
              <w:left w:val="nil"/>
              <w:bottom w:val="single" w:sz="4" w:space="0" w:color="auto"/>
              <w:right w:val="single" w:sz="4" w:space="0" w:color="auto"/>
            </w:tcBorders>
            <w:shd w:val="clear" w:color="auto" w:fill="auto"/>
            <w:vAlign w:val="center"/>
            <w:hideMark/>
          </w:tcPr>
          <w:p w14:paraId="746CE082" w14:textId="77777777" w:rsidR="004E6D1F" w:rsidRPr="00716DF3" w:rsidRDefault="004E6D1F">
            <w:pPr>
              <w:jc w:val="center"/>
              <w:rPr>
                <w:color w:val="000000"/>
                <w:sz w:val="22"/>
                <w:szCs w:val="22"/>
              </w:rPr>
            </w:pPr>
            <w:r w:rsidRPr="00716DF3">
              <w:rPr>
                <w:color w:val="000000"/>
                <w:sz w:val="22"/>
                <w:szCs w:val="22"/>
              </w:rPr>
              <w:t>3 194,0</w:t>
            </w:r>
          </w:p>
        </w:tc>
        <w:tc>
          <w:tcPr>
            <w:tcW w:w="1104" w:type="dxa"/>
            <w:tcBorders>
              <w:top w:val="nil"/>
              <w:left w:val="nil"/>
              <w:bottom w:val="single" w:sz="4" w:space="0" w:color="auto"/>
              <w:right w:val="single" w:sz="4" w:space="0" w:color="auto"/>
            </w:tcBorders>
            <w:shd w:val="clear" w:color="auto" w:fill="auto"/>
            <w:vAlign w:val="center"/>
            <w:hideMark/>
          </w:tcPr>
          <w:p w14:paraId="0FEDCC26" w14:textId="77777777" w:rsidR="004E6D1F" w:rsidRPr="00716DF3" w:rsidRDefault="004E6D1F">
            <w:pPr>
              <w:jc w:val="center"/>
              <w:rPr>
                <w:color w:val="000000"/>
                <w:sz w:val="22"/>
                <w:szCs w:val="22"/>
              </w:rPr>
            </w:pPr>
            <w:r w:rsidRPr="00716DF3">
              <w:rPr>
                <w:color w:val="000000"/>
                <w:sz w:val="22"/>
                <w:szCs w:val="22"/>
              </w:rPr>
              <w:t>91,8</w:t>
            </w:r>
          </w:p>
        </w:tc>
        <w:tc>
          <w:tcPr>
            <w:tcW w:w="1065" w:type="dxa"/>
            <w:tcBorders>
              <w:top w:val="nil"/>
              <w:left w:val="nil"/>
              <w:bottom w:val="single" w:sz="4" w:space="0" w:color="auto"/>
              <w:right w:val="single" w:sz="4" w:space="0" w:color="auto"/>
            </w:tcBorders>
            <w:shd w:val="clear" w:color="auto" w:fill="auto"/>
            <w:vAlign w:val="center"/>
            <w:hideMark/>
          </w:tcPr>
          <w:p w14:paraId="30BD7717" w14:textId="77777777" w:rsidR="004E6D1F" w:rsidRPr="00716DF3" w:rsidRDefault="004E6D1F">
            <w:pPr>
              <w:jc w:val="center"/>
              <w:rPr>
                <w:color w:val="000000"/>
                <w:sz w:val="22"/>
                <w:szCs w:val="22"/>
              </w:rPr>
            </w:pPr>
            <w:r w:rsidRPr="00716DF3">
              <w:rPr>
                <w:color w:val="000000"/>
                <w:sz w:val="22"/>
                <w:szCs w:val="22"/>
              </w:rPr>
              <w:t>3 669,0</w:t>
            </w:r>
          </w:p>
        </w:tc>
        <w:tc>
          <w:tcPr>
            <w:tcW w:w="1096" w:type="dxa"/>
            <w:tcBorders>
              <w:top w:val="nil"/>
              <w:left w:val="nil"/>
              <w:bottom w:val="single" w:sz="4" w:space="0" w:color="auto"/>
              <w:right w:val="single" w:sz="4" w:space="0" w:color="auto"/>
            </w:tcBorders>
            <w:shd w:val="clear" w:color="auto" w:fill="auto"/>
            <w:vAlign w:val="center"/>
            <w:hideMark/>
          </w:tcPr>
          <w:p w14:paraId="6F8E8A6A" w14:textId="77777777" w:rsidR="004E6D1F" w:rsidRPr="00716DF3" w:rsidRDefault="004E6D1F">
            <w:pPr>
              <w:jc w:val="center"/>
              <w:rPr>
                <w:color w:val="000000"/>
                <w:sz w:val="22"/>
                <w:szCs w:val="22"/>
              </w:rPr>
            </w:pPr>
            <w:r w:rsidRPr="00716DF3">
              <w:rPr>
                <w:color w:val="000000"/>
                <w:sz w:val="22"/>
                <w:szCs w:val="22"/>
              </w:rPr>
              <w:t>3 372,9</w:t>
            </w:r>
          </w:p>
        </w:tc>
        <w:tc>
          <w:tcPr>
            <w:tcW w:w="877" w:type="dxa"/>
            <w:tcBorders>
              <w:top w:val="nil"/>
              <w:left w:val="nil"/>
              <w:bottom w:val="single" w:sz="4" w:space="0" w:color="auto"/>
              <w:right w:val="single" w:sz="4" w:space="0" w:color="auto"/>
            </w:tcBorders>
            <w:shd w:val="clear" w:color="auto" w:fill="auto"/>
            <w:vAlign w:val="center"/>
            <w:hideMark/>
          </w:tcPr>
          <w:p w14:paraId="4A60F546" w14:textId="77777777" w:rsidR="004E6D1F" w:rsidRPr="00716DF3" w:rsidRDefault="004E6D1F">
            <w:pPr>
              <w:jc w:val="center"/>
              <w:rPr>
                <w:color w:val="000000"/>
                <w:sz w:val="22"/>
                <w:szCs w:val="22"/>
              </w:rPr>
            </w:pPr>
            <w:r w:rsidRPr="00716DF3">
              <w:rPr>
                <w:color w:val="000000"/>
                <w:sz w:val="22"/>
                <w:szCs w:val="22"/>
              </w:rPr>
              <w:t>91,9</w:t>
            </w:r>
          </w:p>
        </w:tc>
      </w:tr>
      <w:tr w:rsidR="004E6D1F" w:rsidRPr="00716DF3" w14:paraId="62CA7288" w14:textId="77777777" w:rsidTr="0083643C">
        <w:trPr>
          <w:trHeight w:val="381"/>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319F482B" w14:textId="77777777" w:rsidR="004E6D1F" w:rsidRPr="00716DF3" w:rsidRDefault="004E6D1F">
            <w:pPr>
              <w:jc w:val="both"/>
              <w:rPr>
                <w:color w:val="000000"/>
                <w:sz w:val="22"/>
                <w:szCs w:val="22"/>
              </w:rPr>
            </w:pPr>
            <w:r w:rsidRPr="00716DF3">
              <w:rPr>
                <w:color w:val="000000"/>
                <w:sz w:val="22"/>
                <w:szCs w:val="22"/>
              </w:rPr>
              <w:t>Федеральный проект «Цифровая культура»</w:t>
            </w:r>
          </w:p>
        </w:tc>
        <w:tc>
          <w:tcPr>
            <w:tcW w:w="1036" w:type="dxa"/>
            <w:tcBorders>
              <w:top w:val="nil"/>
              <w:left w:val="nil"/>
              <w:bottom w:val="single" w:sz="4" w:space="0" w:color="auto"/>
              <w:right w:val="single" w:sz="4" w:space="0" w:color="auto"/>
            </w:tcBorders>
            <w:shd w:val="clear" w:color="auto" w:fill="auto"/>
            <w:vAlign w:val="center"/>
            <w:hideMark/>
          </w:tcPr>
          <w:p w14:paraId="46A06347" w14:textId="77777777" w:rsidR="004E6D1F" w:rsidRPr="00716DF3" w:rsidRDefault="004E6D1F">
            <w:pPr>
              <w:jc w:val="center"/>
              <w:rPr>
                <w:color w:val="000000"/>
                <w:sz w:val="22"/>
                <w:szCs w:val="22"/>
              </w:rPr>
            </w:pPr>
            <w:r w:rsidRPr="00716DF3">
              <w:rPr>
                <w:color w:val="000000"/>
                <w:sz w:val="22"/>
                <w:szCs w:val="22"/>
              </w:rPr>
              <w:t>20 242,7</w:t>
            </w:r>
          </w:p>
        </w:tc>
        <w:tc>
          <w:tcPr>
            <w:tcW w:w="1261" w:type="dxa"/>
            <w:tcBorders>
              <w:top w:val="nil"/>
              <w:left w:val="nil"/>
              <w:bottom w:val="single" w:sz="4" w:space="0" w:color="auto"/>
              <w:right w:val="single" w:sz="4" w:space="0" w:color="auto"/>
            </w:tcBorders>
            <w:shd w:val="clear" w:color="auto" w:fill="auto"/>
            <w:vAlign w:val="center"/>
            <w:hideMark/>
          </w:tcPr>
          <w:p w14:paraId="120D637A" w14:textId="77777777" w:rsidR="004E6D1F" w:rsidRPr="00716DF3" w:rsidRDefault="004E6D1F">
            <w:pPr>
              <w:jc w:val="center"/>
              <w:rPr>
                <w:color w:val="000000"/>
                <w:sz w:val="22"/>
                <w:szCs w:val="22"/>
              </w:rPr>
            </w:pPr>
            <w:r w:rsidRPr="00716DF3">
              <w:rPr>
                <w:color w:val="000000"/>
                <w:sz w:val="22"/>
                <w:szCs w:val="22"/>
              </w:rPr>
              <w:t>13 958,0</w:t>
            </w:r>
          </w:p>
        </w:tc>
        <w:tc>
          <w:tcPr>
            <w:tcW w:w="1151" w:type="dxa"/>
            <w:tcBorders>
              <w:top w:val="nil"/>
              <w:left w:val="nil"/>
              <w:bottom w:val="single" w:sz="4" w:space="0" w:color="auto"/>
              <w:right w:val="single" w:sz="4" w:space="0" w:color="auto"/>
            </w:tcBorders>
            <w:shd w:val="clear" w:color="auto" w:fill="auto"/>
            <w:vAlign w:val="center"/>
            <w:hideMark/>
          </w:tcPr>
          <w:p w14:paraId="26ADFA24" w14:textId="77777777" w:rsidR="004E6D1F" w:rsidRPr="00716DF3" w:rsidRDefault="004E6D1F">
            <w:pPr>
              <w:jc w:val="center"/>
              <w:rPr>
                <w:color w:val="000000"/>
                <w:sz w:val="22"/>
                <w:szCs w:val="22"/>
              </w:rPr>
            </w:pPr>
            <w:r w:rsidRPr="00716DF3">
              <w:rPr>
                <w:color w:val="000000"/>
                <w:sz w:val="22"/>
                <w:szCs w:val="22"/>
              </w:rPr>
              <w:t>21 626,7</w:t>
            </w:r>
          </w:p>
        </w:tc>
        <w:tc>
          <w:tcPr>
            <w:tcW w:w="1104" w:type="dxa"/>
            <w:tcBorders>
              <w:top w:val="nil"/>
              <w:left w:val="nil"/>
              <w:bottom w:val="single" w:sz="4" w:space="0" w:color="auto"/>
              <w:right w:val="single" w:sz="4" w:space="0" w:color="auto"/>
            </w:tcBorders>
            <w:shd w:val="clear" w:color="auto" w:fill="auto"/>
            <w:vAlign w:val="center"/>
            <w:hideMark/>
          </w:tcPr>
          <w:p w14:paraId="7B62011B" w14:textId="77777777" w:rsidR="004E6D1F" w:rsidRPr="00716DF3" w:rsidRDefault="004E6D1F">
            <w:pPr>
              <w:jc w:val="center"/>
              <w:rPr>
                <w:color w:val="000000"/>
                <w:sz w:val="22"/>
                <w:szCs w:val="22"/>
              </w:rPr>
            </w:pPr>
            <w:r w:rsidRPr="00716DF3">
              <w:rPr>
                <w:color w:val="000000"/>
                <w:sz w:val="22"/>
                <w:szCs w:val="22"/>
              </w:rPr>
              <w:t>154,9</w:t>
            </w:r>
          </w:p>
        </w:tc>
        <w:tc>
          <w:tcPr>
            <w:tcW w:w="1065" w:type="dxa"/>
            <w:tcBorders>
              <w:top w:val="nil"/>
              <w:left w:val="nil"/>
              <w:bottom w:val="single" w:sz="4" w:space="0" w:color="auto"/>
              <w:right w:val="single" w:sz="4" w:space="0" w:color="auto"/>
            </w:tcBorders>
            <w:shd w:val="clear" w:color="auto" w:fill="auto"/>
            <w:vAlign w:val="center"/>
            <w:hideMark/>
          </w:tcPr>
          <w:p w14:paraId="79D15454" w14:textId="77777777" w:rsidR="004E6D1F" w:rsidRPr="00716DF3" w:rsidRDefault="004E6D1F">
            <w:pPr>
              <w:jc w:val="center"/>
              <w:rPr>
                <w:color w:val="000000"/>
                <w:sz w:val="22"/>
                <w:szCs w:val="22"/>
              </w:rPr>
            </w:pPr>
            <w:r w:rsidRPr="00716DF3">
              <w:rPr>
                <w:color w:val="000000"/>
                <w:sz w:val="22"/>
                <w:szCs w:val="22"/>
              </w:rPr>
              <w:t>13 979,2</w:t>
            </w:r>
          </w:p>
        </w:tc>
        <w:tc>
          <w:tcPr>
            <w:tcW w:w="1096" w:type="dxa"/>
            <w:tcBorders>
              <w:top w:val="nil"/>
              <w:left w:val="nil"/>
              <w:bottom w:val="single" w:sz="4" w:space="0" w:color="auto"/>
              <w:right w:val="single" w:sz="4" w:space="0" w:color="auto"/>
            </w:tcBorders>
            <w:shd w:val="clear" w:color="auto" w:fill="auto"/>
            <w:vAlign w:val="center"/>
            <w:hideMark/>
          </w:tcPr>
          <w:p w14:paraId="6E9D0D87" w14:textId="77777777" w:rsidR="004E6D1F" w:rsidRPr="00716DF3" w:rsidRDefault="004E6D1F">
            <w:pPr>
              <w:jc w:val="center"/>
              <w:rPr>
                <w:color w:val="000000"/>
                <w:sz w:val="22"/>
                <w:szCs w:val="22"/>
              </w:rPr>
            </w:pPr>
            <w:r w:rsidRPr="00716DF3">
              <w:rPr>
                <w:color w:val="000000"/>
                <w:sz w:val="22"/>
                <w:szCs w:val="22"/>
              </w:rPr>
              <w:t>13 884,1</w:t>
            </w:r>
          </w:p>
        </w:tc>
        <w:tc>
          <w:tcPr>
            <w:tcW w:w="877" w:type="dxa"/>
            <w:tcBorders>
              <w:top w:val="nil"/>
              <w:left w:val="nil"/>
              <w:bottom w:val="single" w:sz="4" w:space="0" w:color="auto"/>
              <w:right w:val="single" w:sz="4" w:space="0" w:color="auto"/>
            </w:tcBorders>
            <w:shd w:val="clear" w:color="auto" w:fill="auto"/>
            <w:vAlign w:val="center"/>
            <w:hideMark/>
          </w:tcPr>
          <w:p w14:paraId="1A1CED5B" w14:textId="77777777" w:rsidR="004E6D1F" w:rsidRPr="00716DF3" w:rsidRDefault="004E6D1F">
            <w:pPr>
              <w:jc w:val="center"/>
              <w:rPr>
                <w:color w:val="000000"/>
                <w:sz w:val="22"/>
                <w:szCs w:val="22"/>
              </w:rPr>
            </w:pPr>
            <w:r w:rsidRPr="00716DF3">
              <w:rPr>
                <w:color w:val="000000"/>
                <w:sz w:val="22"/>
                <w:szCs w:val="22"/>
              </w:rPr>
              <w:t>99,3</w:t>
            </w:r>
          </w:p>
        </w:tc>
      </w:tr>
    </w:tbl>
    <w:p w14:paraId="7DC37FEB" w14:textId="07E27EF1" w:rsidR="0083643C" w:rsidRPr="0083643C" w:rsidRDefault="0083643C" w:rsidP="0083643C">
      <w:pPr>
        <w:autoSpaceDE w:val="0"/>
        <w:autoSpaceDN w:val="0"/>
        <w:adjustRightInd w:val="0"/>
        <w:spacing w:line="276" w:lineRule="auto"/>
        <w:ind w:firstLine="709"/>
        <w:contextualSpacing/>
        <w:jc w:val="both"/>
        <w:rPr>
          <w:sz w:val="20"/>
          <w:szCs w:val="20"/>
        </w:rPr>
      </w:pPr>
      <w:r w:rsidRPr="0083643C">
        <w:rPr>
          <w:rFonts w:eastAsia="Calibri"/>
          <w:i/>
          <w:sz w:val="20"/>
          <w:szCs w:val="20"/>
        </w:rPr>
        <w:t>Источник</w:t>
      </w:r>
      <w:r w:rsidRPr="0083643C">
        <w:rPr>
          <w:rFonts w:eastAsia="Calibri"/>
          <w:sz w:val="20"/>
          <w:szCs w:val="20"/>
        </w:rPr>
        <w:t xml:space="preserve">: </w:t>
      </w:r>
      <w:r>
        <w:rPr>
          <w:rFonts w:eastAsia="Calibri"/>
          <w:sz w:val="20"/>
          <w:szCs w:val="20"/>
        </w:rPr>
        <w:t>Пояснительная записка</w:t>
      </w:r>
    </w:p>
    <w:p w14:paraId="2DEDA9C5" w14:textId="471F1826" w:rsidR="0083643C" w:rsidRDefault="0083643C" w:rsidP="0083643C">
      <w:pPr>
        <w:ind w:firstLine="567"/>
      </w:pPr>
      <w:r>
        <w:rPr>
          <w:sz w:val="20"/>
          <w:szCs w:val="20"/>
        </w:rPr>
        <w:t>_______________</w:t>
      </w:r>
    </w:p>
    <w:p w14:paraId="0E15AD10" w14:textId="61FFD079" w:rsidR="0083643C" w:rsidRPr="0083643C" w:rsidRDefault="0083643C" w:rsidP="004E6D1F">
      <w:pPr>
        <w:autoSpaceDE w:val="0"/>
        <w:autoSpaceDN w:val="0"/>
        <w:adjustRightInd w:val="0"/>
        <w:ind w:firstLine="709"/>
        <w:contextualSpacing/>
        <w:jc w:val="both"/>
        <w:rPr>
          <w:sz w:val="20"/>
          <w:szCs w:val="20"/>
        </w:rPr>
      </w:pPr>
      <w:r>
        <w:rPr>
          <w:sz w:val="20"/>
          <w:szCs w:val="20"/>
        </w:rPr>
        <w:t>Примечание:</w:t>
      </w:r>
    </w:p>
    <w:p w14:paraId="0B98A746" w14:textId="53203D57" w:rsidR="004E6D1F" w:rsidRPr="0083643C" w:rsidRDefault="004E6D1F" w:rsidP="004E6D1F">
      <w:pPr>
        <w:autoSpaceDE w:val="0"/>
        <w:autoSpaceDN w:val="0"/>
        <w:adjustRightInd w:val="0"/>
        <w:ind w:firstLine="709"/>
        <w:contextualSpacing/>
        <w:jc w:val="both"/>
        <w:rPr>
          <w:sz w:val="20"/>
          <w:szCs w:val="20"/>
        </w:rPr>
      </w:pPr>
      <w:r w:rsidRPr="0083643C">
        <w:rPr>
          <w:sz w:val="20"/>
          <w:szCs w:val="20"/>
        </w:rPr>
        <w:t xml:space="preserve">* показатели СБР по состоянию на 1 сентября 2022 г. </w:t>
      </w:r>
    </w:p>
    <w:p w14:paraId="491BF963" w14:textId="77777777" w:rsidR="004E6D1F" w:rsidRPr="001E614B" w:rsidRDefault="004E6D1F" w:rsidP="004E6D1F">
      <w:pPr>
        <w:spacing w:line="276" w:lineRule="auto"/>
        <w:ind w:firstLine="709"/>
        <w:jc w:val="both"/>
        <w:rPr>
          <w:rFonts w:ascii="Calibri" w:eastAsia="Calibri" w:hAnsi="Calibri"/>
        </w:rPr>
      </w:pPr>
    </w:p>
    <w:p w14:paraId="513B234E" w14:textId="2588064C" w:rsidR="004E6D1F" w:rsidRPr="001E614B" w:rsidRDefault="004E6D1F" w:rsidP="0083643C">
      <w:pPr>
        <w:spacing w:line="360" w:lineRule="auto"/>
        <w:ind w:firstLine="708"/>
        <w:jc w:val="both"/>
        <w:rPr>
          <w:sz w:val="28"/>
          <w:szCs w:val="20"/>
        </w:rPr>
      </w:pPr>
      <w:r w:rsidRPr="001E614B">
        <w:rPr>
          <w:sz w:val="28"/>
          <w:szCs w:val="20"/>
        </w:rPr>
        <w:t xml:space="preserve">Предусмотренные в законопроекте объемы бюджетных ассигнований по сравнению с объемами, утвержденными Законом № 390-ФЗ, в 2023 году увеличены на 11 165,5 </w:t>
      </w:r>
      <w:proofErr w:type="gramStart"/>
      <w:r w:rsidR="00E40C69">
        <w:rPr>
          <w:sz w:val="28"/>
          <w:szCs w:val="20"/>
        </w:rPr>
        <w:t>млн</w:t>
      </w:r>
      <w:proofErr w:type="gramEnd"/>
      <w:r>
        <w:rPr>
          <w:sz w:val="28"/>
          <w:szCs w:val="20"/>
        </w:rPr>
        <w:t xml:space="preserve"> руб.</w:t>
      </w:r>
      <w:r w:rsidRPr="001E614B">
        <w:rPr>
          <w:sz w:val="28"/>
          <w:szCs w:val="20"/>
        </w:rPr>
        <w:t xml:space="preserve">, в 2024 году </w:t>
      </w:r>
      <w:r>
        <w:rPr>
          <w:sz w:val="28"/>
          <w:szCs w:val="20"/>
        </w:rPr>
        <w:t>–</w:t>
      </w:r>
      <w:r w:rsidRPr="001E614B">
        <w:rPr>
          <w:sz w:val="28"/>
          <w:szCs w:val="20"/>
        </w:rPr>
        <w:t xml:space="preserve"> на 3 317,6 </w:t>
      </w:r>
      <w:r w:rsidR="00E40C69">
        <w:rPr>
          <w:sz w:val="28"/>
          <w:szCs w:val="20"/>
        </w:rPr>
        <w:t>млн</w:t>
      </w:r>
      <w:r>
        <w:rPr>
          <w:sz w:val="28"/>
          <w:szCs w:val="20"/>
        </w:rPr>
        <w:t xml:space="preserve"> руб.</w:t>
      </w:r>
      <w:r w:rsidRPr="001E614B">
        <w:t xml:space="preserve"> </w:t>
      </w:r>
    </w:p>
    <w:p w14:paraId="64C64718" w14:textId="06BF93B3" w:rsidR="004E6D1F" w:rsidRDefault="004E6D1F" w:rsidP="0083643C">
      <w:pPr>
        <w:autoSpaceDE w:val="0"/>
        <w:autoSpaceDN w:val="0"/>
        <w:adjustRightInd w:val="0"/>
        <w:spacing w:line="360" w:lineRule="auto"/>
        <w:ind w:firstLine="709"/>
        <w:contextualSpacing/>
        <w:jc w:val="both"/>
        <w:rPr>
          <w:sz w:val="28"/>
          <w:szCs w:val="20"/>
        </w:rPr>
      </w:pPr>
      <w:r w:rsidRPr="001E614B">
        <w:rPr>
          <w:sz w:val="28"/>
          <w:szCs w:val="20"/>
        </w:rPr>
        <w:t>Расход</w:t>
      </w:r>
      <w:r>
        <w:rPr>
          <w:sz w:val="28"/>
          <w:szCs w:val="20"/>
        </w:rPr>
        <w:t>ы федерального бюджета в 2022-2025 г</w:t>
      </w:r>
      <w:r w:rsidR="0083643C">
        <w:rPr>
          <w:sz w:val="28"/>
          <w:szCs w:val="20"/>
        </w:rPr>
        <w:t>одах</w:t>
      </w:r>
      <w:r w:rsidRPr="001E614B">
        <w:rPr>
          <w:sz w:val="28"/>
          <w:szCs w:val="20"/>
        </w:rPr>
        <w:t xml:space="preserve"> на реализацию государственной программы </w:t>
      </w:r>
      <w:r w:rsidRPr="001E614B">
        <w:rPr>
          <w:i/>
          <w:sz w:val="28"/>
          <w:szCs w:val="20"/>
        </w:rPr>
        <w:t xml:space="preserve">«Развитие культуры» </w:t>
      </w:r>
      <w:r w:rsidRPr="001E614B">
        <w:rPr>
          <w:sz w:val="28"/>
          <w:szCs w:val="20"/>
        </w:rPr>
        <w:t>представлены в таблице </w:t>
      </w:r>
      <w:r w:rsidR="00A72021">
        <w:rPr>
          <w:sz w:val="28"/>
          <w:szCs w:val="20"/>
        </w:rPr>
        <w:t>2</w:t>
      </w:r>
      <w:r w:rsidR="00901ACF">
        <w:rPr>
          <w:sz w:val="28"/>
          <w:szCs w:val="20"/>
        </w:rPr>
        <w:t>1</w:t>
      </w:r>
      <w:r w:rsidRPr="001E614B">
        <w:rPr>
          <w:sz w:val="28"/>
          <w:szCs w:val="20"/>
        </w:rPr>
        <w:t>.</w:t>
      </w:r>
    </w:p>
    <w:p w14:paraId="7C4B505B" w14:textId="77777777" w:rsidR="00716DF3" w:rsidRPr="001E614B" w:rsidRDefault="00716DF3" w:rsidP="004E6D1F">
      <w:pPr>
        <w:autoSpaceDE w:val="0"/>
        <w:autoSpaceDN w:val="0"/>
        <w:adjustRightInd w:val="0"/>
        <w:spacing w:line="276" w:lineRule="auto"/>
        <w:ind w:firstLine="709"/>
        <w:contextualSpacing/>
        <w:jc w:val="both"/>
        <w:rPr>
          <w:sz w:val="28"/>
          <w:szCs w:val="20"/>
        </w:rPr>
      </w:pPr>
    </w:p>
    <w:p w14:paraId="25A242CE" w14:textId="420040A0" w:rsidR="004E6D1F" w:rsidRDefault="004E6D1F" w:rsidP="0083643C">
      <w:pPr>
        <w:keepNext/>
        <w:contextualSpacing/>
        <w:jc w:val="both"/>
        <w:rPr>
          <w:bCs/>
          <w:sz w:val="28"/>
          <w:szCs w:val="28"/>
        </w:rPr>
      </w:pPr>
      <w:r w:rsidRPr="0083643C">
        <w:rPr>
          <w:bCs/>
          <w:sz w:val="28"/>
          <w:szCs w:val="28"/>
        </w:rPr>
        <w:t xml:space="preserve">Таблица </w:t>
      </w:r>
      <w:r w:rsidR="00A72021" w:rsidRPr="0083643C">
        <w:rPr>
          <w:bCs/>
          <w:sz w:val="28"/>
          <w:szCs w:val="28"/>
        </w:rPr>
        <w:t>2</w:t>
      </w:r>
      <w:r w:rsidR="00901ACF">
        <w:rPr>
          <w:bCs/>
          <w:sz w:val="28"/>
          <w:szCs w:val="28"/>
        </w:rPr>
        <w:t>1</w:t>
      </w:r>
      <w:r w:rsidR="0083643C">
        <w:rPr>
          <w:bCs/>
          <w:sz w:val="28"/>
          <w:szCs w:val="28"/>
        </w:rPr>
        <w:t xml:space="preserve"> - </w:t>
      </w:r>
      <w:r w:rsidRPr="0083643C">
        <w:rPr>
          <w:bCs/>
          <w:sz w:val="28"/>
          <w:szCs w:val="28"/>
        </w:rPr>
        <w:t>Расходы федерального бюджета в 2022-2025 г</w:t>
      </w:r>
      <w:r w:rsidR="0083643C">
        <w:rPr>
          <w:bCs/>
          <w:sz w:val="28"/>
          <w:szCs w:val="28"/>
        </w:rPr>
        <w:t>одах</w:t>
      </w:r>
      <w:r w:rsidRPr="0083643C">
        <w:rPr>
          <w:bCs/>
          <w:sz w:val="28"/>
          <w:szCs w:val="28"/>
        </w:rPr>
        <w:t xml:space="preserve"> на реализацию государственной программы «Развитие культуры» (</w:t>
      </w:r>
      <w:proofErr w:type="gramStart"/>
      <w:r w:rsidR="00E40C69" w:rsidRPr="0083643C">
        <w:rPr>
          <w:bCs/>
          <w:sz w:val="28"/>
          <w:szCs w:val="28"/>
        </w:rPr>
        <w:t>млн</w:t>
      </w:r>
      <w:proofErr w:type="gramEnd"/>
      <w:r w:rsidRPr="0083643C">
        <w:rPr>
          <w:bCs/>
          <w:sz w:val="28"/>
          <w:szCs w:val="28"/>
        </w:rPr>
        <w:t xml:space="preserve"> руб.)</w:t>
      </w:r>
    </w:p>
    <w:p w14:paraId="7235AF4F" w14:textId="77777777" w:rsidR="0083643C" w:rsidRPr="0083643C" w:rsidRDefault="0083643C" w:rsidP="0083643C">
      <w:pPr>
        <w:keepNext/>
        <w:contextualSpacing/>
        <w:jc w:val="both"/>
        <w:rPr>
          <w:bCs/>
          <w:sz w:val="28"/>
          <w:szCs w:val="28"/>
        </w:rPr>
      </w:pPr>
    </w:p>
    <w:tbl>
      <w:tblPr>
        <w:tblW w:w="9639" w:type="dxa"/>
        <w:tblInd w:w="108" w:type="dxa"/>
        <w:tblLook w:val="04A0" w:firstRow="1" w:lastRow="0" w:firstColumn="1" w:lastColumn="0" w:noHBand="0" w:noVBand="1"/>
      </w:tblPr>
      <w:tblGrid>
        <w:gridCol w:w="1373"/>
        <w:gridCol w:w="722"/>
        <w:gridCol w:w="743"/>
        <w:gridCol w:w="806"/>
        <w:gridCol w:w="767"/>
        <w:gridCol w:w="749"/>
        <w:gridCol w:w="800"/>
        <w:gridCol w:w="767"/>
        <w:gridCol w:w="1043"/>
        <w:gridCol w:w="774"/>
        <w:gridCol w:w="1095"/>
      </w:tblGrid>
      <w:tr w:rsidR="004E6D1F" w:rsidRPr="00716DF3" w14:paraId="41A6C606" w14:textId="77777777" w:rsidTr="0083643C">
        <w:trPr>
          <w:trHeight w:val="303"/>
          <w:tblHeader/>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99F91" w14:textId="77777777" w:rsidR="004E6D1F" w:rsidRPr="00716DF3" w:rsidRDefault="004E6D1F">
            <w:pPr>
              <w:ind w:left="-57" w:right="-57"/>
              <w:jc w:val="center"/>
              <w:rPr>
                <w:b/>
                <w:color w:val="000000"/>
                <w:sz w:val="16"/>
                <w:szCs w:val="16"/>
              </w:rPr>
            </w:pPr>
            <w:r w:rsidRPr="00716DF3">
              <w:rPr>
                <w:b/>
                <w:color w:val="000000"/>
                <w:sz w:val="16"/>
                <w:szCs w:val="16"/>
              </w:rPr>
              <w:t>Наименование</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B6980" w14:textId="77777777" w:rsidR="004E6D1F" w:rsidRPr="00716DF3" w:rsidRDefault="004E6D1F">
            <w:pPr>
              <w:ind w:left="-57" w:right="-57"/>
              <w:jc w:val="center"/>
              <w:rPr>
                <w:b/>
                <w:color w:val="000000"/>
                <w:sz w:val="16"/>
                <w:szCs w:val="16"/>
              </w:rPr>
            </w:pPr>
            <w:r w:rsidRPr="00716DF3">
              <w:rPr>
                <w:b/>
                <w:color w:val="000000"/>
                <w:sz w:val="16"/>
                <w:szCs w:val="16"/>
              </w:rPr>
              <w:t>2022 год*</w:t>
            </w:r>
          </w:p>
        </w:tc>
        <w:tc>
          <w:tcPr>
            <w:tcW w:w="2316" w:type="dxa"/>
            <w:gridSpan w:val="3"/>
            <w:tcBorders>
              <w:top w:val="single" w:sz="4" w:space="0" w:color="auto"/>
              <w:left w:val="nil"/>
              <w:bottom w:val="single" w:sz="4" w:space="0" w:color="auto"/>
              <w:right w:val="single" w:sz="4" w:space="0" w:color="auto"/>
            </w:tcBorders>
            <w:shd w:val="clear" w:color="auto" w:fill="auto"/>
            <w:vAlign w:val="center"/>
            <w:hideMark/>
          </w:tcPr>
          <w:p w14:paraId="2A2B1597" w14:textId="77777777" w:rsidR="004E6D1F" w:rsidRPr="00716DF3" w:rsidRDefault="004E6D1F">
            <w:pPr>
              <w:ind w:left="-57" w:right="-57"/>
              <w:jc w:val="center"/>
              <w:rPr>
                <w:b/>
                <w:color w:val="000000"/>
                <w:sz w:val="16"/>
                <w:szCs w:val="16"/>
              </w:rPr>
            </w:pPr>
            <w:r w:rsidRPr="00716DF3">
              <w:rPr>
                <w:b/>
                <w:color w:val="000000"/>
                <w:sz w:val="16"/>
                <w:szCs w:val="16"/>
              </w:rPr>
              <w:t>2023 год</w:t>
            </w:r>
          </w:p>
        </w:tc>
        <w:tc>
          <w:tcPr>
            <w:tcW w:w="2316" w:type="dxa"/>
            <w:gridSpan w:val="3"/>
            <w:tcBorders>
              <w:top w:val="single" w:sz="4" w:space="0" w:color="auto"/>
              <w:left w:val="nil"/>
              <w:bottom w:val="single" w:sz="4" w:space="0" w:color="auto"/>
              <w:right w:val="single" w:sz="4" w:space="0" w:color="auto"/>
            </w:tcBorders>
            <w:shd w:val="clear" w:color="auto" w:fill="auto"/>
            <w:vAlign w:val="center"/>
            <w:hideMark/>
          </w:tcPr>
          <w:p w14:paraId="51E7FD46" w14:textId="77777777" w:rsidR="004E6D1F" w:rsidRPr="00716DF3" w:rsidRDefault="004E6D1F">
            <w:pPr>
              <w:ind w:left="-57" w:right="-57"/>
              <w:jc w:val="center"/>
              <w:rPr>
                <w:b/>
                <w:color w:val="000000"/>
                <w:sz w:val="16"/>
                <w:szCs w:val="16"/>
              </w:rPr>
            </w:pPr>
            <w:r w:rsidRPr="00716DF3">
              <w:rPr>
                <w:b/>
                <w:color w:val="000000"/>
                <w:sz w:val="16"/>
                <w:szCs w:val="16"/>
              </w:rPr>
              <w:t>2024 год</w:t>
            </w:r>
          </w:p>
        </w:tc>
        <w:tc>
          <w:tcPr>
            <w:tcW w:w="2912" w:type="dxa"/>
            <w:gridSpan w:val="3"/>
            <w:tcBorders>
              <w:top w:val="single" w:sz="4" w:space="0" w:color="auto"/>
              <w:left w:val="nil"/>
              <w:bottom w:val="single" w:sz="4" w:space="0" w:color="auto"/>
              <w:right w:val="single" w:sz="4" w:space="0" w:color="000000"/>
            </w:tcBorders>
            <w:shd w:val="clear" w:color="auto" w:fill="auto"/>
            <w:vAlign w:val="center"/>
            <w:hideMark/>
          </w:tcPr>
          <w:p w14:paraId="4BEC41D8" w14:textId="77777777" w:rsidR="004E6D1F" w:rsidRPr="00716DF3" w:rsidRDefault="004E6D1F">
            <w:pPr>
              <w:ind w:left="-57" w:right="-57"/>
              <w:jc w:val="center"/>
              <w:rPr>
                <w:b/>
                <w:color w:val="000000"/>
                <w:sz w:val="16"/>
                <w:szCs w:val="16"/>
              </w:rPr>
            </w:pPr>
            <w:r w:rsidRPr="00716DF3">
              <w:rPr>
                <w:b/>
                <w:color w:val="000000"/>
                <w:sz w:val="16"/>
                <w:szCs w:val="16"/>
              </w:rPr>
              <w:t>2025 год</w:t>
            </w:r>
          </w:p>
        </w:tc>
      </w:tr>
      <w:tr w:rsidR="004E6D1F" w:rsidRPr="00716DF3" w14:paraId="236A8AE4" w14:textId="77777777" w:rsidTr="0083643C">
        <w:trPr>
          <w:trHeight w:val="495"/>
          <w:tblHeader/>
        </w:trPr>
        <w:tc>
          <w:tcPr>
            <w:tcW w:w="1373" w:type="dxa"/>
            <w:vMerge/>
            <w:tcBorders>
              <w:top w:val="single" w:sz="4" w:space="0" w:color="auto"/>
              <w:left w:val="single" w:sz="4" w:space="0" w:color="auto"/>
              <w:bottom w:val="single" w:sz="4" w:space="0" w:color="auto"/>
              <w:right w:val="single" w:sz="4" w:space="0" w:color="auto"/>
            </w:tcBorders>
            <w:vAlign w:val="center"/>
            <w:hideMark/>
          </w:tcPr>
          <w:p w14:paraId="3607A3C1" w14:textId="77777777" w:rsidR="004E6D1F" w:rsidRPr="00716DF3" w:rsidRDefault="004E6D1F">
            <w:pPr>
              <w:ind w:left="-57" w:right="-57"/>
              <w:rPr>
                <w:b/>
                <w:color w:val="000000"/>
                <w:sz w:val="16"/>
                <w:szCs w:val="16"/>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5E21F934" w14:textId="77777777" w:rsidR="004E6D1F" w:rsidRPr="00716DF3" w:rsidRDefault="004E6D1F">
            <w:pPr>
              <w:ind w:left="-57" w:right="-57"/>
              <w:rPr>
                <w:b/>
                <w:color w:val="000000"/>
                <w:sz w:val="16"/>
                <w:szCs w:val="16"/>
              </w:rPr>
            </w:pPr>
          </w:p>
        </w:tc>
        <w:tc>
          <w:tcPr>
            <w:tcW w:w="743" w:type="dxa"/>
            <w:tcBorders>
              <w:top w:val="nil"/>
              <w:left w:val="nil"/>
              <w:bottom w:val="single" w:sz="4" w:space="0" w:color="auto"/>
              <w:right w:val="single" w:sz="4" w:space="0" w:color="auto"/>
            </w:tcBorders>
            <w:shd w:val="clear" w:color="auto" w:fill="auto"/>
            <w:vAlign w:val="center"/>
            <w:hideMark/>
          </w:tcPr>
          <w:p w14:paraId="586234C7" w14:textId="77777777" w:rsidR="004E6D1F" w:rsidRPr="00716DF3" w:rsidRDefault="004E6D1F">
            <w:pPr>
              <w:ind w:left="-57" w:right="-57"/>
              <w:jc w:val="center"/>
              <w:rPr>
                <w:b/>
                <w:color w:val="000000"/>
                <w:sz w:val="16"/>
                <w:szCs w:val="16"/>
              </w:rPr>
            </w:pPr>
            <w:r w:rsidRPr="00716DF3">
              <w:rPr>
                <w:b/>
                <w:color w:val="000000"/>
                <w:sz w:val="16"/>
                <w:szCs w:val="16"/>
              </w:rPr>
              <w:t>Закон</w:t>
            </w:r>
            <w:r w:rsidRPr="00716DF3">
              <w:rPr>
                <w:b/>
                <w:color w:val="000000"/>
                <w:sz w:val="16"/>
                <w:szCs w:val="16"/>
              </w:rPr>
              <w:br/>
              <w:t>№ 390-ФЗ</w:t>
            </w:r>
          </w:p>
        </w:tc>
        <w:tc>
          <w:tcPr>
            <w:tcW w:w="806" w:type="dxa"/>
            <w:tcBorders>
              <w:top w:val="nil"/>
              <w:left w:val="nil"/>
              <w:bottom w:val="single" w:sz="4" w:space="0" w:color="auto"/>
              <w:right w:val="single" w:sz="4" w:space="0" w:color="auto"/>
            </w:tcBorders>
            <w:shd w:val="clear" w:color="auto" w:fill="auto"/>
            <w:vAlign w:val="center"/>
            <w:hideMark/>
          </w:tcPr>
          <w:p w14:paraId="4A8F9DEB" w14:textId="77777777" w:rsidR="004E6D1F" w:rsidRPr="00716DF3" w:rsidRDefault="004E6D1F">
            <w:pPr>
              <w:ind w:left="-57" w:right="-57"/>
              <w:jc w:val="center"/>
              <w:rPr>
                <w:b/>
                <w:color w:val="000000"/>
                <w:sz w:val="16"/>
                <w:szCs w:val="16"/>
              </w:rPr>
            </w:pPr>
            <w:proofErr w:type="spellStart"/>
            <w:r w:rsidRPr="00716DF3">
              <w:rPr>
                <w:b/>
                <w:color w:val="000000"/>
                <w:sz w:val="16"/>
                <w:szCs w:val="16"/>
              </w:rPr>
              <w:t>Закон</w:t>
            </w:r>
            <w:proofErr w:type="gramStart"/>
            <w:r w:rsidRPr="00716DF3">
              <w:rPr>
                <w:b/>
                <w:color w:val="000000"/>
                <w:sz w:val="16"/>
                <w:szCs w:val="16"/>
              </w:rPr>
              <w:t>о</w:t>
            </w:r>
            <w:proofErr w:type="spellEnd"/>
            <w:r w:rsidRPr="00716DF3">
              <w:rPr>
                <w:b/>
                <w:color w:val="000000"/>
                <w:sz w:val="16"/>
                <w:szCs w:val="16"/>
              </w:rPr>
              <w:t>-</w:t>
            </w:r>
            <w:proofErr w:type="gramEnd"/>
            <w:r w:rsidRPr="00716DF3">
              <w:rPr>
                <w:b/>
                <w:color w:val="000000"/>
                <w:sz w:val="16"/>
                <w:szCs w:val="16"/>
              </w:rPr>
              <w:br/>
              <w:t>проект</w:t>
            </w:r>
          </w:p>
        </w:tc>
        <w:tc>
          <w:tcPr>
            <w:tcW w:w="767" w:type="dxa"/>
            <w:tcBorders>
              <w:top w:val="nil"/>
              <w:left w:val="nil"/>
              <w:bottom w:val="single" w:sz="4" w:space="0" w:color="auto"/>
              <w:right w:val="single" w:sz="4" w:space="0" w:color="auto"/>
            </w:tcBorders>
            <w:shd w:val="clear" w:color="auto" w:fill="auto"/>
            <w:vAlign w:val="center"/>
            <w:hideMark/>
          </w:tcPr>
          <w:p w14:paraId="02AA223B" w14:textId="77777777" w:rsidR="004E6D1F" w:rsidRPr="00716DF3" w:rsidRDefault="004E6D1F">
            <w:pPr>
              <w:ind w:left="-57" w:right="-57"/>
              <w:jc w:val="center"/>
              <w:rPr>
                <w:b/>
                <w:color w:val="000000"/>
                <w:sz w:val="16"/>
                <w:szCs w:val="16"/>
              </w:rPr>
            </w:pPr>
            <w:r w:rsidRPr="00716DF3">
              <w:rPr>
                <w:b/>
                <w:color w:val="000000"/>
                <w:sz w:val="16"/>
                <w:szCs w:val="16"/>
              </w:rPr>
              <w:t>Δ к закону, %</w:t>
            </w:r>
          </w:p>
        </w:tc>
        <w:tc>
          <w:tcPr>
            <w:tcW w:w="749" w:type="dxa"/>
            <w:tcBorders>
              <w:top w:val="nil"/>
              <w:left w:val="nil"/>
              <w:bottom w:val="single" w:sz="4" w:space="0" w:color="auto"/>
              <w:right w:val="single" w:sz="4" w:space="0" w:color="auto"/>
            </w:tcBorders>
            <w:shd w:val="clear" w:color="auto" w:fill="auto"/>
            <w:vAlign w:val="center"/>
            <w:hideMark/>
          </w:tcPr>
          <w:p w14:paraId="53EFED73" w14:textId="77777777" w:rsidR="004E6D1F" w:rsidRPr="00716DF3" w:rsidRDefault="004E6D1F">
            <w:pPr>
              <w:ind w:left="-57" w:right="-57"/>
              <w:jc w:val="center"/>
              <w:rPr>
                <w:b/>
                <w:color w:val="000000"/>
                <w:sz w:val="16"/>
                <w:szCs w:val="16"/>
              </w:rPr>
            </w:pPr>
            <w:r w:rsidRPr="00716DF3">
              <w:rPr>
                <w:b/>
                <w:color w:val="000000"/>
                <w:sz w:val="16"/>
                <w:szCs w:val="16"/>
              </w:rPr>
              <w:t>Закон</w:t>
            </w:r>
            <w:r w:rsidRPr="00716DF3">
              <w:rPr>
                <w:b/>
                <w:color w:val="000000"/>
                <w:sz w:val="16"/>
                <w:szCs w:val="16"/>
              </w:rPr>
              <w:br/>
              <w:t>№ 390-ФЗ</w:t>
            </w:r>
          </w:p>
        </w:tc>
        <w:tc>
          <w:tcPr>
            <w:tcW w:w="800" w:type="dxa"/>
            <w:tcBorders>
              <w:top w:val="nil"/>
              <w:left w:val="nil"/>
              <w:bottom w:val="single" w:sz="4" w:space="0" w:color="auto"/>
              <w:right w:val="single" w:sz="4" w:space="0" w:color="auto"/>
            </w:tcBorders>
            <w:shd w:val="clear" w:color="auto" w:fill="auto"/>
            <w:vAlign w:val="center"/>
            <w:hideMark/>
          </w:tcPr>
          <w:p w14:paraId="36754194" w14:textId="77777777" w:rsidR="004E6D1F" w:rsidRPr="00716DF3" w:rsidRDefault="004E6D1F">
            <w:pPr>
              <w:ind w:left="-57" w:right="-57"/>
              <w:jc w:val="center"/>
              <w:rPr>
                <w:b/>
                <w:color w:val="000000"/>
                <w:sz w:val="16"/>
                <w:szCs w:val="16"/>
              </w:rPr>
            </w:pPr>
            <w:proofErr w:type="spellStart"/>
            <w:r w:rsidRPr="00716DF3">
              <w:rPr>
                <w:b/>
                <w:color w:val="000000"/>
                <w:sz w:val="16"/>
                <w:szCs w:val="16"/>
              </w:rPr>
              <w:t>Закон</w:t>
            </w:r>
            <w:proofErr w:type="gramStart"/>
            <w:r w:rsidRPr="00716DF3">
              <w:rPr>
                <w:b/>
                <w:color w:val="000000"/>
                <w:sz w:val="16"/>
                <w:szCs w:val="16"/>
              </w:rPr>
              <w:t>о</w:t>
            </w:r>
            <w:proofErr w:type="spellEnd"/>
            <w:r w:rsidRPr="00716DF3">
              <w:rPr>
                <w:b/>
                <w:color w:val="000000"/>
                <w:sz w:val="16"/>
                <w:szCs w:val="16"/>
              </w:rPr>
              <w:t>-</w:t>
            </w:r>
            <w:proofErr w:type="gramEnd"/>
            <w:r w:rsidRPr="00716DF3">
              <w:rPr>
                <w:b/>
                <w:color w:val="000000"/>
                <w:sz w:val="16"/>
                <w:szCs w:val="16"/>
              </w:rPr>
              <w:br/>
              <w:t>проект</w:t>
            </w:r>
          </w:p>
        </w:tc>
        <w:tc>
          <w:tcPr>
            <w:tcW w:w="767" w:type="dxa"/>
            <w:tcBorders>
              <w:top w:val="nil"/>
              <w:left w:val="nil"/>
              <w:bottom w:val="single" w:sz="4" w:space="0" w:color="auto"/>
              <w:right w:val="single" w:sz="4" w:space="0" w:color="auto"/>
            </w:tcBorders>
            <w:shd w:val="clear" w:color="auto" w:fill="auto"/>
            <w:vAlign w:val="center"/>
            <w:hideMark/>
          </w:tcPr>
          <w:p w14:paraId="4B618B5A" w14:textId="77777777" w:rsidR="004E6D1F" w:rsidRPr="00716DF3" w:rsidRDefault="004E6D1F">
            <w:pPr>
              <w:ind w:left="-57" w:right="-57"/>
              <w:jc w:val="center"/>
              <w:rPr>
                <w:b/>
                <w:color w:val="000000"/>
                <w:sz w:val="16"/>
                <w:szCs w:val="16"/>
              </w:rPr>
            </w:pPr>
            <w:r w:rsidRPr="00716DF3">
              <w:rPr>
                <w:b/>
                <w:color w:val="000000"/>
                <w:sz w:val="16"/>
                <w:szCs w:val="16"/>
              </w:rPr>
              <w:t>Δ к закону, %</w:t>
            </w:r>
          </w:p>
        </w:tc>
        <w:tc>
          <w:tcPr>
            <w:tcW w:w="1043" w:type="dxa"/>
            <w:tcBorders>
              <w:top w:val="nil"/>
              <w:left w:val="nil"/>
              <w:bottom w:val="single" w:sz="4" w:space="0" w:color="auto"/>
              <w:right w:val="single" w:sz="4" w:space="0" w:color="auto"/>
            </w:tcBorders>
            <w:shd w:val="clear" w:color="auto" w:fill="auto"/>
            <w:vAlign w:val="center"/>
            <w:hideMark/>
          </w:tcPr>
          <w:p w14:paraId="782BEB8F" w14:textId="77777777" w:rsidR="004E6D1F" w:rsidRPr="00716DF3" w:rsidRDefault="004E6D1F">
            <w:pPr>
              <w:ind w:left="-57" w:right="-57"/>
              <w:jc w:val="center"/>
              <w:rPr>
                <w:b/>
                <w:color w:val="000000"/>
                <w:sz w:val="16"/>
                <w:szCs w:val="16"/>
              </w:rPr>
            </w:pPr>
            <w:r w:rsidRPr="00716DF3">
              <w:rPr>
                <w:b/>
                <w:color w:val="000000"/>
                <w:sz w:val="16"/>
                <w:szCs w:val="16"/>
              </w:rPr>
              <w:t>Бюджетный прогноз</w:t>
            </w:r>
          </w:p>
        </w:tc>
        <w:tc>
          <w:tcPr>
            <w:tcW w:w="774" w:type="dxa"/>
            <w:tcBorders>
              <w:top w:val="nil"/>
              <w:left w:val="nil"/>
              <w:bottom w:val="single" w:sz="4" w:space="0" w:color="auto"/>
              <w:right w:val="single" w:sz="4" w:space="0" w:color="auto"/>
            </w:tcBorders>
            <w:shd w:val="clear" w:color="auto" w:fill="auto"/>
            <w:vAlign w:val="center"/>
            <w:hideMark/>
          </w:tcPr>
          <w:p w14:paraId="47F8D46B" w14:textId="77777777" w:rsidR="004E6D1F" w:rsidRPr="00716DF3" w:rsidRDefault="004E6D1F">
            <w:pPr>
              <w:ind w:left="-57" w:right="-57"/>
              <w:jc w:val="center"/>
              <w:rPr>
                <w:b/>
                <w:color w:val="000000"/>
                <w:sz w:val="16"/>
                <w:szCs w:val="16"/>
              </w:rPr>
            </w:pPr>
            <w:proofErr w:type="spellStart"/>
            <w:r w:rsidRPr="00716DF3">
              <w:rPr>
                <w:b/>
                <w:color w:val="000000"/>
                <w:sz w:val="16"/>
                <w:szCs w:val="16"/>
              </w:rPr>
              <w:t>Закон</w:t>
            </w:r>
            <w:proofErr w:type="gramStart"/>
            <w:r w:rsidRPr="00716DF3">
              <w:rPr>
                <w:b/>
                <w:color w:val="000000"/>
                <w:sz w:val="16"/>
                <w:szCs w:val="16"/>
              </w:rPr>
              <w:t>о</w:t>
            </w:r>
            <w:proofErr w:type="spellEnd"/>
            <w:r w:rsidRPr="00716DF3">
              <w:rPr>
                <w:b/>
                <w:color w:val="000000"/>
                <w:sz w:val="16"/>
                <w:szCs w:val="16"/>
              </w:rPr>
              <w:t>-</w:t>
            </w:r>
            <w:proofErr w:type="gramEnd"/>
            <w:r w:rsidRPr="00716DF3">
              <w:rPr>
                <w:b/>
                <w:color w:val="000000"/>
                <w:sz w:val="16"/>
                <w:szCs w:val="16"/>
              </w:rPr>
              <w:br/>
              <w:t>проект</w:t>
            </w:r>
          </w:p>
        </w:tc>
        <w:tc>
          <w:tcPr>
            <w:tcW w:w="1095" w:type="dxa"/>
            <w:tcBorders>
              <w:top w:val="nil"/>
              <w:left w:val="nil"/>
              <w:bottom w:val="single" w:sz="4" w:space="0" w:color="auto"/>
              <w:right w:val="single" w:sz="4" w:space="0" w:color="auto"/>
            </w:tcBorders>
            <w:shd w:val="clear" w:color="auto" w:fill="auto"/>
            <w:vAlign w:val="center"/>
            <w:hideMark/>
          </w:tcPr>
          <w:p w14:paraId="2FF9F64C" w14:textId="77777777" w:rsidR="004E6D1F" w:rsidRPr="00716DF3" w:rsidRDefault="004E6D1F">
            <w:pPr>
              <w:ind w:left="-57" w:right="-57"/>
              <w:jc w:val="center"/>
              <w:rPr>
                <w:b/>
                <w:color w:val="000000"/>
                <w:sz w:val="16"/>
                <w:szCs w:val="16"/>
              </w:rPr>
            </w:pPr>
            <w:r w:rsidRPr="00716DF3">
              <w:rPr>
                <w:b/>
                <w:color w:val="000000"/>
                <w:sz w:val="16"/>
                <w:szCs w:val="16"/>
              </w:rPr>
              <w:t>Δ к Бюджетному прогнозу, %</w:t>
            </w:r>
          </w:p>
        </w:tc>
      </w:tr>
      <w:tr w:rsidR="004E6D1F" w:rsidRPr="001E614B" w14:paraId="4D2F752B" w14:textId="77777777" w:rsidTr="0083643C">
        <w:trPr>
          <w:trHeight w:val="176"/>
          <w:tblHeader/>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495F1908" w14:textId="77777777" w:rsidR="004E6D1F" w:rsidRPr="001E614B" w:rsidRDefault="004E6D1F">
            <w:pPr>
              <w:ind w:left="-57" w:right="-57"/>
              <w:jc w:val="center"/>
              <w:rPr>
                <w:color w:val="000000"/>
                <w:sz w:val="14"/>
                <w:szCs w:val="14"/>
              </w:rPr>
            </w:pPr>
            <w:r w:rsidRPr="001E614B">
              <w:rPr>
                <w:color w:val="000000"/>
                <w:sz w:val="14"/>
                <w:szCs w:val="14"/>
              </w:rPr>
              <w:t>1</w:t>
            </w:r>
          </w:p>
        </w:tc>
        <w:tc>
          <w:tcPr>
            <w:tcW w:w="722" w:type="dxa"/>
            <w:tcBorders>
              <w:top w:val="nil"/>
              <w:left w:val="nil"/>
              <w:bottom w:val="single" w:sz="4" w:space="0" w:color="auto"/>
              <w:right w:val="single" w:sz="4" w:space="0" w:color="auto"/>
            </w:tcBorders>
            <w:shd w:val="clear" w:color="auto" w:fill="auto"/>
            <w:vAlign w:val="center"/>
            <w:hideMark/>
          </w:tcPr>
          <w:p w14:paraId="60501754" w14:textId="77777777" w:rsidR="004E6D1F" w:rsidRPr="001E614B" w:rsidRDefault="004E6D1F">
            <w:pPr>
              <w:ind w:left="-57" w:right="-57"/>
              <w:jc w:val="center"/>
              <w:rPr>
                <w:color w:val="000000"/>
                <w:sz w:val="14"/>
                <w:szCs w:val="14"/>
              </w:rPr>
            </w:pPr>
            <w:r w:rsidRPr="001E614B">
              <w:rPr>
                <w:color w:val="000000"/>
                <w:sz w:val="14"/>
                <w:szCs w:val="14"/>
              </w:rPr>
              <w:t>2</w:t>
            </w:r>
          </w:p>
        </w:tc>
        <w:tc>
          <w:tcPr>
            <w:tcW w:w="743" w:type="dxa"/>
            <w:tcBorders>
              <w:top w:val="nil"/>
              <w:left w:val="nil"/>
              <w:bottom w:val="single" w:sz="4" w:space="0" w:color="auto"/>
              <w:right w:val="single" w:sz="4" w:space="0" w:color="auto"/>
            </w:tcBorders>
            <w:shd w:val="clear" w:color="auto" w:fill="auto"/>
            <w:vAlign w:val="center"/>
            <w:hideMark/>
          </w:tcPr>
          <w:p w14:paraId="7B9BE008" w14:textId="77777777" w:rsidR="004E6D1F" w:rsidRPr="001E614B" w:rsidRDefault="004E6D1F">
            <w:pPr>
              <w:ind w:left="-57" w:right="-57"/>
              <w:jc w:val="center"/>
              <w:rPr>
                <w:color w:val="000000"/>
                <w:sz w:val="14"/>
                <w:szCs w:val="14"/>
              </w:rPr>
            </w:pPr>
            <w:r w:rsidRPr="001E614B">
              <w:rPr>
                <w:color w:val="000000"/>
                <w:sz w:val="14"/>
                <w:szCs w:val="14"/>
              </w:rPr>
              <w:t>3</w:t>
            </w:r>
          </w:p>
        </w:tc>
        <w:tc>
          <w:tcPr>
            <w:tcW w:w="806" w:type="dxa"/>
            <w:tcBorders>
              <w:top w:val="nil"/>
              <w:left w:val="nil"/>
              <w:bottom w:val="single" w:sz="4" w:space="0" w:color="auto"/>
              <w:right w:val="single" w:sz="4" w:space="0" w:color="auto"/>
            </w:tcBorders>
            <w:shd w:val="clear" w:color="auto" w:fill="auto"/>
            <w:vAlign w:val="center"/>
            <w:hideMark/>
          </w:tcPr>
          <w:p w14:paraId="25EE900A" w14:textId="77777777" w:rsidR="004E6D1F" w:rsidRPr="001E614B" w:rsidRDefault="004E6D1F">
            <w:pPr>
              <w:ind w:left="-57" w:right="-57"/>
              <w:jc w:val="center"/>
              <w:rPr>
                <w:color w:val="000000"/>
                <w:sz w:val="14"/>
                <w:szCs w:val="14"/>
              </w:rPr>
            </w:pPr>
            <w:r w:rsidRPr="001E614B">
              <w:rPr>
                <w:color w:val="000000"/>
                <w:sz w:val="14"/>
                <w:szCs w:val="14"/>
              </w:rPr>
              <w:t>4</w:t>
            </w:r>
          </w:p>
        </w:tc>
        <w:tc>
          <w:tcPr>
            <w:tcW w:w="767" w:type="dxa"/>
            <w:tcBorders>
              <w:top w:val="nil"/>
              <w:left w:val="nil"/>
              <w:bottom w:val="single" w:sz="4" w:space="0" w:color="auto"/>
              <w:right w:val="single" w:sz="4" w:space="0" w:color="auto"/>
            </w:tcBorders>
            <w:shd w:val="clear" w:color="auto" w:fill="auto"/>
            <w:vAlign w:val="center"/>
            <w:hideMark/>
          </w:tcPr>
          <w:p w14:paraId="4C18904C" w14:textId="77777777" w:rsidR="004E6D1F" w:rsidRPr="001E614B" w:rsidRDefault="004E6D1F">
            <w:pPr>
              <w:ind w:left="-57" w:right="-57"/>
              <w:jc w:val="center"/>
              <w:rPr>
                <w:color w:val="000000"/>
                <w:sz w:val="14"/>
                <w:szCs w:val="14"/>
              </w:rPr>
            </w:pPr>
            <w:r w:rsidRPr="001E614B">
              <w:rPr>
                <w:color w:val="000000"/>
                <w:sz w:val="14"/>
                <w:szCs w:val="14"/>
              </w:rPr>
              <w:t>5=4/3*100</w:t>
            </w:r>
          </w:p>
        </w:tc>
        <w:tc>
          <w:tcPr>
            <w:tcW w:w="749" w:type="dxa"/>
            <w:tcBorders>
              <w:top w:val="nil"/>
              <w:left w:val="nil"/>
              <w:bottom w:val="single" w:sz="4" w:space="0" w:color="auto"/>
              <w:right w:val="single" w:sz="4" w:space="0" w:color="auto"/>
            </w:tcBorders>
            <w:shd w:val="clear" w:color="auto" w:fill="auto"/>
            <w:vAlign w:val="center"/>
            <w:hideMark/>
          </w:tcPr>
          <w:p w14:paraId="65648415" w14:textId="77777777" w:rsidR="004E6D1F" w:rsidRPr="001E614B" w:rsidRDefault="004E6D1F">
            <w:pPr>
              <w:ind w:left="-57" w:right="-57"/>
              <w:jc w:val="center"/>
              <w:rPr>
                <w:color w:val="000000"/>
                <w:sz w:val="14"/>
                <w:szCs w:val="14"/>
              </w:rPr>
            </w:pPr>
            <w:r w:rsidRPr="001E614B">
              <w:rPr>
                <w:color w:val="000000"/>
                <w:sz w:val="14"/>
                <w:szCs w:val="14"/>
              </w:rPr>
              <w:t>6</w:t>
            </w:r>
          </w:p>
        </w:tc>
        <w:tc>
          <w:tcPr>
            <w:tcW w:w="800" w:type="dxa"/>
            <w:tcBorders>
              <w:top w:val="nil"/>
              <w:left w:val="nil"/>
              <w:bottom w:val="single" w:sz="4" w:space="0" w:color="auto"/>
              <w:right w:val="single" w:sz="4" w:space="0" w:color="auto"/>
            </w:tcBorders>
            <w:shd w:val="clear" w:color="auto" w:fill="auto"/>
            <w:vAlign w:val="center"/>
            <w:hideMark/>
          </w:tcPr>
          <w:p w14:paraId="5C2BF69D" w14:textId="77777777" w:rsidR="004E6D1F" w:rsidRPr="001E614B" w:rsidRDefault="004E6D1F">
            <w:pPr>
              <w:ind w:left="-57" w:right="-57"/>
              <w:jc w:val="center"/>
              <w:rPr>
                <w:color w:val="000000"/>
                <w:sz w:val="14"/>
                <w:szCs w:val="14"/>
              </w:rPr>
            </w:pPr>
            <w:r w:rsidRPr="001E614B">
              <w:rPr>
                <w:color w:val="000000"/>
                <w:sz w:val="14"/>
                <w:szCs w:val="14"/>
              </w:rPr>
              <w:t>7</w:t>
            </w:r>
          </w:p>
        </w:tc>
        <w:tc>
          <w:tcPr>
            <w:tcW w:w="767" w:type="dxa"/>
            <w:tcBorders>
              <w:top w:val="nil"/>
              <w:left w:val="nil"/>
              <w:bottom w:val="single" w:sz="4" w:space="0" w:color="auto"/>
              <w:right w:val="single" w:sz="4" w:space="0" w:color="auto"/>
            </w:tcBorders>
            <w:shd w:val="clear" w:color="auto" w:fill="auto"/>
            <w:vAlign w:val="center"/>
            <w:hideMark/>
          </w:tcPr>
          <w:p w14:paraId="1DA0CED6" w14:textId="77777777" w:rsidR="004E6D1F" w:rsidRPr="001E614B" w:rsidRDefault="004E6D1F">
            <w:pPr>
              <w:ind w:left="-57" w:right="-57"/>
              <w:jc w:val="center"/>
              <w:rPr>
                <w:color w:val="000000"/>
                <w:sz w:val="14"/>
                <w:szCs w:val="14"/>
              </w:rPr>
            </w:pPr>
            <w:r w:rsidRPr="001E614B">
              <w:rPr>
                <w:color w:val="000000"/>
                <w:sz w:val="14"/>
                <w:szCs w:val="14"/>
              </w:rPr>
              <w:t>8=7/6*100</w:t>
            </w:r>
          </w:p>
        </w:tc>
        <w:tc>
          <w:tcPr>
            <w:tcW w:w="1043" w:type="dxa"/>
            <w:tcBorders>
              <w:top w:val="nil"/>
              <w:left w:val="nil"/>
              <w:bottom w:val="single" w:sz="4" w:space="0" w:color="auto"/>
              <w:right w:val="single" w:sz="4" w:space="0" w:color="auto"/>
            </w:tcBorders>
            <w:shd w:val="clear" w:color="auto" w:fill="auto"/>
            <w:vAlign w:val="center"/>
            <w:hideMark/>
          </w:tcPr>
          <w:p w14:paraId="3D2BAD80" w14:textId="77777777" w:rsidR="004E6D1F" w:rsidRPr="001E614B" w:rsidRDefault="004E6D1F">
            <w:pPr>
              <w:ind w:left="-57" w:right="-57"/>
              <w:jc w:val="center"/>
              <w:rPr>
                <w:color w:val="000000"/>
                <w:sz w:val="14"/>
                <w:szCs w:val="14"/>
              </w:rPr>
            </w:pPr>
            <w:r w:rsidRPr="001E614B">
              <w:rPr>
                <w:color w:val="000000"/>
                <w:sz w:val="14"/>
                <w:szCs w:val="14"/>
              </w:rPr>
              <w:t>9</w:t>
            </w:r>
          </w:p>
        </w:tc>
        <w:tc>
          <w:tcPr>
            <w:tcW w:w="774" w:type="dxa"/>
            <w:tcBorders>
              <w:top w:val="nil"/>
              <w:left w:val="nil"/>
              <w:bottom w:val="single" w:sz="4" w:space="0" w:color="auto"/>
              <w:right w:val="single" w:sz="4" w:space="0" w:color="auto"/>
            </w:tcBorders>
            <w:shd w:val="clear" w:color="auto" w:fill="auto"/>
            <w:vAlign w:val="center"/>
            <w:hideMark/>
          </w:tcPr>
          <w:p w14:paraId="4FABE576" w14:textId="77777777" w:rsidR="004E6D1F" w:rsidRPr="001E614B" w:rsidRDefault="004E6D1F">
            <w:pPr>
              <w:ind w:left="-57" w:right="-57"/>
              <w:jc w:val="center"/>
              <w:rPr>
                <w:color w:val="000000"/>
                <w:sz w:val="14"/>
                <w:szCs w:val="14"/>
              </w:rPr>
            </w:pPr>
            <w:r w:rsidRPr="001E614B">
              <w:rPr>
                <w:color w:val="000000"/>
                <w:sz w:val="14"/>
                <w:szCs w:val="14"/>
              </w:rPr>
              <w:t>10</w:t>
            </w:r>
          </w:p>
        </w:tc>
        <w:tc>
          <w:tcPr>
            <w:tcW w:w="1095" w:type="dxa"/>
            <w:tcBorders>
              <w:top w:val="nil"/>
              <w:left w:val="nil"/>
              <w:bottom w:val="single" w:sz="4" w:space="0" w:color="auto"/>
              <w:right w:val="single" w:sz="4" w:space="0" w:color="auto"/>
            </w:tcBorders>
            <w:shd w:val="clear" w:color="auto" w:fill="auto"/>
            <w:vAlign w:val="center"/>
            <w:hideMark/>
          </w:tcPr>
          <w:p w14:paraId="108EB12B" w14:textId="77777777" w:rsidR="004E6D1F" w:rsidRPr="001E614B" w:rsidRDefault="004E6D1F">
            <w:pPr>
              <w:ind w:left="-57" w:right="-57"/>
              <w:jc w:val="center"/>
              <w:rPr>
                <w:color w:val="000000"/>
                <w:sz w:val="14"/>
                <w:szCs w:val="14"/>
              </w:rPr>
            </w:pPr>
            <w:r w:rsidRPr="001E614B">
              <w:rPr>
                <w:color w:val="000000"/>
                <w:sz w:val="14"/>
                <w:szCs w:val="14"/>
              </w:rPr>
              <w:t>11=10/9*100</w:t>
            </w:r>
          </w:p>
        </w:tc>
      </w:tr>
      <w:tr w:rsidR="004E6D1F" w:rsidRPr="001E614B" w14:paraId="4620A0C8" w14:textId="77777777" w:rsidTr="0083643C">
        <w:trPr>
          <w:trHeight w:val="287"/>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30AED574" w14:textId="77777777" w:rsidR="004E6D1F" w:rsidRPr="001E614B" w:rsidRDefault="004E6D1F">
            <w:pPr>
              <w:ind w:left="-57" w:right="-57"/>
              <w:rPr>
                <w:b/>
                <w:bCs/>
                <w:color w:val="000000"/>
                <w:sz w:val="16"/>
                <w:szCs w:val="16"/>
              </w:rPr>
            </w:pPr>
            <w:r w:rsidRPr="001E614B">
              <w:rPr>
                <w:b/>
                <w:bCs/>
                <w:color w:val="000000"/>
                <w:sz w:val="16"/>
                <w:szCs w:val="16"/>
              </w:rPr>
              <w:t>Всего</w:t>
            </w:r>
          </w:p>
        </w:tc>
        <w:tc>
          <w:tcPr>
            <w:tcW w:w="722" w:type="dxa"/>
            <w:tcBorders>
              <w:top w:val="nil"/>
              <w:left w:val="nil"/>
              <w:bottom w:val="single" w:sz="4" w:space="0" w:color="auto"/>
              <w:right w:val="single" w:sz="4" w:space="0" w:color="auto"/>
            </w:tcBorders>
            <w:shd w:val="clear" w:color="auto" w:fill="auto"/>
            <w:vAlign w:val="center"/>
            <w:hideMark/>
          </w:tcPr>
          <w:p w14:paraId="3E3F8D05" w14:textId="77777777" w:rsidR="004E6D1F" w:rsidRPr="001E614B" w:rsidRDefault="004E6D1F">
            <w:pPr>
              <w:ind w:left="-57" w:right="-57"/>
              <w:jc w:val="center"/>
              <w:rPr>
                <w:b/>
                <w:bCs/>
                <w:color w:val="000000"/>
                <w:sz w:val="16"/>
                <w:szCs w:val="16"/>
              </w:rPr>
            </w:pPr>
            <w:r w:rsidRPr="001E614B">
              <w:rPr>
                <w:b/>
                <w:bCs/>
                <w:color w:val="000000"/>
                <w:sz w:val="16"/>
                <w:szCs w:val="16"/>
              </w:rPr>
              <w:t>185 193,0</w:t>
            </w:r>
          </w:p>
        </w:tc>
        <w:tc>
          <w:tcPr>
            <w:tcW w:w="743" w:type="dxa"/>
            <w:tcBorders>
              <w:top w:val="nil"/>
              <w:left w:val="nil"/>
              <w:bottom w:val="single" w:sz="4" w:space="0" w:color="auto"/>
              <w:right w:val="single" w:sz="4" w:space="0" w:color="auto"/>
            </w:tcBorders>
            <w:shd w:val="clear" w:color="auto" w:fill="auto"/>
            <w:vAlign w:val="center"/>
            <w:hideMark/>
          </w:tcPr>
          <w:p w14:paraId="2711D667" w14:textId="77777777" w:rsidR="004E6D1F" w:rsidRPr="001E614B" w:rsidRDefault="004E6D1F">
            <w:pPr>
              <w:ind w:left="-57" w:right="-57"/>
              <w:jc w:val="center"/>
              <w:rPr>
                <w:b/>
                <w:bCs/>
                <w:color w:val="000000"/>
                <w:sz w:val="16"/>
                <w:szCs w:val="16"/>
              </w:rPr>
            </w:pPr>
            <w:r w:rsidRPr="001E614B">
              <w:rPr>
                <w:b/>
                <w:bCs/>
                <w:color w:val="000000"/>
                <w:sz w:val="16"/>
                <w:szCs w:val="16"/>
              </w:rPr>
              <w:t>168 832,0</w:t>
            </w:r>
          </w:p>
        </w:tc>
        <w:tc>
          <w:tcPr>
            <w:tcW w:w="806" w:type="dxa"/>
            <w:tcBorders>
              <w:top w:val="nil"/>
              <w:left w:val="nil"/>
              <w:bottom w:val="single" w:sz="4" w:space="0" w:color="auto"/>
              <w:right w:val="single" w:sz="4" w:space="0" w:color="auto"/>
            </w:tcBorders>
            <w:shd w:val="clear" w:color="auto" w:fill="auto"/>
            <w:vAlign w:val="center"/>
            <w:hideMark/>
          </w:tcPr>
          <w:p w14:paraId="725B023C" w14:textId="77777777" w:rsidR="004E6D1F" w:rsidRPr="001E614B" w:rsidRDefault="004E6D1F">
            <w:pPr>
              <w:ind w:left="-57" w:right="-57"/>
              <w:jc w:val="center"/>
              <w:rPr>
                <w:b/>
                <w:bCs/>
                <w:color w:val="000000"/>
                <w:sz w:val="16"/>
                <w:szCs w:val="16"/>
              </w:rPr>
            </w:pPr>
            <w:r w:rsidRPr="001E614B">
              <w:rPr>
                <w:b/>
                <w:bCs/>
                <w:color w:val="000000"/>
                <w:sz w:val="16"/>
                <w:szCs w:val="16"/>
              </w:rPr>
              <w:t>175 358,5</w:t>
            </w:r>
          </w:p>
        </w:tc>
        <w:tc>
          <w:tcPr>
            <w:tcW w:w="767" w:type="dxa"/>
            <w:tcBorders>
              <w:top w:val="nil"/>
              <w:left w:val="nil"/>
              <w:bottom w:val="single" w:sz="4" w:space="0" w:color="auto"/>
              <w:right w:val="single" w:sz="4" w:space="0" w:color="auto"/>
            </w:tcBorders>
            <w:shd w:val="clear" w:color="auto" w:fill="auto"/>
            <w:vAlign w:val="center"/>
            <w:hideMark/>
          </w:tcPr>
          <w:p w14:paraId="2871A951" w14:textId="77777777" w:rsidR="004E6D1F" w:rsidRPr="001E614B" w:rsidRDefault="004E6D1F">
            <w:pPr>
              <w:ind w:left="-57" w:right="-57"/>
              <w:jc w:val="center"/>
              <w:rPr>
                <w:b/>
                <w:bCs/>
                <w:color w:val="000000"/>
                <w:sz w:val="16"/>
                <w:szCs w:val="16"/>
              </w:rPr>
            </w:pPr>
            <w:r w:rsidRPr="001E614B">
              <w:rPr>
                <w:b/>
                <w:bCs/>
                <w:color w:val="000000"/>
                <w:sz w:val="16"/>
                <w:szCs w:val="16"/>
              </w:rPr>
              <w:t>103,9</w:t>
            </w:r>
          </w:p>
        </w:tc>
        <w:tc>
          <w:tcPr>
            <w:tcW w:w="749" w:type="dxa"/>
            <w:tcBorders>
              <w:top w:val="nil"/>
              <w:left w:val="nil"/>
              <w:bottom w:val="single" w:sz="4" w:space="0" w:color="auto"/>
              <w:right w:val="single" w:sz="4" w:space="0" w:color="auto"/>
            </w:tcBorders>
            <w:shd w:val="clear" w:color="auto" w:fill="auto"/>
            <w:vAlign w:val="center"/>
            <w:hideMark/>
          </w:tcPr>
          <w:p w14:paraId="2B794319" w14:textId="77777777" w:rsidR="004E6D1F" w:rsidRPr="001E614B" w:rsidRDefault="004E6D1F">
            <w:pPr>
              <w:ind w:left="-57" w:right="-57"/>
              <w:jc w:val="center"/>
              <w:rPr>
                <w:b/>
                <w:bCs/>
                <w:color w:val="000000"/>
                <w:sz w:val="16"/>
                <w:szCs w:val="16"/>
              </w:rPr>
            </w:pPr>
            <w:r w:rsidRPr="001E614B">
              <w:rPr>
                <w:b/>
                <w:bCs/>
                <w:color w:val="000000"/>
                <w:sz w:val="16"/>
                <w:szCs w:val="16"/>
              </w:rPr>
              <w:t>176 113,2</w:t>
            </w:r>
          </w:p>
        </w:tc>
        <w:tc>
          <w:tcPr>
            <w:tcW w:w="800" w:type="dxa"/>
            <w:tcBorders>
              <w:top w:val="nil"/>
              <w:left w:val="nil"/>
              <w:bottom w:val="single" w:sz="4" w:space="0" w:color="auto"/>
              <w:right w:val="single" w:sz="4" w:space="0" w:color="auto"/>
            </w:tcBorders>
            <w:shd w:val="clear" w:color="auto" w:fill="auto"/>
            <w:vAlign w:val="center"/>
            <w:hideMark/>
          </w:tcPr>
          <w:p w14:paraId="660FD22C" w14:textId="77777777" w:rsidR="004E6D1F" w:rsidRPr="001E614B" w:rsidRDefault="004E6D1F">
            <w:pPr>
              <w:ind w:left="-57" w:right="-57"/>
              <w:jc w:val="center"/>
              <w:rPr>
                <w:b/>
                <w:bCs/>
                <w:color w:val="000000"/>
                <w:sz w:val="16"/>
                <w:szCs w:val="16"/>
              </w:rPr>
            </w:pPr>
            <w:r w:rsidRPr="001E614B">
              <w:rPr>
                <w:b/>
                <w:bCs/>
                <w:color w:val="000000"/>
                <w:sz w:val="16"/>
                <w:szCs w:val="16"/>
              </w:rPr>
              <w:t>182 198,2</w:t>
            </w:r>
          </w:p>
        </w:tc>
        <w:tc>
          <w:tcPr>
            <w:tcW w:w="767" w:type="dxa"/>
            <w:tcBorders>
              <w:top w:val="nil"/>
              <w:left w:val="nil"/>
              <w:bottom w:val="single" w:sz="4" w:space="0" w:color="auto"/>
              <w:right w:val="single" w:sz="4" w:space="0" w:color="auto"/>
            </w:tcBorders>
            <w:shd w:val="clear" w:color="auto" w:fill="auto"/>
            <w:vAlign w:val="center"/>
            <w:hideMark/>
          </w:tcPr>
          <w:p w14:paraId="07FED5C1" w14:textId="77777777" w:rsidR="004E6D1F" w:rsidRPr="001E614B" w:rsidRDefault="004E6D1F">
            <w:pPr>
              <w:ind w:left="-57" w:right="-57"/>
              <w:jc w:val="center"/>
              <w:rPr>
                <w:b/>
                <w:bCs/>
                <w:color w:val="000000"/>
                <w:sz w:val="16"/>
                <w:szCs w:val="16"/>
              </w:rPr>
            </w:pPr>
            <w:r w:rsidRPr="001E614B">
              <w:rPr>
                <w:b/>
                <w:bCs/>
                <w:color w:val="000000"/>
                <w:sz w:val="16"/>
                <w:szCs w:val="16"/>
              </w:rPr>
              <w:t>103,5</w:t>
            </w:r>
          </w:p>
        </w:tc>
        <w:tc>
          <w:tcPr>
            <w:tcW w:w="1043" w:type="dxa"/>
            <w:tcBorders>
              <w:top w:val="nil"/>
              <w:left w:val="nil"/>
              <w:bottom w:val="single" w:sz="4" w:space="0" w:color="auto"/>
              <w:right w:val="single" w:sz="4" w:space="0" w:color="auto"/>
            </w:tcBorders>
            <w:shd w:val="clear" w:color="auto" w:fill="auto"/>
            <w:vAlign w:val="center"/>
            <w:hideMark/>
          </w:tcPr>
          <w:p w14:paraId="565AF294" w14:textId="77777777" w:rsidR="004E6D1F" w:rsidRPr="001E614B" w:rsidRDefault="004E6D1F">
            <w:pPr>
              <w:ind w:left="-57" w:right="-57"/>
              <w:jc w:val="center"/>
              <w:rPr>
                <w:b/>
                <w:bCs/>
                <w:color w:val="000000"/>
                <w:sz w:val="16"/>
                <w:szCs w:val="16"/>
              </w:rPr>
            </w:pPr>
            <w:r w:rsidRPr="001E614B">
              <w:rPr>
                <w:b/>
                <w:bCs/>
                <w:color w:val="000000"/>
                <w:sz w:val="16"/>
                <w:szCs w:val="16"/>
              </w:rPr>
              <w:t>154 050,0</w:t>
            </w:r>
          </w:p>
        </w:tc>
        <w:tc>
          <w:tcPr>
            <w:tcW w:w="774" w:type="dxa"/>
            <w:tcBorders>
              <w:top w:val="nil"/>
              <w:left w:val="nil"/>
              <w:bottom w:val="single" w:sz="4" w:space="0" w:color="auto"/>
              <w:right w:val="single" w:sz="4" w:space="0" w:color="auto"/>
            </w:tcBorders>
            <w:shd w:val="clear" w:color="auto" w:fill="auto"/>
            <w:vAlign w:val="center"/>
            <w:hideMark/>
          </w:tcPr>
          <w:p w14:paraId="7A18EAB5" w14:textId="77777777" w:rsidR="004E6D1F" w:rsidRPr="001E614B" w:rsidRDefault="004E6D1F">
            <w:pPr>
              <w:ind w:left="-57" w:right="-57"/>
              <w:jc w:val="center"/>
              <w:rPr>
                <w:b/>
                <w:bCs/>
                <w:color w:val="000000"/>
                <w:sz w:val="16"/>
                <w:szCs w:val="16"/>
              </w:rPr>
            </w:pPr>
            <w:r w:rsidRPr="001E614B">
              <w:rPr>
                <w:b/>
                <w:bCs/>
                <w:color w:val="000000"/>
                <w:sz w:val="16"/>
                <w:szCs w:val="16"/>
              </w:rPr>
              <w:t>151 863,8</w:t>
            </w:r>
          </w:p>
        </w:tc>
        <w:tc>
          <w:tcPr>
            <w:tcW w:w="1095" w:type="dxa"/>
            <w:tcBorders>
              <w:top w:val="nil"/>
              <w:left w:val="nil"/>
              <w:bottom w:val="single" w:sz="4" w:space="0" w:color="auto"/>
              <w:right w:val="single" w:sz="4" w:space="0" w:color="auto"/>
            </w:tcBorders>
            <w:shd w:val="clear" w:color="auto" w:fill="auto"/>
            <w:vAlign w:val="center"/>
            <w:hideMark/>
          </w:tcPr>
          <w:p w14:paraId="28F124E1" w14:textId="77777777" w:rsidR="004E6D1F" w:rsidRPr="001E614B" w:rsidRDefault="004E6D1F">
            <w:pPr>
              <w:ind w:left="-57" w:right="-57"/>
              <w:jc w:val="center"/>
              <w:rPr>
                <w:b/>
                <w:bCs/>
                <w:color w:val="000000"/>
                <w:sz w:val="16"/>
                <w:szCs w:val="16"/>
              </w:rPr>
            </w:pPr>
            <w:r w:rsidRPr="001E614B">
              <w:rPr>
                <w:b/>
                <w:bCs/>
                <w:color w:val="000000"/>
                <w:sz w:val="16"/>
                <w:szCs w:val="16"/>
              </w:rPr>
              <w:t>98,6</w:t>
            </w:r>
          </w:p>
        </w:tc>
      </w:tr>
      <w:tr w:rsidR="004E6D1F" w:rsidRPr="001E614B" w14:paraId="7CC94683" w14:textId="77777777" w:rsidTr="0083643C">
        <w:trPr>
          <w:trHeight w:val="367"/>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6CC4F8B6" w14:textId="77777777" w:rsidR="004E6D1F" w:rsidRPr="001E614B" w:rsidRDefault="004E6D1F">
            <w:pPr>
              <w:ind w:left="-57" w:right="-57"/>
              <w:jc w:val="both"/>
              <w:rPr>
                <w:color w:val="000000"/>
                <w:sz w:val="16"/>
                <w:szCs w:val="16"/>
              </w:rPr>
            </w:pPr>
            <w:r w:rsidRPr="001E614B">
              <w:rPr>
                <w:color w:val="000000"/>
                <w:sz w:val="16"/>
                <w:szCs w:val="16"/>
              </w:rPr>
              <w:t>Федеральные проекты</w:t>
            </w:r>
          </w:p>
        </w:tc>
        <w:tc>
          <w:tcPr>
            <w:tcW w:w="722" w:type="dxa"/>
            <w:tcBorders>
              <w:top w:val="nil"/>
              <w:left w:val="nil"/>
              <w:bottom w:val="single" w:sz="4" w:space="0" w:color="auto"/>
              <w:right w:val="single" w:sz="4" w:space="0" w:color="auto"/>
            </w:tcBorders>
            <w:shd w:val="clear" w:color="auto" w:fill="auto"/>
            <w:vAlign w:val="center"/>
            <w:hideMark/>
          </w:tcPr>
          <w:p w14:paraId="5B865913" w14:textId="77777777" w:rsidR="004E6D1F" w:rsidRPr="001E614B" w:rsidRDefault="004E6D1F">
            <w:pPr>
              <w:ind w:left="-57" w:right="-57"/>
              <w:jc w:val="center"/>
              <w:rPr>
                <w:color w:val="000000"/>
                <w:sz w:val="16"/>
                <w:szCs w:val="16"/>
              </w:rPr>
            </w:pPr>
            <w:r w:rsidRPr="001E614B">
              <w:rPr>
                <w:color w:val="000000"/>
                <w:sz w:val="16"/>
                <w:szCs w:val="16"/>
              </w:rPr>
              <w:t>102 739,2</w:t>
            </w:r>
          </w:p>
        </w:tc>
        <w:tc>
          <w:tcPr>
            <w:tcW w:w="743" w:type="dxa"/>
            <w:tcBorders>
              <w:top w:val="nil"/>
              <w:left w:val="nil"/>
              <w:bottom w:val="single" w:sz="4" w:space="0" w:color="auto"/>
              <w:right w:val="single" w:sz="4" w:space="0" w:color="auto"/>
            </w:tcBorders>
            <w:shd w:val="clear" w:color="auto" w:fill="auto"/>
            <w:vAlign w:val="center"/>
            <w:hideMark/>
          </w:tcPr>
          <w:p w14:paraId="4C140A97" w14:textId="77777777" w:rsidR="004E6D1F" w:rsidRPr="001E614B" w:rsidRDefault="004E6D1F">
            <w:pPr>
              <w:ind w:left="-57" w:right="-57"/>
              <w:jc w:val="center"/>
              <w:rPr>
                <w:color w:val="000000"/>
                <w:sz w:val="16"/>
                <w:szCs w:val="16"/>
              </w:rPr>
            </w:pPr>
            <w:r w:rsidRPr="001E614B">
              <w:rPr>
                <w:color w:val="000000"/>
                <w:sz w:val="16"/>
                <w:szCs w:val="16"/>
              </w:rPr>
              <w:t>86 017,0</w:t>
            </w:r>
          </w:p>
        </w:tc>
        <w:tc>
          <w:tcPr>
            <w:tcW w:w="806" w:type="dxa"/>
            <w:tcBorders>
              <w:top w:val="nil"/>
              <w:left w:val="nil"/>
              <w:bottom w:val="single" w:sz="4" w:space="0" w:color="auto"/>
              <w:right w:val="single" w:sz="4" w:space="0" w:color="auto"/>
            </w:tcBorders>
            <w:shd w:val="clear" w:color="auto" w:fill="auto"/>
            <w:vAlign w:val="center"/>
            <w:hideMark/>
          </w:tcPr>
          <w:p w14:paraId="37E710C8" w14:textId="77777777" w:rsidR="004E6D1F" w:rsidRPr="001E614B" w:rsidRDefault="004E6D1F">
            <w:pPr>
              <w:ind w:left="-57" w:right="-57"/>
              <w:jc w:val="center"/>
              <w:rPr>
                <w:color w:val="000000"/>
                <w:sz w:val="16"/>
                <w:szCs w:val="16"/>
              </w:rPr>
            </w:pPr>
            <w:r w:rsidRPr="001E614B">
              <w:rPr>
                <w:color w:val="000000"/>
                <w:sz w:val="16"/>
                <w:szCs w:val="16"/>
              </w:rPr>
              <w:t>85 999,4</w:t>
            </w:r>
          </w:p>
        </w:tc>
        <w:tc>
          <w:tcPr>
            <w:tcW w:w="767" w:type="dxa"/>
            <w:tcBorders>
              <w:top w:val="nil"/>
              <w:left w:val="nil"/>
              <w:bottom w:val="single" w:sz="4" w:space="0" w:color="auto"/>
              <w:right w:val="single" w:sz="4" w:space="0" w:color="auto"/>
            </w:tcBorders>
            <w:shd w:val="clear" w:color="auto" w:fill="auto"/>
            <w:vAlign w:val="center"/>
            <w:hideMark/>
          </w:tcPr>
          <w:p w14:paraId="367B9EE6" w14:textId="77777777" w:rsidR="004E6D1F" w:rsidRPr="001E614B" w:rsidRDefault="004E6D1F">
            <w:pPr>
              <w:ind w:left="-57" w:right="-57"/>
              <w:jc w:val="center"/>
              <w:rPr>
                <w:color w:val="000000"/>
                <w:sz w:val="16"/>
                <w:szCs w:val="16"/>
              </w:rPr>
            </w:pPr>
            <w:r w:rsidRPr="001E614B">
              <w:rPr>
                <w:color w:val="000000"/>
                <w:sz w:val="16"/>
                <w:szCs w:val="16"/>
              </w:rPr>
              <w:t>100,0</w:t>
            </w:r>
          </w:p>
        </w:tc>
        <w:tc>
          <w:tcPr>
            <w:tcW w:w="749" w:type="dxa"/>
            <w:tcBorders>
              <w:top w:val="nil"/>
              <w:left w:val="nil"/>
              <w:bottom w:val="single" w:sz="4" w:space="0" w:color="auto"/>
              <w:right w:val="single" w:sz="4" w:space="0" w:color="auto"/>
            </w:tcBorders>
            <w:shd w:val="clear" w:color="auto" w:fill="auto"/>
            <w:vAlign w:val="center"/>
            <w:hideMark/>
          </w:tcPr>
          <w:p w14:paraId="3F8BBA04" w14:textId="77777777" w:rsidR="004E6D1F" w:rsidRPr="001E614B" w:rsidRDefault="004E6D1F">
            <w:pPr>
              <w:ind w:left="-57" w:right="-57"/>
              <w:jc w:val="center"/>
              <w:rPr>
                <w:color w:val="000000"/>
                <w:sz w:val="16"/>
                <w:szCs w:val="16"/>
              </w:rPr>
            </w:pPr>
            <w:r w:rsidRPr="001E614B">
              <w:rPr>
                <w:color w:val="000000"/>
                <w:sz w:val="16"/>
                <w:szCs w:val="16"/>
              </w:rPr>
              <w:t>91 251,0</w:t>
            </w:r>
          </w:p>
        </w:tc>
        <w:tc>
          <w:tcPr>
            <w:tcW w:w="800" w:type="dxa"/>
            <w:tcBorders>
              <w:top w:val="nil"/>
              <w:left w:val="nil"/>
              <w:bottom w:val="single" w:sz="4" w:space="0" w:color="auto"/>
              <w:right w:val="single" w:sz="4" w:space="0" w:color="auto"/>
            </w:tcBorders>
            <w:shd w:val="clear" w:color="auto" w:fill="auto"/>
            <w:vAlign w:val="center"/>
            <w:hideMark/>
          </w:tcPr>
          <w:p w14:paraId="6E6C0AD6" w14:textId="77777777" w:rsidR="004E6D1F" w:rsidRPr="001E614B" w:rsidRDefault="004E6D1F">
            <w:pPr>
              <w:ind w:left="-57" w:right="-57"/>
              <w:jc w:val="center"/>
              <w:rPr>
                <w:color w:val="000000"/>
                <w:sz w:val="16"/>
                <w:szCs w:val="16"/>
              </w:rPr>
            </w:pPr>
            <w:r w:rsidRPr="001E614B">
              <w:rPr>
                <w:color w:val="000000"/>
                <w:sz w:val="16"/>
                <w:szCs w:val="16"/>
              </w:rPr>
              <w:t>91 628,6</w:t>
            </w:r>
          </w:p>
        </w:tc>
        <w:tc>
          <w:tcPr>
            <w:tcW w:w="767" w:type="dxa"/>
            <w:tcBorders>
              <w:top w:val="nil"/>
              <w:left w:val="nil"/>
              <w:bottom w:val="single" w:sz="4" w:space="0" w:color="auto"/>
              <w:right w:val="single" w:sz="4" w:space="0" w:color="auto"/>
            </w:tcBorders>
            <w:shd w:val="clear" w:color="auto" w:fill="auto"/>
            <w:vAlign w:val="center"/>
            <w:hideMark/>
          </w:tcPr>
          <w:p w14:paraId="41E89659" w14:textId="77777777" w:rsidR="004E6D1F" w:rsidRPr="001E614B" w:rsidRDefault="004E6D1F">
            <w:pPr>
              <w:ind w:left="-57" w:right="-57"/>
              <w:jc w:val="center"/>
              <w:rPr>
                <w:color w:val="000000"/>
                <w:sz w:val="16"/>
                <w:szCs w:val="16"/>
              </w:rPr>
            </w:pPr>
            <w:r w:rsidRPr="001E614B">
              <w:rPr>
                <w:color w:val="000000"/>
                <w:sz w:val="16"/>
                <w:szCs w:val="16"/>
              </w:rPr>
              <w:t>100,4</w:t>
            </w:r>
          </w:p>
        </w:tc>
        <w:tc>
          <w:tcPr>
            <w:tcW w:w="1043" w:type="dxa"/>
            <w:tcBorders>
              <w:top w:val="nil"/>
              <w:left w:val="nil"/>
              <w:bottom w:val="single" w:sz="4" w:space="0" w:color="auto"/>
              <w:right w:val="single" w:sz="4" w:space="0" w:color="auto"/>
            </w:tcBorders>
            <w:shd w:val="clear" w:color="auto" w:fill="auto"/>
            <w:vAlign w:val="center"/>
            <w:hideMark/>
          </w:tcPr>
          <w:p w14:paraId="12DCAFAC" w14:textId="77777777" w:rsidR="004E6D1F" w:rsidRPr="001E614B" w:rsidRDefault="004E6D1F">
            <w:pPr>
              <w:ind w:left="-57" w:right="-57"/>
              <w:jc w:val="center"/>
              <w:rPr>
                <w:color w:val="000000"/>
                <w:sz w:val="16"/>
                <w:szCs w:val="16"/>
              </w:rPr>
            </w:pPr>
            <w:r w:rsidRPr="001E614B">
              <w:rPr>
                <w:color w:val="000000"/>
                <w:sz w:val="16"/>
                <w:szCs w:val="16"/>
              </w:rPr>
              <w:t>66 080,6</w:t>
            </w:r>
          </w:p>
        </w:tc>
        <w:tc>
          <w:tcPr>
            <w:tcW w:w="774" w:type="dxa"/>
            <w:tcBorders>
              <w:top w:val="nil"/>
              <w:left w:val="nil"/>
              <w:bottom w:val="single" w:sz="4" w:space="0" w:color="auto"/>
              <w:right w:val="single" w:sz="4" w:space="0" w:color="auto"/>
            </w:tcBorders>
            <w:shd w:val="clear" w:color="auto" w:fill="auto"/>
            <w:vAlign w:val="center"/>
            <w:hideMark/>
          </w:tcPr>
          <w:p w14:paraId="374C1D12" w14:textId="77777777" w:rsidR="004E6D1F" w:rsidRPr="001E614B" w:rsidRDefault="004E6D1F">
            <w:pPr>
              <w:ind w:left="-57" w:right="-57"/>
              <w:jc w:val="center"/>
              <w:rPr>
                <w:color w:val="000000"/>
                <w:sz w:val="16"/>
                <w:szCs w:val="16"/>
              </w:rPr>
            </w:pPr>
            <w:r w:rsidRPr="001E614B">
              <w:rPr>
                <w:color w:val="000000"/>
                <w:sz w:val="16"/>
                <w:szCs w:val="16"/>
              </w:rPr>
              <w:t>58 143,3</w:t>
            </w:r>
          </w:p>
        </w:tc>
        <w:tc>
          <w:tcPr>
            <w:tcW w:w="1095" w:type="dxa"/>
            <w:tcBorders>
              <w:top w:val="nil"/>
              <w:left w:val="nil"/>
              <w:bottom w:val="single" w:sz="4" w:space="0" w:color="auto"/>
              <w:right w:val="single" w:sz="4" w:space="0" w:color="auto"/>
            </w:tcBorders>
            <w:shd w:val="clear" w:color="auto" w:fill="auto"/>
            <w:vAlign w:val="center"/>
            <w:hideMark/>
          </w:tcPr>
          <w:p w14:paraId="7E040F3B" w14:textId="77777777" w:rsidR="004E6D1F" w:rsidRPr="001E614B" w:rsidRDefault="004E6D1F">
            <w:pPr>
              <w:ind w:left="-57" w:right="-57"/>
              <w:jc w:val="center"/>
              <w:rPr>
                <w:color w:val="000000"/>
                <w:sz w:val="16"/>
                <w:szCs w:val="16"/>
              </w:rPr>
            </w:pPr>
            <w:r w:rsidRPr="001E614B">
              <w:rPr>
                <w:color w:val="000000"/>
                <w:sz w:val="16"/>
                <w:szCs w:val="16"/>
              </w:rPr>
              <w:t>88,0</w:t>
            </w:r>
          </w:p>
        </w:tc>
      </w:tr>
      <w:tr w:rsidR="004E6D1F" w:rsidRPr="001E614B" w14:paraId="20B639C8" w14:textId="77777777" w:rsidTr="0083643C">
        <w:trPr>
          <w:trHeight w:val="71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50A30800" w14:textId="77777777" w:rsidR="004E6D1F" w:rsidRPr="001E614B" w:rsidRDefault="004E6D1F">
            <w:pPr>
              <w:ind w:left="-57" w:right="-57"/>
              <w:jc w:val="both"/>
              <w:rPr>
                <w:color w:val="000000"/>
                <w:sz w:val="16"/>
                <w:szCs w:val="16"/>
              </w:rPr>
            </w:pPr>
            <w:r w:rsidRPr="001E614B">
              <w:rPr>
                <w:color w:val="000000"/>
                <w:sz w:val="16"/>
                <w:szCs w:val="16"/>
              </w:rPr>
              <w:t>Федеральный проект «Сохранение культурного и исторического наследия»</w:t>
            </w:r>
          </w:p>
        </w:tc>
        <w:tc>
          <w:tcPr>
            <w:tcW w:w="722" w:type="dxa"/>
            <w:tcBorders>
              <w:top w:val="nil"/>
              <w:left w:val="nil"/>
              <w:bottom w:val="single" w:sz="4" w:space="0" w:color="auto"/>
              <w:right w:val="single" w:sz="4" w:space="0" w:color="auto"/>
            </w:tcBorders>
            <w:shd w:val="clear" w:color="auto" w:fill="auto"/>
            <w:vAlign w:val="center"/>
            <w:hideMark/>
          </w:tcPr>
          <w:p w14:paraId="1976BDF2" w14:textId="77777777" w:rsidR="004E6D1F" w:rsidRPr="001E614B" w:rsidRDefault="004E6D1F">
            <w:pPr>
              <w:ind w:left="-57" w:right="-57"/>
              <w:jc w:val="center"/>
              <w:rPr>
                <w:color w:val="000000"/>
                <w:sz w:val="16"/>
                <w:szCs w:val="16"/>
              </w:rPr>
            </w:pPr>
            <w:r w:rsidRPr="001E614B">
              <w:rPr>
                <w:color w:val="000000"/>
                <w:sz w:val="16"/>
                <w:szCs w:val="16"/>
              </w:rPr>
              <w:t>16 076,1</w:t>
            </w:r>
          </w:p>
        </w:tc>
        <w:tc>
          <w:tcPr>
            <w:tcW w:w="743" w:type="dxa"/>
            <w:tcBorders>
              <w:top w:val="nil"/>
              <w:left w:val="nil"/>
              <w:bottom w:val="single" w:sz="4" w:space="0" w:color="auto"/>
              <w:right w:val="single" w:sz="4" w:space="0" w:color="auto"/>
            </w:tcBorders>
            <w:shd w:val="clear" w:color="auto" w:fill="auto"/>
            <w:vAlign w:val="center"/>
            <w:hideMark/>
          </w:tcPr>
          <w:p w14:paraId="7B61AD80" w14:textId="77777777" w:rsidR="004E6D1F" w:rsidRPr="001E614B" w:rsidRDefault="004E6D1F">
            <w:pPr>
              <w:ind w:left="-57" w:right="-57"/>
              <w:jc w:val="center"/>
              <w:rPr>
                <w:color w:val="000000"/>
                <w:sz w:val="16"/>
                <w:szCs w:val="16"/>
              </w:rPr>
            </w:pPr>
            <w:r w:rsidRPr="001E614B">
              <w:rPr>
                <w:color w:val="000000"/>
                <w:sz w:val="16"/>
                <w:szCs w:val="16"/>
              </w:rPr>
              <w:t>8 402,7</w:t>
            </w:r>
          </w:p>
        </w:tc>
        <w:tc>
          <w:tcPr>
            <w:tcW w:w="806" w:type="dxa"/>
            <w:tcBorders>
              <w:top w:val="nil"/>
              <w:left w:val="nil"/>
              <w:bottom w:val="single" w:sz="4" w:space="0" w:color="auto"/>
              <w:right w:val="single" w:sz="4" w:space="0" w:color="auto"/>
            </w:tcBorders>
            <w:shd w:val="clear" w:color="auto" w:fill="auto"/>
            <w:vAlign w:val="center"/>
            <w:hideMark/>
          </w:tcPr>
          <w:p w14:paraId="6D49F75E" w14:textId="77777777" w:rsidR="004E6D1F" w:rsidRPr="001E614B" w:rsidRDefault="004E6D1F">
            <w:pPr>
              <w:ind w:left="-57" w:right="-57"/>
              <w:jc w:val="center"/>
              <w:rPr>
                <w:color w:val="000000"/>
                <w:sz w:val="16"/>
                <w:szCs w:val="16"/>
              </w:rPr>
            </w:pPr>
            <w:r w:rsidRPr="001E614B">
              <w:rPr>
                <w:color w:val="000000"/>
                <w:sz w:val="16"/>
                <w:szCs w:val="16"/>
              </w:rPr>
              <w:t>6 777,1</w:t>
            </w:r>
          </w:p>
        </w:tc>
        <w:tc>
          <w:tcPr>
            <w:tcW w:w="767" w:type="dxa"/>
            <w:tcBorders>
              <w:top w:val="nil"/>
              <w:left w:val="nil"/>
              <w:bottom w:val="single" w:sz="4" w:space="0" w:color="auto"/>
              <w:right w:val="single" w:sz="4" w:space="0" w:color="auto"/>
            </w:tcBorders>
            <w:shd w:val="clear" w:color="auto" w:fill="auto"/>
            <w:vAlign w:val="center"/>
            <w:hideMark/>
          </w:tcPr>
          <w:p w14:paraId="49A3B255" w14:textId="77777777" w:rsidR="004E6D1F" w:rsidRPr="001E614B" w:rsidRDefault="004E6D1F">
            <w:pPr>
              <w:ind w:left="-57" w:right="-57"/>
              <w:jc w:val="center"/>
              <w:rPr>
                <w:color w:val="000000"/>
                <w:sz w:val="16"/>
                <w:szCs w:val="16"/>
              </w:rPr>
            </w:pPr>
            <w:r w:rsidRPr="001E614B">
              <w:rPr>
                <w:color w:val="000000"/>
                <w:sz w:val="16"/>
                <w:szCs w:val="16"/>
              </w:rPr>
              <w:t>80,7</w:t>
            </w:r>
          </w:p>
        </w:tc>
        <w:tc>
          <w:tcPr>
            <w:tcW w:w="749" w:type="dxa"/>
            <w:tcBorders>
              <w:top w:val="nil"/>
              <w:left w:val="nil"/>
              <w:bottom w:val="single" w:sz="4" w:space="0" w:color="auto"/>
              <w:right w:val="single" w:sz="4" w:space="0" w:color="auto"/>
            </w:tcBorders>
            <w:shd w:val="clear" w:color="auto" w:fill="auto"/>
            <w:vAlign w:val="center"/>
            <w:hideMark/>
          </w:tcPr>
          <w:p w14:paraId="27FD30FC" w14:textId="77777777" w:rsidR="004E6D1F" w:rsidRPr="001E614B" w:rsidRDefault="004E6D1F">
            <w:pPr>
              <w:ind w:left="-57" w:right="-57"/>
              <w:jc w:val="center"/>
              <w:rPr>
                <w:color w:val="000000"/>
                <w:sz w:val="16"/>
                <w:szCs w:val="16"/>
              </w:rPr>
            </w:pPr>
            <w:r w:rsidRPr="001E614B">
              <w:rPr>
                <w:color w:val="000000"/>
                <w:sz w:val="16"/>
                <w:szCs w:val="16"/>
              </w:rPr>
              <w:t>7 687,0</w:t>
            </w:r>
          </w:p>
        </w:tc>
        <w:tc>
          <w:tcPr>
            <w:tcW w:w="800" w:type="dxa"/>
            <w:tcBorders>
              <w:top w:val="nil"/>
              <w:left w:val="nil"/>
              <w:bottom w:val="single" w:sz="4" w:space="0" w:color="auto"/>
              <w:right w:val="single" w:sz="4" w:space="0" w:color="auto"/>
            </w:tcBorders>
            <w:shd w:val="clear" w:color="auto" w:fill="auto"/>
            <w:vAlign w:val="center"/>
            <w:hideMark/>
          </w:tcPr>
          <w:p w14:paraId="374CFFAD" w14:textId="77777777" w:rsidR="004E6D1F" w:rsidRPr="001E614B" w:rsidRDefault="004E6D1F">
            <w:pPr>
              <w:ind w:left="-57" w:right="-57"/>
              <w:jc w:val="center"/>
              <w:rPr>
                <w:color w:val="000000"/>
                <w:sz w:val="16"/>
                <w:szCs w:val="16"/>
              </w:rPr>
            </w:pPr>
            <w:r w:rsidRPr="001E614B">
              <w:rPr>
                <w:color w:val="000000"/>
                <w:sz w:val="16"/>
                <w:szCs w:val="16"/>
              </w:rPr>
              <w:t>11 939,1</w:t>
            </w:r>
          </w:p>
        </w:tc>
        <w:tc>
          <w:tcPr>
            <w:tcW w:w="767" w:type="dxa"/>
            <w:tcBorders>
              <w:top w:val="nil"/>
              <w:left w:val="nil"/>
              <w:bottom w:val="single" w:sz="4" w:space="0" w:color="auto"/>
              <w:right w:val="single" w:sz="4" w:space="0" w:color="auto"/>
            </w:tcBorders>
            <w:shd w:val="clear" w:color="auto" w:fill="auto"/>
            <w:vAlign w:val="center"/>
            <w:hideMark/>
          </w:tcPr>
          <w:p w14:paraId="1FF9584E" w14:textId="77777777" w:rsidR="004E6D1F" w:rsidRPr="001E614B" w:rsidRDefault="004E6D1F">
            <w:pPr>
              <w:ind w:left="-57" w:right="-57"/>
              <w:jc w:val="center"/>
              <w:rPr>
                <w:color w:val="000000"/>
                <w:sz w:val="16"/>
                <w:szCs w:val="16"/>
              </w:rPr>
            </w:pPr>
            <w:r w:rsidRPr="001E614B">
              <w:rPr>
                <w:color w:val="000000"/>
                <w:sz w:val="16"/>
                <w:szCs w:val="16"/>
              </w:rPr>
              <w:t>155,3</w:t>
            </w:r>
          </w:p>
        </w:tc>
        <w:tc>
          <w:tcPr>
            <w:tcW w:w="1043" w:type="dxa"/>
            <w:tcBorders>
              <w:top w:val="nil"/>
              <w:left w:val="nil"/>
              <w:bottom w:val="single" w:sz="4" w:space="0" w:color="auto"/>
              <w:right w:val="single" w:sz="4" w:space="0" w:color="auto"/>
            </w:tcBorders>
            <w:shd w:val="clear" w:color="auto" w:fill="auto"/>
            <w:vAlign w:val="center"/>
            <w:hideMark/>
          </w:tcPr>
          <w:p w14:paraId="3BBD749D" w14:textId="77777777" w:rsidR="004E6D1F" w:rsidRPr="001E614B" w:rsidRDefault="004E6D1F">
            <w:pPr>
              <w:ind w:left="-57" w:right="-57"/>
              <w:jc w:val="center"/>
              <w:rPr>
                <w:color w:val="000000"/>
                <w:sz w:val="16"/>
                <w:szCs w:val="16"/>
              </w:rPr>
            </w:pPr>
            <w:r w:rsidRPr="001E614B">
              <w:rPr>
                <w:color w:val="000000"/>
                <w:sz w:val="16"/>
                <w:szCs w:val="16"/>
              </w:rPr>
              <w:t>7 728,1</w:t>
            </w:r>
          </w:p>
        </w:tc>
        <w:tc>
          <w:tcPr>
            <w:tcW w:w="774" w:type="dxa"/>
            <w:tcBorders>
              <w:top w:val="nil"/>
              <w:left w:val="nil"/>
              <w:bottom w:val="single" w:sz="4" w:space="0" w:color="auto"/>
              <w:right w:val="single" w:sz="4" w:space="0" w:color="auto"/>
            </w:tcBorders>
            <w:shd w:val="clear" w:color="auto" w:fill="auto"/>
            <w:vAlign w:val="center"/>
            <w:hideMark/>
          </w:tcPr>
          <w:p w14:paraId="6E2F816D" w14:textId="77777777" w:rsidR="004E6D1F" w:rsidRPr="001E614B" w:rsidRDefault="004E6D1F">
            <w:pPr>
              <w:ind w:left="-57" w:right="-57"/>
              <w:jc w:val="center"/>
              <w:rPr>
                <w:color w:val="000000"/>
                <w:sz w:val="16"/>
                <w:szCs w:val="16"/>
              </w:rPr>
            </w:pPr>
            <w:r w:rsidRPr="001E614B">
              <w:rPr>
                <w:color w:val="000000"/>
                <w:sz w:val="16"/>
                <w:szCs w:val="16"/>
              </w:rPr>
              <w:t>7 192,2</w:t>
            </w:r>
          </w:p>
        </w:tc>
        <w:tc>
          <w:tcPr>
            <w:tcW w:w="1095" w:type="dxa"/>
            <w:tcBorders>
              <w:top w:val="nil"/>
              <w:left w:val="nil"/>
              <w:bottom w:val="single" w:sz="4" w:space="0" w:color="auto"/>
              <w:right w:val="single" w:sz="4" w:space="0" w:color="auto"/>
            </w:tcBorders>
            <w:shd w:val="clear" w:color="auto" w:fill="auto"/>
            <w:vAlign w:val="center"/>
            <w:hideMark/>
          </w:tcPr>
          <w:p w14:paraId="2F851CFF" w14:textId="77777777" w:rsidR="004E6D1F" w:rsidRPr="001E614B" w:rsidRDefault="004E6D1F">
            <w:pPr>
              <w:ind w:left="-57" w:right="-57"/>
              <w:jc w:val="center"/>
              <w:rPr>
                <w:color w:val="000000"/>
                <w:sz w:val="16"/>
                <w:szCs w:val="16"/>
              </w:rPr>
            </w:pPr>
            <w:r w:rsidRPr="001E614B">
              <w:rPr>
                <w:color w:val="000000"/>
                <w:sz w:val="16"/>
                <w:szCs w:val="16"/>
              </w:rPr>
              <w:t>93,1</w:t>
            </w:r>
          </w:p>
        </w:tc>
      </w:tr>
      <w:tr w:rsidR="004E6D1F" w:rsidRPr="001E614B" w14:paraId="562B17D6" w14:textId="77777777" w:rsidTr="0083643C">
        <w:trPr>
          <w:trHeight w:val="71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09D36AA7" w14:textId="77777777" w:rsidR="004E6D1F" w:rsidRPr="001E614B" w:rsidRDefault="004E6D1F">
            <w:pPr>
              <w:ind w:left="-57" w:right="-57"/>
              <w:jc w:val="both"/>
              <w:rPr>
                <w:color w:val="000000"/>
                <w:sz w:val="16"/>
                <w:szCs w:val="16"/>
              </w:rPr>
            </w:pPr>
            <w:r w:rsidRPr="001E614B">
              <w:rPr>
                <w:color w:val="000000"/>
                <w:sz w:val="16"/>
                <w:szCs w:val="16"/>
              </w:rPr>
              <w:t>Федеральный проект «Развитие инфраструктуры в сфере культуры»</w:t>
            </w:r>
          </w:p>
        </w:tc>
        <w:tc>
          <w:tcPr>
            <w:tcW w:w="722" w:type="dxa"/>
            <w:tcBorders>
              <w:top w:val="nil"/>
              <w:left w:val="nil"/>
              <w:bottom w:val="single" w:sz="4" w:space="0" w:color="auto"/>
              <w:right w:val="single" w:sz="4" w:space="0" w:color="auto"/>
            </w:tcBorders>
            <w:shd w:val="clear" w:color="auto" w:fill="auto"/>
            <w:vAlign w:val="center"/>
            <w:hideMark/>
          </w:tcPr>
          <w:p w14:paraId="0EAF369A" w14:textId="77777777" w:rsidR="004E6D1F" w:rsidRPr="001E614B" w:rsidRDefault="004E6D1F">
            <w:pPr>
              <w:ind w:left="-57" w:right="-57"/>
              <w:jc w:val="center"/>
              <w:rPr>
                <w:color w:val="000000"/>
                <w:sz w:val="16"/>
                <w:szCs w:val="16"/>
              </w:rPr>
            </w:pPr>
            <w:r w:rsidRPr="001E614B">
              <w:rPr>
                <w:color w:val="000000"/>
                <w:sz w:val="16"/>
                <w:szCs w:val="16"/>
              </w:rPr>
              <w:t>14 848,4</w:t>
            </w:r>
          </w:p>
        </w:tc>
        <w:tc>
          <w:tcPr>
            <w:tcW w:w="743" w:type="dxa"/>
            <w:tcBorders>
              <w:top w:val="nil"/>
              <w:left w:val="nil"/>
              <w:bottom w:val="single" w:sz="4" w:space="0" w:color="auto"/>
              <w:right w:val="single" w:sz="4" w:space="0" w:color="auto"/>
            </w:tcBorders>
            <w:shd w:val="clear" w:color="auto" w:fill="auto"/>
            <w:vAlign w:val="center"/>
            <w:hideMark/>
          </w:tcPr>
          <w:p w14:paraId="72CE72AE" w14:textId="77777777" w:rsidR="004E6D1F" w:rsidRPr="001E614B" w:rsidRDefault="004E6D1F">
            <w:pPr>
              <w:ind w:left="-57" w:right="-57"/>
              <w:jc w:val="center"/>
              <w:rPr>
                <w:color w:val="000000"/>
                <w:sz w:val="16"/>
                <w:szCs w:val="16"/>
              </w:rPr>
            </w:pPr>
            <w:r w:rsidRPr="001E614B">
              <w:rPr>
                <w:color w:val="000000"/>
                <w:sz w:val="16"/>
                <w:szCs w:val="16"/>
              </w:rPr>
              <w:t>4 887,6</w:t>
            </w:r>
          </w:p>
        </w:tc>
        <w:tc>
          <w:tcPr>
            <w:tcW w:w="806" w:type="dxa"/>
            <w:tcBorders>
              <w:top w:val="nil"/>
              <w:left w:val="nil"/>
              <w:bottom w:val="single" w:sz="4" w:space="0" w:color="auto"/>
              <w:right w:val="single" w:sz="4" w:space="0" w:color="auto"/>
            </w:tcBorders>
            <w:shd w:val="clear" w:color="auto" w:fill="auto"/>
            <w:vAlign w:val="center"/>
            <w:hideMark/>
          </w:tcPr>
          <w:p w14:paraId="75127B03" w14:textId="77777777" w:rsidR="004E6D1F" w:rsidRPr="001E614B" w:rsidRDefault="004E6D1F">
            <w:pPr>
              <w:ind w:left="-57" w:right="-57"/>
              <w:jc w:val="center"/>
              <w:rPr>
                <w:color w:val="000000"/>
                <w:sz w:val="16"/>
                <w:szCs w:val="16"/>
              </w:rPr>
            </w:pPr>
            <w:r w:rsidRPr="001E614B">
              <w:rPr>
                <w:color w:val="000000"/>
                <w:sz w:val="16"/>
                <w:szCs w:val="16"/>
              </w:rPr>
              <w:t>8 131,2</w:t>
            </w:r>
          </w:p>
        </w:tc>
        <w:tc>
          <w:tcPr>
            <w:tcW w:w="767" w:type="dxa"/>
            <w:tcBorders>
              <w:top w:val="nil"/>
              <w:left w:val="nil"/>
              <w:bottom w:val="single" w:sz="4" w:space="0" w:color="auto"/>
              <w:right w:val="single" w:sz="4" w:space="0" w:color="auto"/>
            </w:tcBorders>
            <w:shd w:val="clear" w:color="auto" w:fill="auto"/>
            <w:vAlign w:val="center"/>
            <w:hideMark/>
          </w:tcPr>
          <w:p w14:paraId="61062164" w14:textId="77777777" w:rsidR="004E6D1F" w:rsidRPr="001E614B" w:rsidRDefault="004E6D1F">
            <w:pPr>
              <w:ind w:left="-57" w:right="-57"/>
              <w:jc w:val="center"/>
              <w:rPr>
                <w:color w:val="000000"/>
                <w:sz w:val="16"/>
                <w:szCs w:val="16"/>
              </w:rPr>
            </w:pPr>
            <w:r w:rsidRPr="001E614B">
              <w:rPr>
                <w:color w:val="000000"/>
                <w:sz w:val="16"/>
                <w:szCs w:val="16"/>
              </w:rPr>
              <w:t>166,4</w:t>
            </w:r>
          </w:p>
        </w:tc>
        <w:tc>
          <w:tcPr>
            <w:tcW w:w="749" w:type="dxa"/>
            <w:tcBorders>
              <w:top w:val="nil"/>
              <w:left w:val="nil"/>
              <w:bottom w:val="single" w:sz="4" w:space="0" w:color="auto"/>
              <w:right w:val="single" w:sz="4" w:space="0" w:color="auto"/>
            </w:tcBorders>
            <w:shd w:val="clear" w:color="auto" w:fill="auto"/>
            <w:vAlign w:val="center"/>
            <w:hideMark/>
          </w:tcPr>
          <w:p w14:paraId="433BEA8B" w14:textId="77777777" w:rsidR="004E6D1F" w:rsidRPr="001E614B" w:rsidRDefault="004E6D1F">
            <w:pPr>
              <w:ind w:left="-57" w:right="-57"/>
              <w:jc w:val="center"/>
              <w:rPr>
                <w:color w:val="000000"/>
                <w:sz w:val="16"/>
                <w:szCs w:val="16"/>
              </w:rPr>
            </w:pPr>
            <w:r w:rsidRPr="001E614B">
              <w:rPr>
                <w:color w:val="000000"/>
                <w:sz w:val="16"/>
                <w:szCs w:val="16"/>
              </w:rPr>
              <w:t>3 001,9</w:t>
            </w:r>
          </w:p>
        </w:tc>
        <w:tc>
          <w:tcPr>
            <w:tcW w:w="800" w:type="dxa"/>
            <w:tcBorders>
              <w:top w:val="nil"/>
              <w:left w:val="nil"/>
              <w:bottom w:val="single" w:sz="4" w:space="0" w:color="auto"/>
              <w:right w:val="single" w:sz="4" w:space="0" w:color="auto"/>
            </w:tcBorders>
            <w:shd w:val="clear" w:color="auto" w:fill="auto"/>
            <w:vAlign w:val="center"/>
            <w:hideMark/>
          </w:tcPr>
          <w:p w14:paraId="6CA1C1F1" w14:textId="77777777" w:rsidR="004E6D1F" w:rsidRPr="001E614B" w:rsidRDefault="004E6D1F">
            <w:pPr>
              <w:ind w:left="-57" w:right="-57"/>
              <w:jc w:val="center"/>
              <w:rPr>
                <w:color w:val="000000"/>
                <w:sz w:val="16"/>
                <w:szCs w:val="16"/>
              </w:rPr>
            </w:pPr>
            <w:r w:rsidRPr="001E614B">
              <w:rPr>
                <w:color w:val="000000"/>
                <w:sz w:val="16"/>
                <w:szCs w:val="16"/>
              </w:rPr>
              <w:t>7 302,7</w:t>
            </w:r>
          </w:p>
        </w:tc>
        <w:tc>
          <w:tcPr>
            <w:tcW w:w="767" w:type="dxa"/>
            <w:tcBorders>
              <w:top w:val="nil"/>
              <w:left w:val="nil"/>
              <w:bottom w:val="single" w:sz="4" w:space="0" w:color="auto"/>
              <w:right w:val="single" w:sz="4" w:space="0" w:color="auto"/>
            </w:tcBorders>
            <w:shd w:val="clear" w:color="auto" w:fill="auto"/>
            <w:vAlign w:val="center"/>
            <w:hideMark/>
          </w:tcPr>
          <w:p w14:paraId="149A2687" w14:textId="77777777" w:rsidR="004E6D1F" w:rsidRPr="001E614B" w:rsidRDefault="004E6D1F">
            <w:pPr>
              <w:ind w:left="-57" w:right="-57"/>
              <w:jc w:val="center"/>
              <w:rPr>
                <w:color w:val="000000"/>
                <w:sz w:val="16"/>
                <w:szCs w:val="16"/>
              </w:rPr>
            </w:pPr>
            <w:r w:rsidRPr="001E614B">
              <w:rPr>
                <w:color w:val="000000"/>
                <w:sz w:val="16"/>
                <w:szCs w:val="16"/>
              </w:rPr>
              <w:t>243,3</w:t>
            </w:r>
          </w:p>
        </w:tc>
        <w:tc>
          <w:tcPr>
            <w:tcW w:w="1043" w:type="dxa"/>
            <w:tcBorders>
              <w:top w:val="nil"/>
              <w:left w:val="nil"/>
              <w:bottom w:val="single" w:sz="4" w:space="0" w:color="auto"/>
              <w:right w:val="single" w:sz="4" w:space="0" w:color="auto"/>
            </w:tcBorders>
            <w:shd w:val="clear" w:color="auto" w:fill="auto"/>
            <w:vAlign w:val="center"/>
            <w:hideMark/>
          </w:tcPr>
          <w:p w14:paraId="78C4B2C6" w14:textId="77777777" w:rsidR="004E6D1F" w:rsidRPr="001E614B" w:rsidRDefault="004E6D1F">
            <w:pPr>
              <w:ind w:left="-57" w:right="-57"/>
              <w:jc w:val="center"/>
              <w:rPr>
                <w:color w:val="000000"/>
                <w:sz w:val="16"/>
                <w:szCs w:val="16"/>
              </w:rPr>
            </w:pPr>
            <w:r w:rsidRPr="001E614B">
              <w:rPr>
                <w:color w:val="000000"/>
                <w:sz w:val="16"/>
                <w:szCs w:val="16"/>
              </w:rPr>
              <w:t>3 001,9</w:t>
            </w:r>
          </w:p>
        </w:tc>
        <w:tc>
          <w:tcPr>
            <w:tcW w:w="774" w:type="dxa"/>
            <w:tcBorders>
              <w:top w:val="nil"/>
              <w:left w:val="nil"/>
              <w:bottom w:val="single" w:sz="4" w:space="0" w:color="auto"/>
              <w:right w:val="single" w:sz="4" w:space="0" w:color="auto"/>
            </w:tcBorders>
            <w:shd w:val="clear" w:color="auto" w:fill="auto"/>
            <w:vAlign w:val="center"/>
            <w:hideMark/>
          </w:tcPr>
          <w:p w14:paraId="2D0B5CCD" w14:textId="77777777" w:rsidR="004E6D1F" w:rsidRPr="001E614B" w:rsidRDefault="004E6D1F">
            <w:pPr>
              <w:ind w:left="-57" w:right="-57"/>
              <w:jc w:val="center"/>
              <w:rPr>
                <w:color w:val="000000"/>
                <w:sz w:val="16"/>
                <w:szCs w:val="16"/>
              </w:rPr>
            </w:pPr>
            <w:r w:rsidRPr="001E614B">
              <w:rPr>
                <w:color w:val="000000"/>
                <w:sz w:val="16"/>
                <w:szCs w:val="16"/>
              </w:rPr>
              <w:t>13 351,6</w:t>
            </w:r>
          </w:p>
        </w:tc>
        <w:tc>
          <w:tcPr>
            <w:tcW w:w="1095" w:type="dxa"/>
            <w:tcBorders>
              <w:top w:val="nil"/>
              <w:left w:val="nil"/>
              <w:bottom w:val="single" w:sz="4" w:space="0" w:color="auto"/>
              <w:right w:val="single" w:sz="4" w:space="0" w:color="auto"/>
            </w:tcBorders>
            <w:shd w:val="clear" w:color="auto" w:fill="auto"/>
            <w:vAlign w:val="center"/>
            <w:hideMark/>
          </w:tcPr>
          <w:p w14:paraId="27F3FC84" w14:textId="77777777" w:rsidR="004E6D1F" w:rsidRPr="001E614B" w:rsidRDefault="004E6D1F">
            <w:pPr>
              <w:ind w:left="-57" w:right="-57"/>
              <w:jc w:val="center"/>
              <w:rPr>
                <w:color w:val="000000"/>
                <w:sz w:val="16"/>
                <w:szCs w:val="16"/>
              </w:rPr>
            </w:pPr>
            <w:r w:rsidRPr="001E614B">
              <w:rPr>
                <w:color w:val="000000"/>
                <w:sz w:val="16"/>
                <w:szCs w:val="16"/>
              </w:rPr>
              <w:t>444,8</w:t>
            </w:r>
          </w:p>
        </w:tc>
      </w:tr>
      <w:tr w:rsidR="004E6D1F" w:rsidRPr="001E614B" w14:paraId="2DE763E5" w14:textId="77777777" w:rsidTr="0083643C">
        <w:trPr>
          <w:trHeight w:val="575"/>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4E3E5C4F" w14:textId="77777777" w:rsidR="004E6D1F" w:rsidRPr="001E614B" w:rsidRDefault="004E6D1F">
            <w:pPr>
              <w:ind w:left="-57" w:right="-57"/>
              <w:jc w:val="both"/>
              <w:rPr>
                <w:color w:val="000000"/>
                <w:sz w:val="16"/>
                <w:szCs w:val="16"/>
              </w:rPr>
            </w:pPr>
            <w:r w:rsidRPr="001E614B">
              <w:rPr>
                <w:color w:val="000000"/>
                <w:sz w:val="16"/>
                <w:szCs w:val="16"/>
              </w:rPr>
              <w:t>Федеральный проект «Развитие искусства и творчества»</w:t>
            </w:r>
          </w:p>
        </w:tc>
        <w:tc>
          <w:tcPr>
            <w:tcW w:w="722" w:type="dxa"/>
            <w:tcBorders>
              <w:top w:val="nil"/>
              <w:left w:val="nil"/>
              <w:bottom w:val="single" w:sz="4" w:space="0" w:color="auto"/>
              <w:right w:val="single" w:sz="4" w:space="0" w:color="auto"/>
            </w:tcBorders>
            <w:shd w:val="clear" w:color="auto" w:fill="auto"/>
            <w:vAlign w:val="center"/>
            <w:hideMark/>
          </w:tcPr>
          <w:p w14:paraId="49682E4C" w14:textId="77777777" w:rsidR="004E6D1F" w:rsidRPr="001E614B" w:rsidRDefault="004E6D1F">
            <w:pPr>
              <w:ind w:left="-57" w:right="-57"/>
              <w:jc w:val="center"/>
              <w:rPr>
                <w:color w:val="000000"/>
                <w:sz w:val="16"/>
                <w:szCs w:val="16"/>
              </w:rPr>
            </w:pPr>
            <w:r w:rsidRPr="001E614B">
              <w:rPr>
                <w:color w:val="000000"/>
                <w:sz w:val="16"/>
                <w:szCs w:val="16"/>
              </w:rPr>
              <w:t>23 306,9</w:t>
            </w:r>
          </w:p>
        </w:tc>
        <w:tc>
          <w:tcPr>
            <w:tcW w:w="743" w:type="dxa"/>
            <w:tcBorders>
              <w:top w:val="nil"/>
              <w:left w:val="nil"/>
              <w:bottom w:val="single" w:sz="4" w:space="0" w:color="auto"/>
              <w:right w:val="single" w:sz="4" w:space="0" w:color="auto"/>
            </w:tcBorders>
            <w:shd w:val="clear" w:color="auto" w:fill="auto"/>
            <w:vAlign w:val="center"/>
            <w:hideMark/>
          </w:tcPr>
          <w:p w14:paraId="3CC4ED28" w14:textId="77777777" w:rsidR="004E6D1F" w:rsidRPr="001E614B" w:rsidRDefault="004E6D1F">
            <w:pPr>
              <w:ind w:left="-57" w:right="-57"/>
              <w:jc w:val="center"/>
              <w:rPr>
                <w:color w:val="000000"/>
                <w:sz w:val="16"/>
                <w:szCs w:val="16"/>
              </w:rPr>
            </w:pPr>
            <w:r w:rsidRPr="001E614B">
              <w:rPr>
                <w:color w:val="000000"/>
                <w:sz w:val="16"/>
                <w:szCs w:val="16"/>
              </w:rPr>
              <w:t>14 478,5</w:t>
            </w:r>
          </w:p>
        </w:tc>
        <w:tc>
          <w:tcPr>
            <w:tcW w:w="806" w:type="dxa"/>
            <w:tcBorders>
              <w:top w:val="nil"/>
              <w:left w:val="nil"/>
              <w:bottom w:val="single" w:sz="4" w:space="0" w:color="auto"/>
              <w:right w:val="single" w:sz="4" w:space="0" w:color="auto"/>
            </w:tcBorders>
            <w:shd w:val="clear" w:color="auto" w:fill="auto"/>
            <w:vAlign w:val="center"/>
            <w:hideMark/>
          </w:tcPr>
          <w:p w14:paraId="69CADF4F" w14:textId="77777777" w:rsidR="004E6D1F" w:rsidRPr="001E614B" w:rsidRDefault="004E6D1F">
            <w:pPr>
              <w:ind w:left="-57" w:right="-57"/>
              <w:jc w:val="center"/>
              <w:rPr>
                <w:color w:val="000000"/>
                <w:sz w:val="16"/>
                <w:szCs w:val="16"/>
              </w:rPr>
            </w:pPr>
            <w:r w:rsidRPr="001E614B">
              <w:rPr>
                <w:color w:val="000000"/>
                <w:sz w:val="16"/>
                <w:szCs w:val="16"/>
              </w:rPr>
              <w:t>18 532,5</w:t>
            </w:r>
          </w:p>
        </w:tc>
        <w:tc>
          <w:tcPr>
            <w:tcW w:w="767" w:type="dxa"/>
            <w:tcBorders>
              <w:top w:val="nil"/>
              <w:left w:val="nil"/>
              <w:bottom w:val="single" w:sz="4" w:space="0" w:color="auto"/>
              <w:right w:val="single" w:sz="4" w:space="0" w:color="auto"/>
            </w:tcBorders>
            <w:shd w:val="clear" w:color="auto" w:fill="auto"/>
            <w:vAlign w:val="center"/>
            <w:hideMark/>
          </w:tcPr>
          <w:p w14:paraId="26E5DA5A" w14:textId="77777777" w:rsidR="004E6D1F" w:rsidRPr="001E614B" w:rsidRDefault="004E6D1F">
            <w:pPr>
              <w:ind w:left="-57" w:right="-57"/>
              <w:jc w:val="center"/>
              <w:rPr>
                <w:color w:val="000000"/>
                <w:sz w:val="16"/>
                <w:szCs w:val="16"/>
              </w:rPr>
            </w:pPr>
            <w:r w:rsidRPr="001E614B">
              <w:rPr>
                <w:color w:val="000000"/>
                <w:sz w:val="16"/>
                <w:szCs w:val="16"/>
              </w:rPr>
              <w:t>128,0</w:t>
            </w:r>
          </w:p>
        </w:tc>
        <w:tc>
          <w:tcPr>
            <w:tcW w:w="749" w:type="dxa"/>
            <w:tcBorders>
              <w:top w:val="nil"/>
              <w:left w:val="nil"/>
              <w:bottom w:val="single" w:sz="4" w:space="0" w:color="auto"/>
              <w:right w:val="single" w:sz="4" w:space="0" w:color="auto"/>
            </w:tcBorders>
            <w:shd w:val="clear" w:color="auto" w:fill="auto"/>
            <w:vAlign w:val="center"/>
            <w:hideMark/>
          </w:tcPr>
          <w:p w14:paraId="5AF683D0" w14:textId="77777777" w:rsidR="004E6D1F" w:rsidRPr="001E614B" w:rsidRDefault="004E6D1F">
            <w:pPr>
              <w:ind w:left="-57" w:right="-57"/>
              <w:jc w:val="center"/>
              <w:rPr>
                <w:color w:val="000000"/>
                <w:sz w:val="16"/>
                <w:szCs w:val="16"/>
              </w:rPr>
            </w:pPr>
            <w:r w:rsidRPr="001E614B">
              <w:rPr>
                <w:color w:val="000000"/>
                <w:sz w:val="16"/>
                <w:szCs w:val="16"/>
              </w:rPr>
              <w:t>17 562,8</w:t>
            </w:r>
          </w:p>
        </w:tc>
        <w:tc>
          <w:tcPr>
            <w:tcW w:w="800" w:type="dxa"/>
            <w:tcBorders>
              <w:top w:val="nil"/>
              <w:left w:val="nil"/>
              <w:bottom w:val="single" w:sz="4" w:space="0" w:color="auto"/>
              <w:right w:val="single" w:sz="4" w:space="0" w:color="auto"/>
            </w:tcBorders>
            <w:shd w:val="clear" w:color="auto" w:fill="auto"/>
            <w:vAlign w:val="center"/>
            <w:hideMark/>
          </w:tcPr>
          <w:p w14:paraId="3E2BA997" w14:textId="77777777" w:rsidR="004E6D1F" w:rsidRPr="001E614B" w:rsidRDefault="004E6D1F">
            <w:pPr>
              <w:ind w:left="-57" w:right="-57"/>
              <w:jc w:val="center"/>
              <w:rPr>
                <w:color w:val="000000"/>
                <w:sz w:val="16"/>
                <w:szCs w:val="16"/>
              </w:rPr>
            </w:pPr>
            <w:r w:rsidRPr="001E614B">
              <w:rPr>
                <w:color w:val="000000"/>
                <w:sz w:val="16"/>
                <w:szCs w:val="16"/>
              </w:rPr>
              <w:t>18 811,0</w:t>
            </w:r>
          </w:p>
        </w:tc>
        <w:tc>
          <w:tcPr>
            <w:tcW w:w="767" w:type="dxa"/>
            <w:tcBorders>
              <w:top w:val="nil"/>
              <w:left w:val="nil"/>
              <w:bottom w:val="single" w:sz="4" w:space="0" w:color="auto"/>
              <w:right w:val="single" w:sz="4" w:space="0" w:color="auto"/>
            </w:tcBorders>
            <w:shd w:val="clear" w:color="auto" w:fill="auto"/>
            <w:vAlign w:val="center"/>
            <w:hideMark/>
          </w:tcPr>
          <w:p w14:paraId="2C15D654" w14:textId="77777777" w:rsidR="004E6D1F" w:rsidRPr="001E614B" w:rsidRDefault="004E6D1F">
            <w:pPr>
              <w:ind w:left="-57" w:right="-57"/>
              <w:jc w:val="center"/>
              <w:rPr>
                <w:color w:val="000000"/>
                <w:sz w:val="16"/>
                <w:szCs w:val="16"/>
              </w:rPr>
            </w:pPr>
            <w:r w:rsidRPr="001E614B">
              <w:rPr>
                <w:color w:val="000000"/>
                <w:sz w:val="16"/>
                <w:szCs w:val="16"/>
              </w:rPr>
              <w:t>107,1</w:t>
            </w:r>
          </w:p>
        </w:tc>
        <w:tc>
          <w:tcPr>
            <w:tcW w:w="1043" w:type="dxa"/>
            <w:tcBorders>
              <w:top w:val="nil"/>
              <w:left w:val="nil"/>
              <w:bottom w:val="single" w:sz="4" w:space="0" w:color="auto"/>
              <w:right w:val="single" w:sz="4" w:space="0" w:color="auto"/>
            </w:tcBorders>
            <w:shd w:val="clear" w:color="auto" w:fill="auto"/>
            <w:vAlign w:val="center"/>
            <w:hideMark/>
          </w:tcPr>
          <w:p w14:paraId="5CCC3180" w14:textId="77777777" w:rsidR="004E6D1F" w:rsidRPr="001E614B" w:rsidRDefault="004E6D1F">
            <w:pPr>
              <w:ind w:left="-57" w:right="-57"/>
              <w:jc w:val="center"/>
              <w:rPr>
                <w:color w:val="000000"/>
                <w:sz w:val="16"/>
                <w:szCs w:val="16"/>
              </w:rPr>
            </w:pPr>
            <w:r w:rsidRPr="001E614B">
              <w:rPr>
                <w:color w:val="000000"/>
                <w:sz w:val="16"/>
                <w:szCs w:val="16"/>
              </w:rPr>
              <w:t>23 917,5</w:t>
            </w:r>
          </w:p>
        </w:tc>
        <w:tc>
          <w:tcPr>
            <w:tcW w:w="774" w:type="dxa"/>
            <w:tcBorders>
              <w:top w:val="nil"/>
              <w:left w:val="nil"/>
              <w:bottom w:val="single" w:sz="4" w:space="0" w:color="auto"/>
              <w:right w:val="single" w:sz="4" w:space="0" w:color="auto"/>
            </w:tcBorders>
            <w:shd w:val="clear" w:color="auto" w:fill="auto"/>
            <w:vAlign w:val="center"/>
            <w:hideMark/>
          </w:tcPr>
          <w:p w14:paraId="2093E54D" w14:textId="77777777" w:rsidR="004E6D1F" w:rsidRPr="001E614B" w:rsidRDefault="004E6D1F">
            <w:pPr>
              <w:ind w:left="-57" w:right="-57"/>
              <w:jc w:val="center"/>
              <w:rPr>
                <w:color w:val="000000"/>
                <w:sz w:val="16"/>
                <w:szCs w:val="16"/>
              </w:rPr>
            </w:pPr>
            <w:r w:rsidRPr="001E614B">
              <w:rPr>
                <w:color w:val="000000"/>
                <w:sz w:val="16"/>
                <w:szCs w:val="16"/>
              </w:rPr>
              <w:t>18 192,2</w:t>
            </w:r>
          </w:p>
        </w:tc>
        <w:tc>
          <w:tcPr>
            <w:tcW w:w="1095" w:type="dxa"/>
            <w:tcBorders>
              <w:top w:val="nil"/>
              <w:left w:val="nil"/>
              <w:bottom w:val="single" w:sz="4" w:space="0" w:color="auto"/>
              <w:right w:val="single" w:sz="4" w:space="0" w:color="auto"/>
            </w:tcBorders>
            <w:shd w:val="clear" w:color="auto" w:fill="auto"/>
            <w:vAlign w:val="center"/>
            <w:hideMark/>
          </w:tcPr>
          <w:p w14:paraId="64D080BB" w14:textId="77777777" w:rsidR="004E6D1F" w:rsidRPr="001E614B" w:rsidRDefault="004E6D1F">
            <w:pPr>
              <w:ind w:left="-57" w:right="-57"/>
              <w:jc w:val="center"/>
              <w:rPr>
                <w:color w:val="000000"/>
                <w:sz w:val="16"/>
                <w:szCs w:val="16"/>
              </w:rPr>
            </w:pPr>
            <w:r w:rsidRPr="001E614B">
              <w:rPr>
                <w:color w:val="000000"/>
                <w:sz w:val="16"/>
                <w:szCs w:val="16"/>
              </w:rPr>
              <w:t>76,1</w:t>
            </w:r>
          </w:p>
        </w:tc>
      </w:tr>
      <w:tr w:rsidR="004E6D1F" w:rsidRPr="001E614B" w14:paraId="279A7A30" w14:textId="77777777" w:rsidTr="0083643C">
        <w:trPr>
          <w:trHeight w:val="47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20F0197E" w14:textId="77777777" w:rsidR="004E6D1F" w:rsidRPr="001E614B" w:rsidRDefault="004E6D1F">
            <w:pPr>
              <w:ind w:left="-57" w:right="-57"/>
              <w:jc w:val="both"/>
              <w:rPr>
                <w:color w:val="000000"/>
                <w:sz w:val="16"/>
                <w:szCs w:val="16"/>
              </w:rPr>
            </w:pPr>
            <w:r w:rsidRPr="001E614B">
              <w:rPr>
                <w:color w:val="000000"/>
                <w:sz w:val="16"/>
                <w:szCs w:val="16"/>
              </w:rPr>
              <w:t>Федеральный проект «Развитие культурного диалога»</w:t>
            </w:r>
          </w:p>
        </w:tc>
        <w:tc>
          <w:tcPr>
            <w:tcW w:w="722" w:type="dxa"/>
            <w:tcBorders>
              <w:top w:val="nil"/>
              <w:left w:val="nil"/>
              <w:bottom w:val="single" w:sz="4" w:space="0" w:color="auto"/>
              <w:right w:val="single" w:sz="4" w:space="0" w:color="auto"/>
            </w:tcBorders>
            <w:shd w:val="clear" w:color="auto" w:fill="auto"/>
            <w:vAlign w:val="center"/>
            <w:hideMark/>
          </w:tcPr>
          <w:p w14:paraId="360EAD52" w14:textId="77777777" w:rsidR="004E6D1F" w:rsidRPr="001E614B" w:rsidRDefault="004E6D1F">
            <w:pPr>
              <w:ind w:left="-57" w:right="-57"/>
              <w:jc w:val="center"/>
              <w:rPr>
                <w:color w:val="000000"/>
                <w:sz w:val="16"/>
                <w:szCs w:val="16"/>
              </w:rPr>
            </w:pPr>
            <w:r w:rsidRPr="001E614B">
              <w:rPr>
                <w:color w:val="000000"/>
                <w:sz w:val="16"/>
                <w:szCs w:val="16"/>
              </w:rPr>
              <w:t>417,7</w:t>
            </w:r>
          </w:p>
        </w:tc>
        <w:tc>
          <w:tcPr>
            <w:tcW w:w="743" w:type="dxa"/>
            <w:tcBorders>
              <w:top w:val="nil"/>
              <w:left w:val="nil"/>
              <w:bottom w:val="single" w:sz="4" w:space="0" w:color="auto"/>
              <w:right w:val="single" w:sz="4" w:space="0" w:color="auto"/>
            </w:tcBorders>
            <w:shd w:val="clear" w:color="auto" w:fill="auto"/>
            <w:vAlign w:val="center"/>
            <w:hideMark/>
          </w:tcPr>
          <w:p w14:paraId="6C1C059E" w14:textId="77777777" w:rsidR="004E6D1F" w:rsidRPr="001E614B" w:rsidRDefault="004E6D1F">
            <w:pPr>
              <w:ind w:left="-57" w:right="-57"/>
              <w:jc w:val="center"/>
              <w:rPr>
                <w:color w:val="000000"/>
                <w:sz w:val="16"/>
                <w:szCs w:val="16"/>
              </w:rPr>
            </w:pPr>
            <w:r w:rsidRPr="001E614B">
              <w:rPr>
                <w:color w:val="000000"/>
                <w:sz w:val="16"/>
                <w:szCs w:val="16"/>
              </w:rPr>
              <w:t>567,7</w:t>
            </w:r>
          </w:p>
        </w:tc>
        <w:tc>
          <w:tcPr>
            <w:tcW w:w="806" w:type="dxa"/>
            <w:tcBorders>
              <w:top w:val="nil"/>
              <w:left w:val="nil"/>
              <w:bottom w:val="single" w:sz="4" w:space="0" w:color="auto"/>
              <w:right w:val="single" w:sz="4" w:space="0" w:color="auto"/>
            </w:tcBorders>
            <w:shd w:val="clear" w:color="auto" w:fill="auto"/>
            <w:vAlign w:val="center"/>
            <w:hideMark/>
          </w:tcPr>
          <w:p w14:paraId="0A106EA5" w14:textId="77777777" w:rsidR="004E6D1F" w:rsidRPr="001E614B" w:rsidRDefault="004E6D1F">
            <w:pPr>
              <w:ind w:left="-57" w:right="-57"/>
              <w:jc w:val="center"/>
              <w:rPr>
                <w:color w:val="000000"/>
                <w:sz w:val="16"/>
                <w:szCs w:val="16"/>
              </w:rPr>
            </w:pPr>
            <w:r w:rsidRPr="001E614B">
              <w:rPr>
                <w:color w:val="000000"/>
                <w:sz w:val="16"/>
                <w:szCs w:val="16"/>
              </w:rPr>
              <w:t>510,9</w:t>
            </w:r>
          </w:p>
        </w:tc>
        <w:tc>
          <w:tcPr>
            <w:tcW w:w="767" w:type="dxa"/>
            <w:tcBorders>
              <w:top w:val="nil"/>
              <w:left w:val="nil"/>
              <w:bottom w:val="single" w:sz="4" w:space="0" w:color="auto"/>
              <w:right w:val="single" w:sz="4" w:space="0" w:color="auto"/>
            </w:tcBorders>
            <w:shd w:val="clear" w:color="auto" w:fill="auto"/>
            <w:vAlign w:val="center"/>
            <w:hideMark/>
          </w:tcPr>
          <w:p w14:paraId="33716751" w14:textId="77777777" w:rsidR="004E6D1F" w:rsidRPr="001E614B" w:rsidRDefault="004E6D1F">
            <w:pPr>
              <w:ind w:left="-57" w:right="-57"/>
              <w:jc w:val="center"/>
              <w:rPr>
                <w:color w:val="000000"/>
                <w:sz w:val="16"/>
                <w:szCs w:val="16"/>
              </w:rPr>
            </w:pPr>
            <w:r w:rsidRPr="001E614B">
              <w:rPr>
                <w:color w:val="000000"/>
                <w:sz w:val="16"/>
                <w:szCs w:val="16"/>
              </w:rPr>
              <w:t>90,0</w:t>
            </w:r>
          </w:p>
        </w:tc>
        <w:tc>
          <w:tcPr>
            <w:tcW w:w="749" w:type="dxa"/>
            <w:tcBorders>
              <w:top w:val="nil"/>
              <w:left w:val="nil"/>
              <w:bottom w:val="single" w:sz="4" w:space="0" w:color="auto"/>
              <w:right w:val="single" w:sz="4" w:space="0" w:color="auto"/>
            </w:tcBorders>
            <w:shd w:val="clear" w:color="auto" w:fill="auto"/>
            <w:vAlign w:val="center"/>
            <w:hideMark/>
          </w:tcPr>
          <w:p w14:paraId="20954AD2" w14:textId="77777777" w:rsidR="004E6D1F" w:rsidRPr="001E614B" w:rsidRDefault="004E6D1F">
            <w:pPr>
              <w:ind w:left="-57" w:right="-57"/>
              <w:jc w:val="center"/>
              <w:rPr>
                <w:color w:val="000000"/>
                <w:sz w:val="16"/>
                <w:szCs w:val="16"/>
              </w:rPr>
            </w:pPr>
            <w:r w:rsidRPr="001E614B">
              <w:rPr>
                <w:color w:val="000000"/>
                <w:sz w:val="16"/>
                <w:szCs w:val="16"/>
              </w:rPr>
              <w:t>567,7</w:t>
            </w:r>
          </w:p>
        </w:tc>
        <w:tc>
          <w:tcPr>
            <w:tcW w:w="800" w:type="dxa"/>
            <w:tcBorders>
              <w:top w:val="nil"/>
              <w:left w:val="nil"/>
              <w:bottom w:val="single" w:sz="4" w:space="0" w:color="auto"/>
              <w:right w:val="single" w:sz="4" w:space="0" w:color="auto"/>
            </w:tcBorders>
            <w:shd w:val="clear" w:color="auto" w:fill="auto"/>
            <w:vAlign w:val="center"/>
            <w:hideMark/>
          </w:tcPr>
          <w:p w14:paraId="1A641D34" w14:textId="77777777" w:rsidR="004E6D1F" w:rsidRPr="001E614B" w:rsidRDefault="004E6D1F">
            <w:pPr>
              <w:ind w:left="-57" w:right="-57"/>
              <w:jc w:val="center"/>
              <w:rPr>
                <w:color w:val="000000"/>
                <w:sz w:val="16"/>
                <w:szCs w:val="16"/>
              </w:rPr>
            </w:pPr>
            <w:r w:rsidRPr="001E614B">
              <w:rPr>
                <w:color w:val="000000"/>
                <w:sz w:val="16"/>
                <w:szCs w:val="16"/>
              </w:rPr>
              <w:t>510,9</w:t>
            </w:r>
          </w:p>
        </w:tc>
        <w:tc>
          <w:tcPr>
            <w:tcW w:w="767" w:type="dxa"/>
            <w:tcBorders>
              <w:top w:val="nil"/>
              <w:left w:val="nil"/>
              <w:bottom w:val="single" w:sz="4" w:space="0" w:color="auto"/>
              <w:right w:val="single" w:sz="4" w:space="0" w:color="auto"/>
            </w:tcBorders>
            <w:shd w:val="clear" w:color="auto" w:fill="auto"/>
            <w:vAlign w:val="center"/>
            <w:hideMark/>
          </w:tcPr>
          <w:p w14:paraId="0DC10F3D" w14:textId="77777777" w:rsidR="004E6D1F" w:rsidRPr="001E614B" w:rsidRDefault="004E6D1F">
            <w:pPr>
              <w:ind w:left="-57" w:right="-57"/>
              <w:jc w:val="center"/>
              <w:rPr>
                <w:color w:val="000000"/>
                <w:sz w:val="16"/>
                <w:szCs w:val="16"/>
              </w:rPr>
            </w:pPr>
            <w:r w:rsidRPr="001E614B">
              <w:rPr>
                <w:color w:val="000000"/>
                <w:sz w:val="16"/>
                <w:szCs w:val="16"/>
              </w:rPr>
              <w:t>90,0</w:t>
            </w:r>
          </w:p>
        </w:tc>
        <w:tc>
          <w:tcPr>
            <w:tcW w:w="1043" w:type="dxa"/>
            <w:tcBorders>
              <w:top w:val="nil"/>
              <w:left w:val="nil"/>
              <w:bottom w:val="single" w:sz="4" w:space="0" w:color="auto"/>
              <w:right w:val="single" w:sz="4" w:space="0" w:color="auto"/>
            </w:tcBorders>
            <w:shd w:val="clear" w:color="auto" w:fill="auto"/>
            <w:vAlign w:val="center"/>
            <w:hideMark/>
          </w:tcPr>
          <w:p w14:paraId="4272453E" w14:textId="77777777" w:rsidR="004E6D1F" w:rsidRPr="001E614B" w:rsidRDefault="004E6D1F">
            <w:pPr>
              <w:ind w:left="-57" w:right="-57"/>
              <w:jc w:val="center"/>
              <w:rPr>
                <w:color w:val="000000"/>
                <w:sz w:val="16"/>
                <w:szCs w:val="16"/>
              </w:rPr>
            </w:pPr>
            <w:r w:rsidRPr="001E614B">
              <w:rPr>
                <w:color w:val="000000"/>
                <w:sz w:val="16"/>
                <w:szCs w:val="16"/>
              </w:rPr>
              <w:t>567,7</w:t>
            </w:r>
          </w:p>
        </w:tc>
        <w:tc>
          <w:tcPr>
            <w:tcW w:w="774" w:type="dxa"/>
            <w:tcBorders>
              <w:top w:val="nil"/>
              <w:left w:val="nil"/>
              <w:bottom w:val="single" w:sz="4" w:space="0" w:color="auto"/>
              <w:right w:val="single" w:sz="4" w:space="0" w:color="auto"/>
            </w:tcBorders>
            <w:shd w:val="clear" w:color="auto" w:fill="auto"/>
            <w:vAlign w:val="center"/>
            <w:hideMark/>
          </w:tcPr>
          <w:p w14:paraId="34D72A33" w14:textId="77777777" w:rsidR="004E6D1F" w:rsidRPr="001E614B" w:rsidRDefault="004E6D1F">
            <w:pPr>
              <w:ind w:left="-57" w:right="-57"/>
              <w:jc w:val="center"/>
              <w:rPr>
                <w:color w:val="000000"/>
                <w:sz w:val="16"/>
                <w:szCs w:val="16"/>
              </w:rPr>
            </w:pPr>
            <w:r w:rsidRPr="001E614B">
              <w:rPr>
                <w:color w:val="000000"/>
                <w:sz w:val="16"/>
                <w:szCs w:val="16"/>
              </w:rPr>
              <w:t>510,9</w:t>
            </w:r>
          </w:p>
        </w:tc>
        <w:tc>
          <w:tcPr>
            <w:tcW w:w="1095" w:type="dxa"/>
            <w:tcBorders>
              <w:top w:val="nil"/>
              <w:left w:val="nil"/>
              <w:bottom w:val="single" w:sz="4" w:space="0" w:color="auto"/>
              <w:right w:val="single" w:sz="4" w:space="0" w:color="auto"/>
            </w:tcBorders>
            <w:shd w:val="clear" w:color="auto" w:fill="auto"/>
            <w:vAlign w:val="center"/>
            <w:hideMark/>
          </w:tcPr>
          <w:p w14:paraId="3D7AB5BA" w14:textId="77777777" w:rsidR="004E6D1F" w:rsidRPr="001E614B" w:rsidRDefault="004E6D1F">
            <w:pPr>
              <w:ind w:left="-57" w:right="-57"/>
              <w:jc w:val="center"/>
              <w:rPr>
                <w:color w:val="000000"/>
                <w:sz w:val="16"/>
                <w:szCs w:val="16"/>
              </w:rPr>
            </w:pPr>
            <w:r w:rsidRPr="001E614B">
              <w:rPr>
                <w:color w:val="000000"/>
                <w:sz w:val="16"/>
                <w:szCs w:val="16"/>
              </w:rPr>
              <w:t>90,0</w:t>
            </w:r>
          </w:p>
        </w:tc>
      </w:tr>
      <w:tr w:rsidR="004E6D1F" w:rsidRPr="001E614B" w14:paraId="45C41DDE" w14:textId="77777777" w:rsidTr="0083643C">
        <w:trPr>
          <w:trHeight w:val="575"/>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6C4E4034" w14:textId="77777777" w:rsidR="004E6D1F" w:rsidRPr="001E614B" w:rsidRDefault="004E6D1F">
            <w:pPr>
              <w:ind w:left="-57" w:right="-57"/>
              <w:jc w:val="both"/>
              <w:rPr>
                <w:color w:val="000000"/>
                <w:sz w:val="16"/>
                <w:szCs w:val="16"/>
              </w:rPr>
            </w:pPr>
            <w:r w:rsidRPr="001E614B">
              <w:rPr>
                <w:color w:val="000000"/>
                <w:sz w:val="16"/>
                <w:szCs w:val="16"/>
              </w:rPr>
              <w:t>Федеральный проект «Придумано в России»</w:t>
            </w:r>
          </w:p>
        </w:tc>
        <w:tc>
          <w:tcPr>
            <w:tcW w:w="722" w:type="dxa"/>
            <w:tcBorders>
              <w:top w:val="nil"/>
              <w:left w:val="nil"/>
              <w:bottom w:val="single" w:sz="4" w:space="0" w:color="auto"/>
              <w:right w:val="single" w:sz="4" w:space="0" w:color="auto"/>
            </w:tcBorders>
            <w:shd w:val="clear" w:color="auto" w:fill="auto"/>
            <w:vAlign w:val="center"/>
            <w:hideMark/>
          </w:tcPr>
          <w:p w14:paraId="1101F0A5" w14:textId="77777777" w:rsidR="004E6D1F" w:rsidRPr="001E614B" w:rsidRDefault="004E6D1F">
            <w:pPr>
              <w:ind w:left="-57" w:right="-57"/>
              <w:jc w:val="center"/>
              <w:rPr>
                <w:color w:val="000000"/>
                <w:sz w:val="16"/>
                <w:szCs w:val="16"/>
              </w:rPr>
            </w:pPr>
            <w:r w:rsidRPr="001E614B">
              <w:rPr>
                <w:color w:val="000000"/>
                <w:sz w:val="16"/>
                <w:szCs w:val="16"/>
              </w:rPr>
              <w:t>2 777,4</w:t>
            </w:r>
          </w:p>
        </w:tc>
        <w:tc>
          <w:tcPr>
            <w:tcW w:w="743" w:type="dxa"/>
            <w:tcBorders>
              <w:top w:val="nil"/>
              <w:left w:val="nil"/>
              <w:bottom w:val="single" w:sz="4" w:space="0" w:color="auto"/>
              <w:right w:val="single" w:sz="4" w:space="0" w:color="auto"/>
            </w:tcBorders>
            <w:shd w:val="clear" w:color="auto" w:fill="auto"/>
            <w:vAlign w:val="center"/>
            <w:hideMark/>
          </w:tcPr>
          <w:p w14:paraId="1279B732" w14:textId="77777777" w:rsidR="004E6D1F" w:rsidRPr="001E614B" w:rsidRDefault="004E6D1F">
            <w:pPr>
              <w:ind w:left="-57" w:right="-57"/>
              <w:jc w:val="center"/>
              <w:rPr>
                <w:color w:val="000000"/>
                <w:sz w:val="16"/>
                <w:szCs w:val="16"/>
              </w:rPr>
            </w:pPr>
            <w:r w:rsidRPr="001E614B">
              <w:rPr>
                <w:color w:val="000000"/>
                <w:sz w:val="16"/>
                <w:szCs w:val="16"/>
              </w:rPr>
              <w:t>2 332,0</w:t>
            </w:r>
          </w:p>
        </w:tc>
        <w:tc>
          <w:tcPr>
            <w:tcW w:w="806" w:type="dxa"/>
            <w:tcBorders>
              <w:top w:val="nil"/>
              <w:left w:val="nil"/>
              <w:bottom w:val="single" w:sz="4" w:space="0" w:color="auto"/>
              <w:right w:val="single" w:sz="4" w:space="0" w:color="auto"/>
            </w:tcBorders>
            <w:shd w:val="clear" w:color="auto" w:fill="auto"/>
            <w:vAlign w:val="center"/>
            <w:hideMark/>
          </w:tcPr>
          <w:p w14:paraId="6275B70E" w14:textId="77777777" w:rsidR="004E6D1F" w:rsidRPr="001E614B" w:rsidRDefault="004E6D1F">
            <w:pPr>
              <w:ind w:left="-57" w:right="-57"/>
              <w:jc w:val="center"/>
              <w:rPr>
                <w:color w:val="000000"/>
                <w:sz w:val="16"/>
                <w:szCs w:val="16"/>
              </w:rPr>
            </w:pPr>
            <w:r w:rsidRPr="001E614B">
              <w:rPr>
                <w:color w:val="000000"/>
                <w:sz w:val="16"/>
                <w:szCs w:val="16"/>
              </w:rPr>
              <w:t>2 332,0</w:t>
            </w:r>
          </w:p>
        </w:tc>
        <w:tc>
          <w:tcPr>
            <w:tcW w:w="767" w:type="dxa"/>
            <w:tcBorders>
              <w:top w:val="nil"/>
              <w:left w:val="nil"/>
              <w:bottom w:val="single" w:sz="4" w:space="0" w:color="auto"/>
              <w:right w:val="single" w:sz="4" w:space="0" w:color="auto"/>
            </w:tcBorders>
            <w:shd w:val="clear" w:color="auto" w:fill="auto"/>
            <w:vAlign w:val="center"/>
            <w:hideMark/>
          </w:tcPr>
          <w:p w14:paraId="58FC6F46" w14:textId="77777777" w:rsidR="004E6D1F" w:rsidRPr="001E614B" w:rsidRDefault="004E6D1F">
            <w:pPr>
              <w:ind w:left="-57" w:right="-57"/>
              <w:jc w:val="center"/>
              <w:rPr>
                <w:color w:val="000000"/>
                <w:sz w:val="16"/>
                <w:szCs w:val="16"/>
              </w:rPr>
            </w:pPr>
            <w:r w:rsidRPr="001E614B">
              <w:rPr>
                <w:color w:val="000000"/>
                <w:sz w:val="16"/>
                <w:szCs w:val="16"/>
              </w:rPr>
              <w:t>100,0</w:t>
            </w:r>
          </w:p>
        </w:tc>
        <w:tc>
          <w:tcPr>
            <w:tcW w:w="749" w:type="dxa"/>
            <w:tcBorders>
              <w:top w:val="nil"/>
              <w:left w:val="nil"/>
              <w:bottom w:val="single" w:sz="4" w:space="0" w:color="auto"/>
              <w:right w:val="single" w:sz="4" w:space="0" w:color="auto"/>
            </w:tcBorders>
            <w:shd w:val="clear" w:color="auto" w:fill="auto"/>
            <w:vAlign w:val="center"/>
            <w:hideMark/>
          </w:tcPr>
          <w:p w14:paraId="6745AC71" w14:textId="77777777" w:rsidR="004E6D1F" w:rsidRPr="001E614B" w:rsidRDefault="004E6D1F">
            <w:pPr>
              <w:ind w:left="-57" w:right="-57"/>
              <w:jc w:val="center"/>
              <w:rPr>
                <w:color w:val="000000"/>
                <w:sz w:val="16"/>
                <w:szCs w:val="16"/>
              </w:rPr>
            </w:pPr>
            <w:r w:rsidRPr="001E614B">
              <w:rPr>
                <w:color w:val="000000"/>
                <w:sz w:val="16"/>
                <w:szCs w:val="16"/>
              </w:rPr>
              <w:t>2 487,0</w:t>
            </w:r>
          </w:p>
        </w:tc>
        <w:tc>
          <w:tcPr>
            <w:tcW w:w="800" w:type="dxa"/>
            <w:tcBorders>
              <w:top w:val="nil"/>
              <w:left w:val="nil"/>
              <w:bottom w:val="single" w:sz="4" w:space="0" w:color="auto"/>
              <w:right w:val="single" w:sz="4" w:space="0" w:color="auto"/>
            </w:tcBorders>
            <w:shd w:val="clear" w:color="auto" w:fill="auto"/>
            <w:vAlign w:val="center"/>
            <w:hideMark/>
          </w:tcPr>
          <w:p w14:paraId="76F546FC" w14:textId="77777777" w:rsidR="004E6D1F" w:rsidRPr="001E614B" w:rsidRDefault="004E6D1F">
            <w:pPr>
              <w:ind w:left="-57" w:right="-57"/>
              <w:jc w:val="center"/>
              <w:rPr>
                <w:color w:val="000000"/>
                <w:sz w:val="16"/>
                <w:szCs w:val="16"/>
              </w:rPr>
            </w:pPr>
            <w:r w:rsidRPr="001E614B">
              <w:rPr>
                <w:color w:val="000000"/>
                <w:sz w:val="16"/>
                <w:szCs w:val="16"/>
              </w:rPr>
              <w:t>2 487,0</w:t>
            </w:r>
          </w:p>
        </w:tc>
        <w:tc>
          <w:tcPr>
            <w:tcW w:w="767" w:type="dxa"/>
            <w:tcBorders>
              <w:top w:val="nil"/>
              <w:left w:val="nil"/>
              <w:bottom w:val="single" w:sz="4" w:space="0" w:color="auto"/>
              <w:right w:val="single" w:sz="4" w:space="0" w:color="auto"/>
            </w:tcBorders>
            <w:shd w:val="clear" w:color="auto" w:fill="auto"/>
            <w:vAlign w:val="center"/>
            <w:hideMark/>
          </w:tcPr>
          <w:p w14:paraId="3AB12CE1" w14:textId="77777777" w:rsidR="004E6D1F" w:rsidRPr="001E614B" w:rsidRDefault="004E6D1F">
            <w:pPr>
              <w:ind w:left="-57" w:right="-57"/>
              <w:jc w:val="center"/>
              <w:rPr>
                <w:color w:val="000000"/>
                <w:sz w:val="16"/>
                <w:szCs w:val="16"/>
              </w:rPr>
            </w:pPr>
            <w:r w:rsidRPr="001E614B">
              <w:rPr>
                <w:color w:val="000000"/>
                <w:sz w:val="16"/>
                <w:szCs w:val="16"/>
              </w:rPr>
              <w:t>100,0</w:t>
            </w:r>
          </w:p>
        </w:tc>
        <w:tc>
          <w:tcPr>
            <w:tcW w:w="1043" w:type="dxa"/>
            <w:tcBorders>
              <w:top w:val="nil"/>
              <w:left w:val="nil"/>
              <w:bottom w:val="single" w:sz="4" w:space="0" w:color="auto"/>
              <w:right w:val="single" w:sz="4" w:space="0" w:color="auto"/>
            </w:tcBorders>
            <w:shd w:val="clear" w:color="auto" w:fill="auto"/>
            <w:vAlign w:val="center"/>
            <w:hideMark/>
          </w:tcPr>
          <w:p w14:paraId="3A138CFB" w14:textId="77777777" w:rsidR="004E6D1F" w:rsidRPr="001E614B" w:rsidRDefault="004E6D1F">
            <w:pPr>
              <w:ind w:left="-57" w:right="-57"/>
              <w:jc w:val="center"/>
              <w:rPr>
                <w:color w:val="000000"/>
                <w:sz w:val="16"/>
                <w:szCs w:val="16"/>
              </w:rPr>
            </w:pPr>
            <w:r w:rsidRPr="001E614B">
              <w:rPr>
                <w:color w:val="000000"/>
                <w:sz w:val="16"/>
                <w:szCs w:val="16"/>
              </w:rPr>
              <w:t>0,0</w:t>
            </w:r>
          </w:p>
        </w:tc>
        <w:tc>
          <w:tcPr>
            <w:tcW w:w="774" w:type="dxa"/>
            <w:tcBorders>
              <w:top w:val="nil"/>
              <w:left w:val="nil"/>
              <w:bottom w:val="single" w:sz="4" w:space="0" w:color="auto"/>
              <w:right w:val="single" w:sz="4" w:space="0" w:color="auto"/>
            </w:tcBorders>
            <w:shd w:val="clear" w:color="auto" w:fill="auto"/>
            <w:vAlign w:val="center"/>
            <w:hideMark/>
          </w:tcPr>
          <w:p w14:paraId="1B14397A" w14:textId="77777777" w:rsidR="004E6D1F" w:rsidRPr="001E614B" w:rsidRDefault="004E6D1F">
            <w:pPr>
              <w:ind w:left="-57" w:right="-57"/>
              <w:jc w:val="center"/>
              <w:rPr>
                <w:color w:val="000000"/>
                <w:sz w:val="16"/>
                <w:szCs w:val="16"/>
              </w:rPr>
            </w:pPr>
            <w:r w:rsidRPr="001E614B">
              <w:rPr>
                <w:color w:val="000000"/>
                <w:sz w:val="16"/>
                <w:szCs w:val="16"/>
              </w:rPr>
              <w:t>2 485,3</w:t>
            </w:r>
          </w:p>
        </w:tc>
        <w:tc>
          <w:tcPr>
            <w:tcW w:w="1095" w:type="dxa"/>
            <w:tcBorders>
              <w:top w:val="nil"/>
              <w:left w:val="nil"/>
              <w:bottom w:val="single" w:sz="4" w:space="0" w:color="auto"/>
              <w:right w:val="single" w:sz="4" w:space="0" w:color="auto"/>
            </w:tcBorders>
            <w:shd w:val="clear" w:color="auto" w:fill="auto"/>
            <w:vAlign w:val="center"/>
            <w:hideMark/>
          </w:tcPr>
          <w:p w14:paraId="71EDAAF3" w14:textId="77777777" w:rsidR="004E6D1F" w:rsidRPr="001E614B" w:rsidRDefault="004E6D1F">
            <w:pPr>
              <w:ind w:left="-57" w:right="-57"/>
              <w:jc w:val="center"/>
              <w:rPr>
                <w:color w:val="000000"/>
                <w:sz w:val="16"/>
                <w:szCs w:val="16"/>
              </w:rPr>
            </w:pPr>
            <w:r w:rsidRPr="001E614B">
              <w:rPr>
                <w:color w:val="000000"/>
                <w:sz w:val="16"/>
                <w:szCs w:val="16"/>
              </w:rPr>
              <w:t>-</w:t>
            </w:r>
          </w:p>
        </w:tc>
      </w:tr>
      <w:tr w:rsidR="004E6D1F" w:rsidRPr="001E614B" w14:paraId="6B0C3710" w14:textId="77777777" w:rsidTr="0083643C">
        <w:trPr>
          <w:trHeight w:val="47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0FBAB594" w14:textId="77777777" w:rsidR="004E6D1F" w:rsidRPr="001E614B" w:rsidRDefault="004E6D1F">
            <w:pPr>
              <w:ind w:left="-57" w:right="-57"/>
              <w:jc w:val="both"/>
              <w:rPr>
                <w:color w:val="000000"/>
                <w:sz w:val="16"/>
                <w:szCs w:val="16"/>
              </w:rPr>
            </w:pPr>
            <w:r w:rsidRPr="001E614B">
              <w:rPr>
                <w:color w:val="000000"/>
                <w:sz w:val="16"/>
                <w:szCs w:val="16"/>
              </w:rPr>
              <w:t>Федеральный проект «Пушкинская карта»</w:t>
            </w:r>
          </w:p>
        </w:tc>
        <w:tc>
          <w:tcPr>
            <w:tcW w:w="722" w:type="dxa"/>
            <w:tcBorders>
              <w:top w:val="nil"/>
              <w:left w:val="nil"/>
              <w:bottom w:val="single" w:sz="4" w:space="0" w:color="auto"/>
              <w:right w:val="single" w:sz="4" w:space="0" w:color="auto"/>
            </w:tcBorders>
            <w:shd w:val="clear" w:color="auto" w:fill="auto"/>
            <w:vAlign w:val="center"/>
            <w:hideMark/>
          </w:tcPr>
          <w:p w14:paraId="08D49FC6" w14:textId="77777777" w:rsidR="004E6D1F" w:rsidRPr="001E614B" w:rsidRDefault="004E6D1F">
            <w:pPr>
              <w:ind w:left="-57" w:right="-57"/>
              <w:jc w:val="center"/>
              <w:rPr>
                <w:color w:val="000000"/>
                <w:sz w:val="16"/>
                <w:szCs w:val="16"/>
              </w:rPr>
            </w:pPr>
            <w:r w:rsidRPr="001E614B">
              <w:rPr>
                <w:color w:val="000000"/>
                <w:sz w:val="16"/>
                <w:szCs w:val="16"/>
              </w:rPr>
              <w:t>16 450,0</w:t>
            </w:r>
          </w:p>
        </w:tc>
        <w:tc>
          <w:tcPr>
            <w:tcW w:w="743" w:type="dxa"/>
            <w:tcBorders>
              <w:top w:val="nil"/>
              <w:left w:val="nil"/>
              <w:bottom w:val="single" w:sz="4" w:space="0" w:color="auto"/>
              <w:right w:val="single" w:sz="4" w:space="0" w:color="auto"/>
            </w:tcBorders>
            <w:shd w:val="clear" w:color="auto" w:fill="auto"/>
            <w:vAlign w:val="center"/>
            <w:hideMark/>
          </w:tcPr>
          <w:p w14:paraId="60021A76" w14:textId="77777777" w:rsidR="004E6D1F" w:rsidRPr="001E614B" w:rsidRDefault="004E6D1F">
            <w:pPr>
              <w:ind w:left="-57" w:right="-57"/>
              <w:jc w:val="center"/>
              <w:rPr>
                <w:color w:val="000000"/>
                <w:sz w:val="16"/>
                <w:szCs w:val="16"/>
              </w:rPr>
            </w:pPr>
            <w:r w:rsidRPr="001E614B">
              <w:rPr>
                <w:color w:val="000000"/>
                <w:sz w:val="16"/>
                <w:szCs w:val="16"/>
              </w:rPr>
              <w:t>25 450,0</w:t>
            </w:r>
          </w:p>
        </w:tc>
        <w:tc>
          <w:tcPr>
            <w:tcW w:w="806" w:type="dxa"/>
            <w:tcBorders>
              <w:top w:val="nil"/>
              <w:left w:val="nil"/>
              <w:bottom w:val="single" w:sz="4" w:space="0" w:color="auto"/>
              <w:right w:val="single" w:sz="4" w:space="0" w:color="auto"/>
            </w:tcBorders>
            <w:shd w:val="clear" w:color="auto" w:fill="auto"/>
            <w:vAlign w:val="center"/>
            <w:hideMark/>
          </w:tcPr>
          <w:p w14:paraId="4BBE0F29" w14:textId="77777777" w:rsidR="004E6D1F" w:rsidRPr="001E614B" w:rsidRDefault="004E6D1F">
            <w:pPr>
              <w:ind w:left="-57" w:right="-57"/>
              <w:jc w:val="center"/>
              <w:rPr>
                <w:color w:val="000000"/>
                <w:sz w:val="16"/>
                <w:szCs w:val="16"/>
              </w:rPr>
            </w:pPr>
            <w:r w:rsidRPr="001E614B">
              <w:rPr>
                <w:color w:val="000000"/>
                <w:sz w:val="16"/>
                <w:szCs w:val="16"/>
              </w:rPr>
              <w:t>16 410,6</w:t>
            </w:r>
          </w:p>
        </w:tc>
        <w:tc>
          <w:tcPr>
            <w:tcW w:w="767" w:type="dxa"/>
            <w:tcBorders>
              <w:top w:val="nil"/>
              <w:left w:val="nil"/>
              <w:bottom w:val="single" w:sz="4" w:space="0" w:color="auto"/>
              <w:right w:val="single" w:sz="4" w:space="0" w:color="auto"/>
            </w:tcBorders>
            <w:shd w:val="clear" w:color="auto" w:fill="auto"/>
            <w:vAlign w:val="center"/>
            <w:hideMark/>
          </w:tcPr>
          <w:p w14:paraId="5558801E" w14:textId="77777777" w:rsidR="004E6D1F" w:rsidRPr="001E614B" w:rsidRDefault="004E6D1F">
            <w:pPr>
              <w:ind w:left="-57" w:right="-57"/>
              <w:jc w:val="center"/>
              <w:rPr>
                <w:color w:val="000000"/>
                <w:sz w:val="16"/>
                <w:szCs w:val="16"/>
              </w:rPr>
            </w:pPr>
            <w:r w:rsidRPr="001E614B">
              <w:rPr>
                <w:color w:val="000000"/>
                <w:sz w:val="16"/>
                <w:szCs w:val="16"/>
              </w:rPr>
              <w:t>64,5</w:t>
            </w:r>
          </w:p>
        </w:tc>
        <w:tc>
          <w:tcPr>
            <w:tcW w:w="749" w:type="dxa"/>
            <w:tcBorders>
              <w:top w:val="nil"/>
              <w:left w:val="nil"/>
              <w:bottom w:val="single" w:sz="4" w:space="0" w:color="auto"/>
              <w:right w:val="single" w:sz="4" w:space="0" w:color="auto"/>
            </w:tcBorders>
            <w:shd w:val="clear" w:color="auto" w:fill="auto"/>
            <w:vAlign w:val="center"/>
            <w:hideMark/>
          </w:tcPr>
          <w:p w14:paraId="3F37F223" w14:textId="77777777" w:rsidR="004E6D1F" w:rsidRPr="001E614B" w:rsidRDefault="004E6D1F">
            <w:pPr>
              <w:ind w:left="-57" w:right="-57"/>
              <w:jc w:val="center"/>
              <w:rPr>
                <w:color w:val="000000"/>
                <w:sz w:val="16"/>
                <w:szCs w:val="16"/>
              </w:rPr>
            </w:pPr>
            <w:r w:rsidRPr="001E614B">
              <w:rPr>
                <w:color w:val="000000"/>
                <w:sz w:val="16"/>
                <w:szCs w:val="16"/>
              </w:rPr>
              <w:t>29 100,0</w:t>
            </w:r>
          </w:p>
        </w:tc>
        <w:tc>
          <w:tcPr>
            <w:tcW w:w="800" w:type="dxa"/>
            <w:tcBorders>
              <w:top w:val="nil"/>
              <w:left w:val="nil"/>
              <w:bottom w:val="single" w:sz="4" w:space="0" w:color="auto"/>
              <w:right w:val="single" w:sz="4" w:space="0" w:color="auto"/>
            </w:tcBorders>
            <w:shd w:val="clear" w:color="auto" w:fill="auto"/>
            <w:vAlign w:val="center"/>
            <w:hideMark/>
          </w:tcPr>
          <w:p w14:paraId="6051107D" w14:textId="77777777" w:rsidR="004E6D1F" w:rsidRPr="001E614B" w:rsidRDefault="004E6D1F">
            <w:pPr>
              <w:ind w:left="-57" w:right="-57"/>
              <w:jc w:val="center"/>
              <w:rPr>
                <w:color w:val="000000"/>
                <w:sz w:val="16"/>
                <w:szCs w:val="16"/>
              </w:rPr>
            </w:pPr>
            <w:r w:rsidRPr="001E614B">
              <w:rPr>
                <w:color w:val="000000"/>
                <w:sz w:val="16"/>
                <w:szCs w:val="16"/>
              </w:rPr>
              <w:t>16 411,2</w:t>
            </w:r>
          </w:p>
        </w:tc>
        <w:tc>
          <w:tcPr>
            <w:tcW w:w="767" w:type="dxa"/>
            <w:tcBorders>
              <w:top w:val="nil"/>
              <w:left w:val="nil"/>
              <w:bottom w:val="single" w:sz="4" w:space="0" w:color="auto"/>
              <w:right w:val="single" w:sz="4" w:space="0" w:color="auto"/>
            </w:tcBorders>
            <w:shd w:val="clear" w:color="auto" w:fill="auto"/>
            <w:vAlign w:val="center"/>
            <w:hideMark/>
          </w:tcPr>
          <w:p w14:paraId="20F27B35" w14:textId="77777777" w:rsidR="004E6D1F" w:rsidRPr="001E614B" w:rsidRDefault="004E6D1F">
            <w:pPr>
              <w:ind w:left="-57" w:right="-57"/>
              <w:jc w:val="center"/>
              <w:rPr>
                <w:color w:val="000000"/>
                <w:sz w:val="16"/>
                <w:szCs w:val="16"/>
              </w:rPr>
            </w:pPr>
            <w:r w:rsidRPr="001E614B">
              <w:rPr>
                <w:color w:val="000000"/>
                <w:sz w:val="16"/>
                <w:szCs w:val="16"/>
              </w:rPr>
              <w:t>56,4</w:t>
            </w:r>
          </w:p>
        </w:tc>
        <w:tc>
          <w:tcPr>
            <w:tcW w:w="1043" w:type="dxa"/>
            <w:tcBorders>
              <w:top w:val="nil"/>
              <w:left w:val="nil"/>
              <w:bottom w:val="single" w:sz="4" w:space="0" w:color="auto"/>
              <w:right w:val="single" w:sz="4" w:space="0" w:color="auto"/>
            </w:tcBorders>
            <w:shd w:val="clear" w:color="auto" w:fill="auto"/>
            <w:vAlign w:val="center"/>
            <w:hideMark/>
          </w:tcPr>
          <w:p w14:paraId="116D5408" w14:textId="77777777" w:rsidR="004E6D1F" w:rsidRPr="001E614B" w:rsidRDefault="004E6D1F">
            <w:pPr>
              <w:ind w:left="-57" w:right="-57"/>
              <w:jc w:val="center"/>
              <w:rPr>
                <w:color w:val="000000"/>
                <w:sz w:val="16"/>
                <w:szCs w:val="16"/>
              </w:rPr>
            </w:pPr>
            <w:r w:rsidRPr="001E614B">
              <w:rPr>
                <w:color w:val="000000"/>
                <w:sz w:val="16"/>
                <w:szCs w:val="16"/>
              </w:rPr>
              <w:t>0,0</w:t>
            </w:r>
          </w:p>
        </w:tc>
        <w:tc>
          <w:tcPr>
            <w:tcW w:w="774" w:type="dxa"/>
            <w:tcBorders>
              <w:top w:val="nil"/>
              <w:left w:val="nil"/>
              <w:bottom w:val="single" w:sz="4" w:space="0" w:color="auto"/>
              <w:right w:val="single" w:sz="4" w:space="0" w:color="auto"/>
            </w:tcBorders>
            <w:shd w:val="clear" w:color="auto" w:fill="auto"/>
            <w:vAlign w:val="center"/>
            <w:hideMark/>
          </w:tcPr>
          <w:p w14:paraId="2A3D7E17" w14:textId="77777777" w:rsidR="004E6D1F" w:rsidRPr="001E614B" w:rsidRDefault="004E6D1F">
            <w:pPr>
              <w:ind w:left="-57" w:right="-57"/>
              <w:jc w:val="center"/>
              <w:rPr>
                <w:color w:val="000000"/>
                <w:sz w:val="16"/>
                <w:szCs w:val="16"/>
              </w:rPr>
            </w:pPr>
            <w:r w:rsidRPr="001E614B">
              <w:rPr>
                <w:color w:val="000000"/>
                <w:sz w:val="16"/>
                <w:szCs w:val="16"/>
              </w:rPr>
              <w:t>16 411,1</w:t>
            </w:r>
          </w:p>
        </w:tc>
        <w:tc>
          <w:tcPr>
            <w:tcW w:w="1095" w:type="dxa"/>
            <w:tcBorders>
              <w:top w:val="nil"/>
              <w:left w:val="nil"/>
              <w:bottom w:val="single" w:sz="4" w:space="0" w:color="auto"/>
              <w:right w:val="single" w:sz="4" w:space="0" w:color="auto"/>
            </w:tcBorders>
            <w:shd w:val="clear" w:color="auto" w:fill="auto"/>
            <w:vAlign w:val="center"/>
            <w:hideMark/>
          </w:tcPr>
          <w:p w14:paraId="141B0144" w14:textId="77777777" w:rsidR="004E6D1F" w:rsidRPr="001E614B" w:rsidRDefault="004E6D1F">
            <w:pPr>
              <w:ind w:left="-57" w:right="-57"/>
              <w:jc w:val="center"/>
              <w:rPr>
                <w:color w:val="000000"/>
                <w:sz w:val="16"/>
                <w:szCs w:val="16"/>
              </w:rPr>
            </w:pPr>
            <w:r w:rsidRPr="001E614B">
              <w:rPr>
                <w:color w:val="000000"/>
                <w:sz w:val="16"/>
                <w:szCs w:val="16"/>
              </w:rPr>
              <w:t>-</w:t>
            </w:r>
          </w:p>
        </w:tc>
      </w:tr>
      <w:tr w:rsidR="004E6D1F" w:rsidRPr="001E614B" w14:paraId="28A6CEA5" w14:textId="77777777" w:rsidTr="0083643C">
        <w:trPr>
          <w:trHeight w:val="47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4EA944D7" w14:textId="77777777" w:rsidR="004E6D1F" w:rsidRPr="001E614B" w:rsidRDefault="004E6D1F">
            <w:pPr>
              <w:ind w:left="-57" w:right="-57"/>
              <w:jc w:val="both"/>
              <w:rPr>
                <w:color w:val="000000"/>
                <w:sz w:val="16"/>
                <w:szCs w:val="16"/>
              </w:rPr>
            </w:pPr>
            <w:r w:rsidRPr="001E614B">
              <w:rPr>
                <w:color w:val="000000"/>
                <w:sz w:val="16"/>
                <w:szCs w:val="16"/>
              </w:rPr>
              <w:t>Федеральный проект «Культурная среда»</w:t>
            </w:r>
          </w:p>
        </w:tc>
        <w:tc>
          <w:tcPr>
            <w:tcW w:w="722" w:type="dxa"/>
            <w:tcBorders>
              <w:top w:val="nil"/>
              <w:left w:val="nil"/>
              <w:bottom w:val="single" w:sz="4" w:space="0" w:color="auto"/>
              <w:right w:val="single" w:sz="4" w:space="0" w:color="auto"/>
            </w:tcBorders>
            <w:shd w:val="clear" w:color="auto" w:fill="auto"/>
            <w:vAlign w:val="center"/>
            <w:hideMark/>
          </w:tcPr>
          <w:p w14:paraId="4EC2D8D3" w14:textId="77777777" w:rsidR="004E6D1F" w:rsidRPr="001E614B" w:rsidRDefault="004E6D1F">
            <w:pPr>
              <w:ind w:left="-57" w:right="-57"/>
              <w:jc w:val="center"/>
              <w:rPr>
                <w:color w:val="000000"/>
                <w:sz w:val="16"/>
                <w:szCs w:val="16"/>
              </w:rPr>
            </w:pPr>
            <w:r w:rsidRPr="001E614B">
              <w:rPr>
                <w:color w:val="000000"/>
                <w:sz w:val="16"/>
                <w:szCs w:val="16"/>
              </w:rPr>
              <w:t>24 876,2</w:t>
            </w:r>
          </w:p>
        </w:tc>
        <w:tc>
          <w:tcPr>
            <w:tcW w:w="743" w:type="dxa"/>
            <w:tcBorders>
              <w:top w:val="nil"/>
              <w:left w:val="nil"/>
              <w:bottom w:val="single" w:sz="4" w:space="0" w:color="auto"/>
              <w:right w:val="single" w:sz="4" w:space="0" w:color="auto"/>
            </w:tcBorders>
            <w:shd w:val="clear" w:color="auto" w:fill="auto"/>
            <w:vAlign w:val="center"/>
            <w:hideMark/>
          </w:tcPr>
          <w:p w14:paraId="240505FF" w14:textId="77777777" w:rsidR="004E6D1F" w:rsidRPr="001E614B" w:rsidRDefault="004E6D1F">
            <w:pPr>
              <w:ind w:left="-57" w:right="-57"/>
              <w:jc w:val="center"/>
              <w:rPr>
                <w:color w:val="000000"/>
                <w:sz w:val="16"/>
                <w:szCs w:val="16"/>
              </w:rPr>
            </w:pPr>
            <w:r w:rsidRPr="001E614B">
              <w:rPr>
                <w:color w:val="000000"/>
                <w:sz w:val="16"/>
                <w:szCs w:val="16"/>
              </w:rPr>
              <w:t>25 459,9</w:t>
            </w:r>
          </w:p>
        </w:tc>
        <w:tc>
          <w:tcPr>
            <w:tcW w:w="806" w:type="dxa"/>
            <w:tcBorders>
              <w:top w:val="nil"/>
              <w:left w:val="nil"/>
              <w:bottom w:val="single" w:sz="4" w:space="0" w:color="auto"/>
              <w:right w:val="single" w:sz="4" w:space="0" w:color="auto"/>
            </w:tcBorders>
            <w:shd w:val="clear" w:color="auto" w:fill="auto"/>
            <w:vAlign w:val="center"/>
            <w:hideMark/>
          </w:tcPr>
          <w:p w14:paraId="6FC3DE53" w14:textId="77777777" w:rsidR="004E6D1F" w:rsidRPr="001E614B" w:rsidRDefault="004E6D1F">
            <w:pPr>
              <w:ind w:left="-57" w:right="-57"/>
              <w:jc w:val="center"/>
              <w:rPr>
                <w:color w:val="000000"/>
                <w:sz w:val="16"/>
                <w:szCs w:val="16"/>
              </w:rPr>
            </w:pPr>
            <w:r w:rsidRPr="001E614B">
              <w:rPr>
                <w:color w:val="000000"/>
                <w:sz w:val="16"/>
                <w:szCs w:val="16"/>
              </w:rPr>
              <w:t>29 243,2</w:t>
            </w:r>
          </w:p>
        </w:tc>
        <w:tc>
          <w:tcPr>
            <w:tcW w:w="767" w:type="dxa"/>
            <w:tcBorders>
              <w:top w:val="nil"/>
              <w:left w:val="nil"/>
              <w:bottom w:val="single" w:sz="4" w:space="0" w:color="auto"/>
              <w:right w:val="single" w:sz="4" w:space="0" w:color="auto"/>
            </w:tcBorders>
            <w:shd w:val="clear" w:color="auto" w:fill="auto"/>
            <w:vAlign w:val="center"/>
            <w:hideMark/>
          </w:tcPr>
          <w:p w14:paraId="48351C6C" w14:textId="77777777" w:rsidR="004E6D1F" w:rsidRPr="001E614B" w:rsidRDefault="004E6D1F">
            <w:pPr>
              <w:ind w:left="-57" w:right="-57"/>
              <w:jc w:val="center"/>
              <w:rPr>
                <w:color w:val="000000"/>
                <w:sz w:val="16"/>
                <w:szCs w:val="16"/>
              </w:rPr>
            </w:pPr>
            <w:r w:rsidRPr="001E614B">
              <w:rPr>
                <w:color w:val="000000"/>
                <w:sz w:val="16"/>
                <w:szCs w:val="16"/>
              </w:rPr>
              <w:t>114,9</w:t>
            </w:r>
          </w:p>
        </w:tc>
        <w:tc>
          <w:tcPr>
            <w:tcW w:w="749" w:type="dxa"/>
            <w:tcBorders>
              <w:top w:val="nil"/>
              <w:left w:val="nil"/>
              <w:bottom w:val="single" w:sz="4" w:space="0" w:color="auto"/>
              <w:right w:val="single" w:sz="4" w:space="0" w:color="auto"/>
            </w:tcBorders>
            <w:shd w:val="clear" w:color="auto" w:fill="auto"/>
            <w:vAlign w:val="center"/>
            <w:hideMark/>
          </w:tcPr>
          <w:p w14:paraId="38904841" w14:textId="77777777" w:rsidR="004E6D1F" w:rsidRPr="001E614B" w:rsidRDefault="004E6D1F">
            <w:pPr>
              <w:ind w:left="-57" w:right="-57"/>
              <w:jc w:val="center"/>
              <w:rPr>
                <w:color w:val="000000"/>
                <w:sz w:val="16"/>
                <w:szCs w:val="16"/>
              </w:rPr>
            </w:pPr>
            <w:r w:rsidRPr="001E614B">
              <w:rPr>
                <w:color w:val="000000"/>
                <w:sz w:val="16"/>
                <w:szCs w:val="16"/>
              </w:rPr>
              <w:t>26 204,3</w:t>
            </w:r>
          </w:p>
        </w:tc>
        <w:tc>
          <w:tcPr>
            <w:tcW w:w="800" w:type="dxa"/>
            <w:tcBorders>
              <w:top w:val="nil"/>
              <w:left w:val="nil"/>
              <w:bottom w:val="single" w:sz="4" w:space="0" w:color="auto"/>
              <w:right w:val="single" w:sz="4" w:space="0" w:color="auto"/>
            </w:tcBorders>
            <w:shd w:val="clear" w:color="auto" w:fill="auto"/>
            <w:vAlign w:val="center"/>
            <w:hideMark/>
          </w:tcPr>
          <w:p w14:paraId="1230CA78" w14:textId="77777777" w:rsidR="004E6D1F" w:rsidRPr="001E614B" w:rsidRDefault="004E6D1F">
            <w:pPr>
              <w:ind w:left="-57" w:right="-57"/>
              <w:jc w:val="center"/>
              <w:rPr>
                <w:color w:val="000000"/>
                <w:sz w:val="16"/>
                <w:szCs w:val="16"/>
              </w:rPr>
            </w:pPr>
            <w:r w:rsidRPr="001E614B">
              <w:rPr>
                <w:color w:val="000000"/>
                <w:sz w:val="16"/>
                <w:szCs w:val="16"/>
              </w:rPr>
              <w:t>29 913,1</w:t>
            </w:r>
          </w:p>
        </w:tc>
        <w:tc>
          <w:tcPr>
            <w:tcW w:w="767" w:type="dxa"/>
            <w:tcBorders>
              <w:top w:val="nil"/>
              <w:left w:val="nil"/>
              <w:bottom w:val="single" w:sz="4" w:space="0" w:color="auto"/>
              <w:right w:val="single" w:sz="4" w:space="0" w:color="auto"/>
            </w:tcBorders>
            <w:shd w:val="clear" w:color="auto" w:fill="auto"/>
            <w:vAlign w:val="center"/>
            <w:hideMark/>
          </w:tcPr>
          <w:p w14:paraId="74D423CC" w14:textId="77777777" w:rsidR="004E6D1F" w:rsidRPr="001E614B" w:rsidRDefault="004E6D1F">
            <w:pPr>
              <w:ind w:left="-57" w:right="-57"/>
              <w:jc w:val="center"/>
              <w:rPr>
                <w:color w:val="000000"/>
                <w:sz w:val="16"/>
                <w:szCs w:val="16"/>
              </w:rPr>
            </w:pPr>
            <w:r w:rsidRPr="001E614B">
              <w:rPr>
                <w:color w:val="000000"/>
                <w:sz w:val="16"/>
                <w:szCs w:val="16"/>
              </w:rPr>
              <w:t>114,2</w:t>
            </w:r>
          </w:p>
        </w:tc>
        <w:tc>
          <w:tcPr>
            <w:tcW w:w="1043" w:type="dxa"/>
            <w:tcBorders>
              <w:top w:val="nil"/>
              <w:left w:val="nil"/>
              <w:bottom w:val="single" w:sz="4" w:space="0" w:color="auto"/>
              <w:right w:val="single" w:sz="4" w:space="0" w:color="auto"/>
            </w:tcBorders>
            <w:shd w:val="clear" w:color="auto" w:fill="auto"/>
            <w:vAlign w:val="center"/>
            <w:hideMark/>
          </w:tcPr>
          <w:p w14:paraId="096E50E2" w14:textId="77777777" w:rsidR="004E6D1F" w:rsidRPr="001E614B" w:rsidRDefault="004E6D1F">
            <w:pPr>
              <w:ind w:left="-57" w:right="-57"/>
              <w:jc w:val="center"/>
              <w:rPr>
                <w:color w:val="000000"/>
                <w:sz w:val="16"/>
                <w:szCs w:val="16"/>
              </w:rPr>
            </w:pPr>
            <w:r w:rsidRPr="001E614B">
              <w:rPr>
                <w:color w:val="000000"/>
                <w:sz w:val="16"/>
                <w:szCs w:val="16"/>
              </w:rPr>
              <w:t>26 204,3</w:t>
            </w:r>
          </w:p>
        </w:tc>
        <w:tc>
          <w:tcPr>
            <w:tcW w:w="774" w:type="dxa"/>
            <w:tcBorders>
              <w:top w:val="nil"/>
              <w:left w:val="nil"/>
              <w:bottom w:val="single" w:sz="4" w:space="0" w:color="auto"/>
              <w:right w:val="single" w:sz="4" w:space="0" w:color="auto"/>
            </w:tcBorders>
            <w:shd w:val="clear" w:color="auto" w:fill="auto"/>
            <w:vAlign w:val="center"/>
            <w:hideMark/>
          </w:tcPr>
          <w:p w14:paraId="6821A6AC" w14:textId="77777777" w:rsidR="004E6D1F" w:rsidRPr="001E614B" w:rsidRDefault="004E6D1F">
            <w:pPr>
              <w:ind w:left="-57" w:right="-57"/>
              <w:jc w:val="center"/>
              <w:rPr>
                <w:color w:val="000000"/>
                <w:sz w:val="16"/>
                <w:szCs w:val="16"/>
              </w:rPr>
            </w:pPr>
            <w:r w:rsidRPr="001E614B">
              <w:rPr>
                <w:color w:val="000000"/>
                <w:sz w:val="16"/>
                <w:szCs w:val="16"/>
              </w:rPr>
              <w:t>0,0</w:t>
            </w:r>
          </w:p>
        </w:tc>
        <w:tc>
          <w:tcPr>
            <w:tcW w:w="1095" w:type="dxa"/>
            <w:tcBorders>
              <w:top w:val="nil"/>
              <w:left w:val="nil"/>
              <w:bottom w:val="single" w:sz="4" w:space="0" w:color="auto"/>
              <w:right w:val="single" w:sz="4" w:space="0" w:color="auto"/>
            </w:tcBorders>
            <w:shd w:val="clear" w:color="auto" w:fill="auto"/>
            <w:vAlign w:val="center"/>
            <w:hideMark/>
          </w:tcPr>
          <w:p w14:paraId="6E03F3A4" w14:textId="77777777" w:rsidR="004E6D1F" w:rsidRPr="001E614B" w:rsidRDefault="004E6D1F">
            <w:pPr>
              <w:ind w:left="-57" w:right="-57"/>
              <w:jc w:val="center"/>
              <w:rPr>
                <w:color w:val="000000"/>
                <w:sz w:val="16"/>
                <w:szCs w:val="16"/>
              </w:rPr>
            </w:pPr>
            <w:r w:rsidRPr="001E614B">
              <w:rPr>
                <w:color w:val="000000"/>
                <w:sz w:val="16"/>
                <w:szCs w:val="16"/>
              </w:rPr>
              <w:t>0,0</w:t>
            </w:r>
          </w:p>
        </w:tc>
      </w:tr>
      <w:tr w:rsidR="004E6D1F" w:rsidRPr="001E614B" w14:paraId="55D0D1B8" w14:textId="77777777" w:rsidTr="0083643C">
        <w:trPr>
          <w:trHeight w:val="47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2252515B" w14:textId="77777777" w:rsidR="004E6D1F" w:rsidRPr="001E614B" w:rsidRDefault="004E6D1F">
            <w:pPr>
              <w:ind w:left="-57" w:right="-57"/>
              <w:jc w:val="both"/>
              <w:rPr>
                <w:color w:val="000000"/>
                <w:sz w:val="16"/>
                <w:szCs w:val="16"/>
              </w:rPr>
            </w:pPr>
            <w:r w:rsidRPr="001E614B">
              <w:rPr>
                <w:color w:val="000000"/>
                <w:sz w:val="16"/>
                <w:szCs w:val="16"/>
              </w:rPr>
              <w:t>Федеральный проект «Творческие люди»</w:t>
            </w:r>
          </w:p>
        </w:tc>
        <w:tc>
          <w:tcPr>
            <w:tcW w:w="722" w:type="dxa"/>
            <w:tcBorders>
              <w:top w:val="nil"/>
              <w:left w:val="nil"/>
              <w:bottom w:val="single" w:sz="4" w:space="0" w:color="auto"/>
              <w:right w:val="single" w:sz="4" w:space="0" w:color="auto"/>
            </w:tcBorders>
            <w:shd w:val="clear" w:color="auto" w:fill="auto"/>
            <w:vAlign w:val="center"/>
            <w:hideMark/>
          </w:tcPr>
          <w:p w14:paraId="4B07D97D" w14:textId="77777777" w:rsidR="004E6D1F" w:rsidRPr="001E614B" w:rsidRDefault="004E6D1F">
            <w:pPr>
              <w:ind w:left="-57" w:right="-57"/>
              <w:jc w:val="center"/>
              <w:rPr>
                <w:color w:val="000000"/>
                <w:sz w:val="16"/>
                <w:szCs w:val="16"/>
              </w:rPr>
            </w:pPr>
            <w:r w:rsidRPr="001E614B">
              <w:rPr>
                <w:color w:val="000000"/>
                <w:sz w:val="16"/>
                <w:szCs w:val="16"/>
              </w:rPr>
              <w:t>3 021,7</w:t>
            </w:r>
          </w:p>
        </w:tc>
        <w:tc>
          <w:tcPr>
            <w:tcW w:w="743" w:type="dxa"/>
            <w:tcBorders>
              <w:top w:val="nil"/>
              <w:left w:val="nil"/>
              <w:bottom w:val="single" w:sz="4" w:space="0" w:color="auto"/>
              <w:right w:val="single" w:sz="4" w:space="0" w:color="auto"/>
            </w:tcBorders>
            <w:shd w:val="clear" w:color="auto" w:fill="auto"/>
            <w:vAlign w:val="center"/>
            <w:hideMark/>
          </w:tcPr>
          <w:p w14:paraId="072F6A8D" w14:textId="77777777" w:rsidR="004E6D1F" w:rsidRPr="001E614B" w:rsidRDefault="004E6D1F">
            <w:pPr>
              <w:ind w:left="-57" w:right="-57"/>
              <w:jc w:val="center"/>
              <w:rPr>
                <w:color w:val="000000"/>
                <w:sz w:val="16"/>
                <w:szCs w:val="16"/>
              </w:rPr>
            </w:pPr>
            <w:r w:rsidRPr="001E614B">
              <w:rPr>
                <w:color w:val="000000"/>
                <w:sz w:val="16"/>
                <w:szCs w:val="16"/>
              </w:rPr>
              <w:t>3 480,4</w:t>
            </w:r>
          </w:p>
        </w:tc>
        <w:tc>
          <w:tcPr>
            <w:tcW w:w="806" w:type="dxa"/>
            <w:tcBorders>
              <w:top w:val="nil"/>
              <w:left w:val="nil"/>
              <w:bottom w:val="single" w:sz="4" w:space="0" w:color="auto"/>
              <w:right w:val="single" w:sz="4" w:space="0" w:color="auto"/>
            </w:tcBorders>
            <w:shd w:val="clear" w:color="auto" w:fill="auto"/>
            <w:vAlign w:val="center"/>
            <w:hideMark/>
          </w:tcPr>
          <w:p w14:paraId="41176A68" w14:textId="77777777" w:rsidR="004E6D1F" w:rsidRPr="001E614B" w:rsidRDefault="004E6D1F">
            <w:pPr>
              <w:ind w:left="-57" w:right="-57"/>
              <w:jc w:val="center"/>
              <w:rPr>
                <w:color w:val="000000"/>
                <w:sz w:val="16"/>
                <w:szCs w:val="16"/>
              </w:rPr>
            </w:pPr>
            <w:r w:rsidRPr="001E614B">
              <w:rPr>
                <w:color w:val="000000"/>
                <w:sz w:val="16"/>
                <w:szCs w:val="16"/>
              </w:rPr>
              <w:t>3 194,0</w:t>
            </w:r>
          </w:p>
        </w:tc>
        <w:tc>
          <w:tcPr>
            <w:tcW w:w="767" w:type="dxa"/>
            <w:tcBorders>
              <w:top w:val="nil"/>
              <w:left w:val="nil"/>
              <w:bottom w:val="single" w:sz="4" w:space="0" w:color="auto"/>
              <w:right w:val="single" w:sz="4" w:space="0" w:color="auto"/>
            </w:tcBorders>
            <w:shd w:val="clear" w:color="auto" w:fill="auto"/>
            <w:vAlign w:val="center"/>
            <w:hideMark/>
          </w:tcPr>
          <w:p w14:paraId="3A59E0B0" w14:textId="77777777" w:rsidR="004E6D1F" w:rsidRPr="001E614B" w:rsidRDefault="004E6D1F">
            <w:pPr>
              <w:ind w:left="-57" w:right="-57"/>
              <w:jc w:val="center"/>
              <w:rPr>
                <w:color w:val="000000"/>
                <w:sz w:val="16"/>
                <w:szCs w:val="16"/>
              </w:rPr>
            </w:pPr>
            <w:r w:rsidRPr="001E614B">
              <w:rPr>
                <w:color w:val="000000"/>
                <w:sz w:val="16"/>
                <w:szCs w:val="16"/>
              </w:rPr>
              <w:t>91,8</w:t>
            </w:r>
          </w:p>
        </w:tc>
        <w:tc>
          <w:tcPr>
            <w:tcW w:w="749" w:type="dxa"/>
            <w:tcBorders>
              <w:top w:val="nil"/>
              <w:left w:val="nil"/>
              <w:bottom w:val="single" w:sz="4" w:space="0" w:color="auto"/>
              <w:right w:val="single" w:sz="4" w:space="0" w:color="auto"/>
            </w:tcBorders>
            <w:shd w:val="clear" w:color="auto" w:fill="auto"/>
            <w:vAlign w:val="center"/>
            <w:hideMark/>
          </w:tcPr>
          <w:p w14:paraId="250D8FAA" w14:textId="77777777" w:rsidR="004E6D1F" w:rsidRPr="001E614B" w:rsidRDefault="004E6D1F">
            <w:pPr>
              <w:ind w:left="-57" w:right="-57"/>
              <w:jc w:val="center"/>
              <w:rPr>
                <w:color w:val="000000"/>
                <w:sz w:val="16"/>
                <w:szCs w:val="16"/>
              </w:rPr>
            </w:pPr>
            <w:r w:rsidRPr="001E614B">
              <w:rPr>
                <w:color w:val="000000"/>
                <w:sz w:val="16"/>
                <w:szCs w:val="16"/>
              </w:rPr>
              <w:t>3 669,0</w:t>
            </w:r>
          </w:p>
        </w:tc>
        <w:tc>
          <w:tcPr>
            <w:tcW w:w="800" w:type="dxa"/>
            <w:tcBorders>
              <w:top w:val="nil"/>
              <w:left w:val="nil"/>
              <w:bottom w:val="single" w:sz="4" w:space="0" w:color="auto"/>
              <w:right w:val="single" w:sz="4" w:space="0" w:color="auto"/>
            </w:tcBorders>
            <w:shd w:val="clear" w:color="auto" w:fill="auto"/>
            <w:vAlign w:val="center"/>
            <w:hideMark/>
          </w:tcPr>
          <w:p w14:paraId="144D2A6D" w14:textId="77777777" w:rsidR="004E6D1F" w:rsidRPr="001E614B" w:rsidRDefault="004E6D1F">
            <w:pPr>
              <w:ind w:left="-57" w:right="-57"/>
              <w:jc w:val="center"/>
              <w:rPr>
                <w:color w:val="000000"/>
                <w:sz w:val="16"/>
                <w:szCs w:val="16"/>
              </w:rPr>
            </w:pPr>
            <w:r w:rsidRPr="001E614B">
              <w:rPr>
                <w:color w:val="000000"/>
                <w:sz w:val="16"/>
                <w:szCs w:val="16"/>
              </w:rPr>
              <w:t>3 372,9</w:t>
            </w:r>
          </w:p>
        </w:tc>
        <w:tc>
          <w:tcPr>
            <w:tcW w:w="767" w:type="dxa"/>
            <w:tcBorders>
              <w:top w:val="nil"/>
              <w:left w:val="nil"/>
              <w:bottom w:val="single" w:sz="4" w:space="0" w:color="auto"/>
              <w:right w:val="single" w:sz="4" w:space="0" w:color="auto"/>
            </w:tcBorders>
            <w:shd w:val="clear" w:color="auto" w:fill="auto"/>
            <w:vAlign w:val="center"/>
            <w:hideMark/>
          </w:tcPr>
          <w:p w14:paraId="6F615DE1" w14:textId="77777777" w:rsidR="004E6D1F" w:rsidRPr="001E614B" w:rsidRDefault="004E6D1F">
            <w:pPr>
              <w:ind w:left="-57" w:right="-57"/>
              <w:jc w:val="center"/>
              <w:rPr>
                <w:color w:val="000000"/>
                <w:sz w:val="16"/>
                <w:szCs w:val="16"/>
              </w:rPr>
            </w:pPr>
            <w:r w:rsidRPr="001E614B">
              <w:rPr>
                <w:color w:val="000000"/>
                <w:sz w:val="16"/>
                <w:szCs w:val="16"/>
              </w:rPr>
              <w:t>91,9</w:t>
            </w:r>
          </w:p>
        </w:tc>
        <w:tc>
          <w:tcPr>
            <w:tcW w:w="1043" w:type="dxa"/>
            <w:tcBorders>
              <w:top w:val="nil"/>
              <w:left w:val="nil"/>
              <w:bottom w:val="single" w:sz="4" w:space="0" w:color="auto"/>
              <w:right w:val="single" w:sz="4" w:space="0" w:color="auto"/>
            </w:tcBorders>
            <w:shd w:val="clear" w:color="auto" w:fill="auto"/>
            <w:vAlign w:val="center"/>
            <w:hideMark/>
          </w:tcPr>
          <w:p w14:paraId="055B691E" w14:textId="77777777" w:rsidR="004E6D1F" w:rsidRPr="001E614B" w:rsidRDefault="004E6D1F">
            <w:pPr>
              <w:ind w:left="-57" w:right="-57"/>
              <w:jc w:val="center"/>
              <w:rPr>
                <w:color w:val="000000"/>
                <w:sz w:val="16"/>
                <w:szCs w:val="16"/>
              </w:rPr>
            </w:pPr>
            <w:r w:rsidRPr="001E614B">
              <w:rPr>
                <w:color w:val="000000"/>
                <w:sz w:val="16"/>
                <w:szCs w:val="16"/>
              </w:rPr>
              <w:t>3 687,5</w:t>
            </w:r>
          </w:p>
        </w:tc>
        <w:tc>
          <w:tcPr>
            <w:tcW w:w="774" w:type="dxa"/>
            <w:tcBorders>
              <w:top w:val="nil"/>
              <w:left w:val="nil"/>
              <w:bottom w:val="single" w:sz="4" w:space="0" w:color="auto"/>
              <w:right w:val="single" w:sz="4" w:space="0" w:color="auto"/>
            </w:tcBorders>
            <w:shd w:val="clear" w:color="auto" w:fill="auto"/>
            <w:vAlign w:val="center"/>
            <w:hideMark/>
          </w:tcPr>
          <w:p w14:paraId="1EDC586D" w14:textId="77777777" w:rsidR="004E6D1F" w:rsidRPr="001E614B" w:rsidRDefault="004E6D1F">
            <w:pPr>
              <w:ind w:left="-57" w:right="-57"/>
              <w:jc w:val="center"/>
              <w:rPr>
                <w:color w:val="000000"/>
                <w:sz w:val="16"/>
                <w:szCs w:val="16"/>
              </w:rPr>
            </w:pPr>
            <w:r w:rsidRPr="001E614B">
              <w:rPr>
                <w:color w:val="000000"/>
                <w:sz w:val="16"/>
                <w:szCs w:val="16"/>
              </w:rPr>
              <w:t>0,0</w:t>
            </w:r>
          </w:p>
        </w:tc>
        <w:tc>
          <w:tcPr>
            <w:tcW w:w="1095" w:type="dxa"/>
            <w:tcBorders>
              <w:top w:val="nil"/>
              <w:left w:val="nil"/>
              <w:bottom w:val="single" w:sz="4" w:space="0" w:color="auto"/>
              <w:right w:val="single" w:sz="4" w:space="0" w:color="auto"/>
            </w:tcBorders>
            <w:shd w:val="clear" w:color="auto" w:fill="auto"/>
            <w:vAlign w:val="center"/>
            <w:hideMark/>
          </w:tcPr>
          <w:p w14:paraId="06390DBD" w14:textId="77777777" w:rsidR="004E6D1F" w:rsidRPr="001E614B" w:rsidRDefault="004E6D1F">
            <w:pPr>
              <w:ind w:left="-57" w:right="-57"/>
              <w:jc w:val="center"/>
              <w:rPr>
                <w:color w:val="000000"/>
                <w:sz w:val="16"/>
                <w:szCs w:val="16"/>
              </w:rPr>
            </w:pPr>
            <w:r w:rsidRPr="001E614B">
              <w:rPr>
                <w:color w:val="000000"/>
                <w:sz w:val="16"/>
                <w:szCs w:val="16"/>
              </w:rPr>
              <w:t>0,0</w:t>
            </w:r>
          </w:p>
        </w:tc>
      </w:tr>
      <w:tr w:rsidR="004E6D1F" w:rsidRPr="001E614B" w14:paraId="6E3343AC" w14:textId="77777777" w:rsidTr="0083643C">
        <w:trPr>
          <w:trHeight w:val="47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470A5350" w14:textId="77777777" w:rsidR="004E6D1F" w:rsidRPr="001E614B" w:rsidRDefault="004E6D1F">
            <w:pPr>
              <w:ind w:left="-57" w:right="-57"/>
              <w:jc w:val="both"/>
              <w:rPr>
                <w:color w:val="000000"/>
                <w:sz w:val="16"/>
                <w:szCs w:val="16"/>
              </w:rPr>
            </w:pPr>
            <w:r w:rsidRPr="001E614B">
              <w:rPr>
                <w:color w:val="000000"/>
                <w:sz w:val="16"/>
                <w:szCs w:val="16"/>
              </w:rPr>
              <w:t>Федеральный проект «Цифровая культура»</w:t>
            </w:r>
          </w:p>
        </w:tc>
        <w:tc>
          <w:tcPr>
            <w:tcW w:w="722" w:type="dxa"/>
            <w:tcBorders>
              <w:top w:val="nil"/>
              <w:left w:val="nil"/>
              <w:bottom w:val="single" w:sz="4" w:space="0" w:color="auto"/>
              <w:right w:val="single" w:sz="4" w:space="0" w:color="auto"/>
            </w:tcBorders>
            <w:shd w:val="clear" w:color="auto" w:fill="auto"/>
            <w:vAlign w:val="center"/>
            <w:hideMark/>
          </w:tcPr>
          <w:p w14:paraId="722B0B3C" w14:textId="77777777" w:rsidR="004E6D1F" w:rsidRPr="001E614B" w:rsidRDefault="004E6D1F">
            <w:pPr>
              <w:ind w:left="-57" w:right="-57"/>
              <w:jc w:val="center"/>
              <w:rPr>
                <w:color w:val="000000"/>
                <w:sz w:val="16"/>
                <w:szCs w:val="16"/>
              </w:rPr>
            </w:pPr>
            <w:r w:rsidRPr="001E614B">
              <w:rPr>
                <w:color w:val="000000"/>
                <w:sz w:val="16"/>
                <w:szCs w:val="16"/>
              </w:rPr>
              <w:t>964,9</w:t>
            </w:r>
          </w:p>
        </w:tc>
        <w:tc>
          <w:tcPr>
            <w:tcW w:w="743" w:type="dxa"/>
            <w:tcBorders>
              <w:top w:val="nil"/>
              <w:left w:val="nil"/>
              <w:bottom w:val="single" w:sz="4" w:space="0" w:color="auto"/>
              <w:right w:val="single" w:sz="4" w:space="0" w:color="auto"/>
            </w:tcBorders>
            <w:shd w:val="clear" w:color="auto" w:fill="auto"/>
            <w:vAlign w:val="center"/>
            <w:hideMark/>
          </w:tcPr>
          <w:p w14:paraId="785B0191" w14:textId="77777777" w:rsidR="004E6D1F" w:rsidRPr="001E614B" w:rsidRDefault="004E6D1F">
            <w:pPr>
              <w:ind w:left="-57" w:right="-57"/>
              <w:jc w:val="center"/>
              <w:rPr>
                <w:color w:val="000000"/>
                <w:sz w:val="16"/>
                <w:szCs w:val="16"/>
              </w:rPr>
            </w:pPr>
            <w:r w:rsidRPr="001E614B">
              <w:rPr>
                <w:color w:val="000000"/>
                <w:sz w:val="16"/>
                <w:szCs w:val="16"/>
              </w:rPr>
              <w:t>958,0</w:t>
            </w:r>
          </w:p>
        </w:tc>
        <w:tc>
          <w:tcPr>
            <w:tcW w:w="806" w:type="dxa"/>
            <w:tcBorders>
              <w:top w:val="nil"/>
              <w:left w:val="nil"/>
              <w:bottom w:val="single" w:sz="4" w:space="0" w:color="auto"/>
              <w:right w:val="single" w:sz="4" w:space="0" w:color="auto"/>
            </w:tcBorders>
            <w:shd w:val="clear" w:color="auto" w:fill="auto"/>
            <w:vAlign w:val="center"/>
            <w:hideMark/>
          </w:tcPr>
          <w:p w14:paraId="565812C8" w14:textId="77777777" w:rsidR="004E6D1F" w:rsidRPr="001E614B" w:rsidRDefault="004E6D1F">
            <w:pPr>
              <w:ind w:left="-57" w:right="-57"/>
              <w:jc w:val="center"/>
              <w:rPr>
                <w:color w:val="000000"/>
                <w:sz w:val="16"/>
                <w:szCs w:val="16"/>
              </w:rPr>
            </w:pPr>
            <w:r w:rsidRPr="001E614B">
              <w:rPr>
                <w:color w:val="000000"/>
                <w:sz w:val="16"/>
                <w:szCs w:val="16"/>
              </w:rPr>
              <w:t>867,9</w:t>
            </w:r>
          </w:p>
        </w:tc>
        <w:tc>
          <w:tcPr>
            <w:tcW w:w="767" w:type="dxa"/>
            <w:tcBorders>
              <w:top w:val="nil"/>
              <w:left w:val="nil"/>
              <w:bottom w:val="single" w:sz="4" w:space="0" w:color="auto"/>
              <w:right w:val="single" w:sz="4" w:space="0" w:color="auto"/>
            </w:tcBorders>
            <w:shd w:val="clear" w:color="auto" w:fill="auto"/>
            <w:vAlign w:val="center"/>
            <w:hideMark/>
          </w:tcPr>
          <w:p w14:paraId="0BD56D48" w14:textId="77777777" w:rsidR="004E6D1F" w:rsidRPr="001E614B" w:rsidRDefault="004E6D1F">
            <w:pPr>
              <w:ind w:left="-57" w:right="-57"/>
              <w:jc w:val="center"/>
              <w:rPr>
                <w:color w:val="000000"/>
                <w:sz w:val="16"/>
                <w:szCs w:val="16"/>
              </w:rPr>
            </w:pPr>
            <w:r w:rsidRPr="001E614B">
              <w:rPr>
                <w:color w:val="000000"/>
                <w:sz w:val="16"/>
                <w:szCs w:val="16"/>
              </w:rPr>
              <w:t>90,6</w:t>
            </w:r>
          </w:p>
        </w:tc>
        <w:tc>
          <w:tcPr>
            <w:tcW w:w="749" w:type="dxa"/>
            <w:tcBorders>
              <w:top w:val="nil"/>
              <w:left w:val="nil"/>
              <w:bottom w:val="single" w:sz="4" w:space="0" w:color="auto"/>
              <w:right w:val="single" w:sz="4" w:space="0" w:color="auto"/>
            </w:tcBorders>
            <w:shd w:val="clear" w:color="auto" w:fill="auto"/>
            <w:vAlign w:val="center"/>
            <w:hideMark/>
          </w:tcPr>
          <w:p w14:paraId="15CE28D8" w14:textId="77777777" w:rsidR="004E6D1F" w:rsidRPr="001E614B" w:rsidRDefault="004E6D1F">
            <w:pPr>
              <w:ind w:left="-57" w:right="-57"/>
              <w:jc w:val="center"/>
              <w:rPr>
                <w:color w:val="000000"/>
                <w:sz w:val="16"/>
                <w:szCs w:val="16"/>
              </w:rPr>
            </w:pPr>
            <w:r w:rsidRPr="001E614B">
              <w:rPr>
                <w:color w:val="000000"/>
                <w:sz w:val="16"/>
                <w:szCs w:val="16"/>
              </w:rPr>
              <w:t>971,3</w:t>
            </w:r>
          </w:p>
        </w:tc>
        <w:tc>
          <w:tcPr>
            <w:tcW w:w="800" w:type="dxa"/>
            <w:tcBorders>
              <w:top w:val="nil"/>
              <w:left w:val="nil"/>
              <w:bottom w:val="single" w:sz="4" w:space="0" w:color="auto"/>
              <w:right w:val="single" w:sz="4" w:space="0" w:color="auto"/>
            </w:tcBorders>
            <w:shd w:val="clear" w:color="auto" w:fill="auto"/>
            <w:vAlign w:val="center"/>
            <w:hideMark/>
          </w:tcPr>
          <w:p w14:paraId="21019719" w14:textId="77777777" w:rsidR="004E6D1F" w:rsidRPr="001E614B" w:rsidRDefault="004E6D1F">
            <w:pPr>
              <w:ind w:left="-57" w:right="-57"/>
              <w:jc w:val="center"/>
              <w:rPr>
                <w:color w:val="000000"/>
                <w:sz w:val="16"/>
                <w:szCs w:val="16"/>
              </w:rPr>
            </w:pPr>
            <w:r w:rsidRPr="001E614B">
              <w:rPr>
                <w:color w:val="000000"/>
                <w:sz w:val="16"/>
                <w:szCs w:val="16"/>
              </w:rPr>
              <w:t>880,8</w:t>
            </w:r>
          </w:p>
        </w:tc>
        <w:tc>
          <w:tcPr>
            <w:tcW w:w="767" w:type="dxa"/>
            <w:tcBorders>
              <w:top w:val="nil"/>
              <w:left w:val="nil"/>
              <w:bottom w:val="single" w:sz="4" w:space="0" w:color="auto"/>
              <w:right w:val="single" w:sz="4" w:space="0" w:color="auto"/>
            </w:tcBorders>
            <w:shd w:val="clear" w:color="auto" w:fill="auto"/>
            <w:vAlign w:val="center"/>
            <w:hideMark/>
          </w:tcPr>
          <w:p w14:paraId="550E6F80" w14:textId="77777777" w:rsidR="004E6D1F" w:rsidRPr="001E614B" w:rsidRDefault="004E6D1F">
            <w:pPr>
              <w:ind w:left="-57" w:right="-57"/>
              <w:jc w:val="center"/>
              <w:rPr>
                <w:color w:val="000000"/>
                <w:sz w:val="16"/>
                <w:szCs w:val="16"/>
              </w:rPr>
            </w:pPr>
            <w:r w:rsidRPr="001E614B">
              <w:rPr>
                <w:color w:val="000000"/>
                <w:sz w:val="16"/>
                <w:szCs w:val="16"/>
              </w:rPr>
              <w:t>90,7</w:t>
            </w:r>
          </w:p>
        </w:tc>
        <w:tc>
          <w:tcPr>
            <w:tcW w:w="1043" w:type="dxa"/>
            <w:tcBorders>
              <w:top w:val="nil"/>
              <w:left w:val="nil"/>
              <w:bottom w:val="single" w:sz="4" w:space="0" w:color="auto"/>
              <w:right w:val="single" w:sz="4" w:space="0" w:color="auto"/>
            </w:tcBorders>
            <w:shd w:val="clear" w:color="auto" w:fill="auto"/>
            <w:vAlign w:val="center"/>
            <w:hideMark/>
          </w:tcPr>
          <w:p w14:paraId="25D85E0A" w14:textId="77777777" w:rsidR="004E6D1F" w:rsidRPr="001E614B" w:rsidRDefault="004E6D1F">
            <w:pPr>
              <w:ind w:left="-57" w:right="-57"/>
              <w:jc w:val="center"/>
              <w:rPr>
                <w:color w:val="000000"/>
                <w:sz w:val="16"/>
                <w:szCs w:val="16"/>
              </w:rPr>
            </w:pPr>
            <w:r w:rsidRPr="001E614B">
              <w:rPr>
                <w:color w:val="000000"/>
                <w:sz w:val="16"/>
                <w:szCs w:val="16"/>
              </w:rPr>
              <w:t>973,6</w:t>
            </w:r>
          </w:p>
        </w:tc>
        <w:tc>
          <w:tcPr>
            <w:tcW w:w="774" w:type="dxa"/>
            <w:tcBorders>
              <w:top w:val="nil"/>
              <w:left w:val="nil"/>
              <w:bottom w:val="single" w:sz="4" w:space="0" w:color="auto"/>
              <w:right w:val="single" w:sz="4" w:space="0" w:color="auto"/>
            </w:tcBorders>
            <w:shd w:val="clear" w:color="auto" w:fill="auto"/>
            <w:vAlign w:val="center"/>
            <w:hideMark/>
          </w:tcPr>
          <w:p w14:paraId="789C659E" w14:textId="77777777" w:rsidR="004E6D1F" w:rsidRPr="001E614B" w:rsidRDefault="004E6D1F">
            <w:pPr>
              <w:ind w:left="-57" w:right="-57"/>
              <w:jc w:val="center"/>
              <w:rPr>
                <w:color w:val="000000"/>
                <w:sz w:val="16"/>
                <w:szCs w:val="16"/>
              </w:rPr>
            </w:pPr>
            <w:r w:rsidRPr="001E614B">
              <w:rPr>
                <w:color w:val="000000"/>
                <w:sz w:val="16"/>
                <w:szCs w:val="16"/>
              </w:rPr>
              <w:t>0,0</w:t>
            </w:r>
          </w:p>
        </w:tc>
        <w:tc>
          <w:tcPr>
            <w:tcW w:w="1095" w:type="dxa"/>
            <w:tcBorders>
              <w:top w:val="nil"/>
              <w:left w:val="nil"/>
              <w:bottom w:val="single" w:sz="4" w:space="0" w:color="auto"/>
              <w:right w:val="single" w:sz="4" w:space="0" w:color="auto"/>
            </w:tcBorders>
            <w:shd w:val="clear" w:color="auto" w:fill="auto"/>
            <w:vAlign w:val="center"/>
            <w:hideMark/>
          </w:tcPr>
          <w:p w14:paraId="22F36340" w14:textId="77777777" w:rsidR="004E6D1F" w:rsidRPr="001E614B" w:rsidRDefault="004E6D1F">
            <w:pPr>
              <w:ind w:left="-57" w:right="-57"/>
              <w:jc w:val="center"/>
              <w:rPr>
                <w:color w:val="000000"/>
                <w:sz w:val="16"/>
                <w:szCs w:val="16"/>
              </w:rPr>
            </w:pPr>
            <w:r w:rsidRPr="001E614B">
              <w:rPr>
                <w:color w:val="000000"/>
                <w:sz w:val="16"/>
                <w:szCs w:val="16"/>
              </w:rPr>
              <w:t>0,0</w:t>
            </w:r>
          </w:p>
        </w:tc>
      </w:tr>
      <w:tr w:rsidR="004E6D1F" w:rsidRPr="001E614B" w14:paraId="2520B219" w14:textId="77777777" w:rsidTr="0083643C">
        <w:trPr>
          <w:trHeight w:val="47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3FB80AE1" w14:textId="77777777" w:rsidR="004E6D1F" w:rsidRPr="001E614B" w:rsidRDefault="004E6D1F">
            <w:pPr>
              <w:ind w:left="-57" w:right="-57"/>
              <w:jc w:val="both"/>
              <w:rPr>
                <w:color w:val="000000"/>
                <w:sz w:val="16"/>
                <w:szCs w:val="16"/>
              </w:rPr>
            </w:pPr>
            <w:r w:rsidRPr="001E614B">
              <w:rPr>
                <w:color w:val="000000"/>
                <w:sz w:val="16"/>
                <w:szCs w:val="16"/>
              </w:rPr>
              <w:t>Комплексы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2863B13" w14:textId="77777777" w:rsidR="004E6D1F" w:rsidRPr="001E614B" w:rsidRDefault="004E6D1F">
            <w:pPr>
              <w:ind w:left="-57" w:right="-57"/>
              <w:jc w:val="center"/>
              <w:rPr>
                <w:color w:val="000000"/>
                <w:sz w:val="16"/>
                <w:szCs w:val="16"/>
              </w:rPr>
            </w:pPr>
            <w:r w:rsidRPr="001E614B">
              <w:rPr>
                <w:color w:val="000000"/>
                <w:sz w:val="16"/>
                <w:szCs w:val="16"/>
              </w:rPr>
              <w:t>82 453,8</w:t>
            </w:r>
          </w:p>
        </w:tc>
        <w:tc>
          <w:tcPr>
            <w:tcW w:w="743" w:type="dxa"/>
            <w:tcBorders>
              <w:top w:val="nil"/>
              <w:left w:val="nil"/>
              <w:bottom w:val="single" w:sz="4" w:space="0" w:color="auto"/>
              <w:right w:val="single" w:sz="4" w:space="0" w:color="auto"/>
            </w:tcBorders>
            <w:shd w:val="clear" w:color="auto" w:fill="auto"/>
            <w:vAlign w:val="center"/>
            <w:hideMark/>
          </w:tcPr>
          <w:p w14:paraId="4294F981" w14:textId="77777777" w:rsidR="004E6D1F" w:rsidRPr="001E614B" w:rsidRDefault="004E6D1F">
            <w:pPr>
              <w:ind w:left="-57" w:right="-57"/>
              <w:jc w:val="center"/>
              <w:rPr>
                <w:color w:val="000000"/>
                <w:sz w:val="16"/>
                <w:szCs w:val="16"/>
              </w:rPr>
            </w:pPr>
            <w:r w:rsidRPr="001E614B">
              <w:rPr>
                <w:color w:val="000000"/>
                <w:sz w:val="16"/>
                <w:szCs w:val="16"/>
              </w:rPr>
              <w:t>82 815,0</w:t>
            </w:r>
          </w:p>
        </w:tc>
        <w:tc>
          <w:tcPr>
            <w:tcW w:w="806" w:type="dxa"/>
            <w:tcBorders>
              <w:top w:val="nil"/>
              <w:left w:val="nil"/>
              <w:bottom w:val="single" w:sz="4" w:space="0" w:color="auto"/>
              <w:right w:val="single" w:sz="4" w:space="0" w:color="auto"/>
            </w:tcBorders>
            <w:shd w:val="clear" w:color="auto" w:fill="auto"/>
            <w:vAlign w:val="center"/>
            <w:hideMark/>
          </w:tcPr>
          <w:p w14:paraId="6834AD24" w14:textId="77777777" w:rsidR="004E6D1F" w:rsidRPr="001E614B" w:rsidRDefault="004E6D1F">
            <w:pPr>
              <w:ind w:left="-57" w:right="-57"/>
              <w:jc w:val="center"/>
              <w:rPr>
                <w:color w:val="000000"/>
                <w:sz w:val="16"/>
                <w:szCs w:val="16"/>
              </w:rPr>
            </w:pPr>
            <w:r w:rsidRPr="001E614B">
              <w:rPr>
                <w:color w:val="000000"/>
                <w:sz w:val="16"/>
                <w:szCs w:val="16"/>
              </w:rPr>
              <w:t>89 359,1</w:t>
            </w:r>
          </w:p>
        </w:tc>
        <w:tc>
          <w:tcPr>
            <w:tcW w:w="767" w:type="dxa"/>
            <w:tcBorders>
              <w:top w:val="nil"/>
              <w:left w:val="nil"/>
              <w:bottom w:val="single" w:sz="4" w:space="0" w:color="auto"/>
              <w:right w:val="single" w:sz="4" w:space="0" w:color="auto"/>
            </w:tcBorders>
            <w:shd w:val="clear" w:color="auto" w:fill="auto"/>
            <w:vAlign w:val="center"/>
            <w:hideMark/>
          </w:tcPr>
          <w:p w14:paraId="47E331C4" w14:textId="77777777" w:rsidR="004E6D1F" w:rsidRPr="001E614B" w:rsidRDefault="004E6D1F">
            <w:pPr>
              <w:ind w:left="-57" w:right="-57"/>
              <w:jc w:val="center"/>
              <w:rPr>
                <w:color w:val="000000"/>
                <w:sz w:val="16"/>
                <w:szCs w:val="16"/>
              </w:rPr>
            </w:pPr>
            <w:r w:rsidRPr="001E614B">
              <w:rPr>
                <w:color w:val="000000"/>
                <w:sz w:val="16"/>
                <w:szCs w:val="16"/>
              </w:rPr>
              <w:t>107,9</w:t>
            </w:r>
          </w:p>
        </w:tc>
        <w:tc>
          <w:tcPr>
            <w:tcW w:w="749" w:type="dxa"/>
            <w:tcBorders>
              <w:top w:val="nil"/>
              <w:left w:val="nil"/>
              <w:bottom w:val="single" w:sz="4" w:space="0" w:color="auto"/>
              <w:right w:val="single" w:sz="4" w:space="0" w:color="auto"/>
            </w:tcBorders>
            <w:shd w:val="clear" w:color="auto" w:fill="auto"/>
            <w:vAlign w:val="center"/>
            <w:hideMark/>
          </w:tcPr>
          <w:p w14:paraId="71F9176C" w14:textId="77777777" w:rsidR="004E6D1F" w:rsidRPr="001E614B" w:rsidRDefault="004E6D1F">
            <w:pPr>
              <w:ind w:left="-57" w:right="-57"/>
              <w:jc w:val="center"/>
              <w:rPr>
                <w:color w:val="000000"/>
                <w:sz w:val="16"/>
                <w:szCs w:val="16"/>
              </w:rPr>
            </w:pPr>
            <w:r w:rsidRPr="001E614B">
              <w:rPr>
                <w:color w:val="000000"/>
                <w:sz w:val="16"/>
                <w:szCs w:val="16"/>
              </w:rPr>
              <w:t>84 862,2</w:t>
            </w:r>
          </w:p>
        </w:tc>
        <w:tc>
          <w:tcPr>
            <w:tcW w:w="800" w:type="dxa"/>
            <w:tcBorders>
              <w:top w:val="nil"/>
              <w:left w:val="nil"/>
              <w:bottom w:val="single" w:sz="4" w:space="0" w:color="auto"/>
              <w:right w:val="single" w:sz="4" w:space="0" w:color="auto"/>
            </w:tcBorders>
            <w:shd w:val="clear" w:color="auto" w:fill="auto"/>
            <w:vAlign w:val="center"/>
            <w:hideMark/>
          </w:tcPr>
          <w:p w14:paraId="7C0487A9" w14:textId="77777777" w:rsidR="004E6D1F" w:rsidRPr="001E614B" w:rsidRDefault="004E6D1F">
            <w:pPr>
              <w:ind w:left="-57" w:right="-57"/>
              <w:jc w:val="center"/>
              <w:rPr>
                <w:color w:val="000000"/>
                <w:sz w:val="16"/>
                <w:szCs w:val="16"/>
              </w:rPr>
            </w:pPr>
            <w:r w:rsidRPr="001E614B">
              <w:rPr>
                <w:color w:val="000000"/>
                <w:sz w:val="16"/>
                <w:szCs w:val="16"/>
              </w:rPr>
              <w:t>90 569,6</w:t>
            </w:r>
          </w:p>
        </w:tc>
        <w:tc>
          <w:tcPr>
            <w:tcW w:w="767" w:type="dxa"/>
            <w:tcBorders>
              <w:top w:val="nil"/>
              <w:left w:val="nil"/>
              <w:bottom w:val="single" w:sz="4" w:space="0" w:color="auto"/>
              <w:right w:val="single" w:sz="4" w:space="0" w:color="auto"/>
            </w:tcBorders>
            <w:shd w:val="clear" w:color="auto" w:fill="auto"/>
            <w:vAlign w:val="center"/>
            <w:hideMark/>
          </w:tcPr>
          <w:p w14:paraId="54D5614B" w14:textId="77777777" w:rsidR="004E6D1F" w:rsidRPr="001E614B" w:rsidRDefault="004E6D1F">
            <w:pPr>
              <w:ind w:left="-57" w:right="-57"/>
              <w:jc w:val="center"/>
              <w:rPr>
                <w:color w:val="000000"/>
                <w:sz w:val="16"/>
                <w:szCs w:val="16"/>
              </w:rPr>
            </w:pPr>
            <w:r w:rsidRPr="001E614B">
              <w:rPr>
                <w:color w:val="000000"/>
                <w:sz w:val="16"/>
                <w:szCs w:val="16"/>
              </w:rPr>
              <w:t>106,7</w:t>
            </w:r>
          </w:p>
        </w:tc>
        <w:tc>
          <w:tcPr>
            <w:tcW w:w="1043" w:type="dxa"/>
            <w:tcBorders>
              <w:top w:val="nil"/>
              <w:left w:val="nil"/>
              <w:bottom w:val="single" w:sz="4" w:space="0" w:color="auto"/>
              <w:right w:val="single" w:sz="4" w:space="0" w:color="auto"/>
            </w:tcBorders>
            <w:shd w:val="clear" w:color="auto" w:fill="auto"/>
            <w:vAlign w:val="center"/>
            <w:hideMark/>
          </w:tcPr>
          <w:p w14:paraId="190260AD" w14:textId="77777777" w:rsidR="004E6D1F" w:rsidRPr="001E614B" w:rsidRDefault="004E6D1F">
            <w:pPr>
              <w:ind w:left="-57" w:right="-57"/>
              <w:jc w:val="center"/>
              <w:rPr>
                <w:color w:val="000000"/>
                <w:sz w:val="16"/>
                <w:szCs w:val="16"/>
              </w:rPr>
            </w:pPr>
            <w:r w:rsidRPr="001E614B">
              <w:rPr>
                <w:color w:val="000000"/>
                <w:sz w:val="16"/>
                <w:szCs w:val="16"/>
              </w:rPr>
              <w:t>87 969,4</w:t>
            </w:r>
          </w:p>
        </w:tc>
        <w:tc>
          <w:tcPr>
            <w:tcW w:w="774" w:type="dxa"/>
            <w:tcBorders>
              <w:top w:val="nil"/>
              <w:left w:val="nil"/>
              <w:bottom w:val="single" w:sz="4" w:space="0" w:color="auto"/>
              <w:right w:val="single" w:sz="4" w:space="0" w:color="auto"/>
            </w:tcBorders>
            <w:shd w:val="clear" w:color="auto" w:fill="auto"/>
            <w:vAlign w:val="center"/>
            <w:hideMark/>
          </w:tcPr>
          <w:p w14:paraId="0B438BF1" w14:textId="77777777" w:rsidR="004E6D1F" w:rsidRPr="001E614B" w:rsidRDefault="004E6D1F">
            <w:pPr>
              <w:ind w:left="-57" w:right="-57"/>
              <w:jc w:val="center"/>
              <w:rPr>
                <w:color w:val="000000"/>
                <w:sz w:val="16"/>
                <w:szCs w:val="16"/>
              </w:rPr>
            </w:pPr>
            <w:r w:rsidRPr="001E614B">
              <w:rPr>
                <w:color w:val="000000"/>
                <w:sz w:val="16"/>
                <w:szCs w:val="16"/>
              </w:rPr>
              <w:t>93 720,5</w:t>
            </w:r>
          </w:p>
        </w:tc>
        <w:tc>
          <w:tcPr>
            <w:tcW w:w="1095" w:type="dxa"/>
            <w:tcBorders>
              <w:top w:val="nil"/>
              <w:left w:val="nil"/>
              <w:bottom w:val="single" w:sz="4" w:space="0" w:color="auto"/>
              <w:right w:val="single" w:sz="4" w:space="0" w:color="auto"/>
            </w:tcBorders>
            <w:shd w:val="clear" w:color="auto" w:fill="auto"/>
            <w:vAlign w:val="center"/>
            <w:hideMark/>
          </w:tcPr>
          <w:p w14:paraId="395C4DC8" w14:textId="77777777" w:rsidR="004E6D1F" w:rsidRPr="001E614B" w:rsidRDefault="004E6D1F">
            <w:pPr>
              <w:ind w:left="-57" w:right="-57"/>
              <w:jc w:val="center"/>
              <w:rPr>
                <w:color w:val="000000"/>
                <w:sz w:val="16"/>
                <w:szCs w:val="16"/>
              </w:rPr>
            </w:pPr>
            <w:r w:rsidRPr="001E614B">
              <w:rPr>
                <w:color w:val="000000"/>
                <w:sz w:val="16"/>
                <w:szCs w:val="16"/>
              </w:rPr>
              <w:t>106,5</w:t>
            </w:r>
          </w:p>
        </w:tc>
      </w:tr>
      <w:tr w:rsidR="004E6D1F" w:rsidRPr="001E614B" w14:paraId="4765DB1C" w14:textId="77777777" w:rsidTr="0083643C">
        <w:trPr>
          <w:trHeight w:val="95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725D24A6" w14:textId="77777777" w:rsidR="004E6D1F" w:rsidRPr="001E614B" w:rsidRDefault="004E6D1F">
            <w:pPr>
              <w:ind w:left="-57" w:right="-57"/>
              <w:jc w:val="both"/>
              <w:rPr>
                <w:color w:val="000000"/>
                <w:sz w:val="16"/>
                <w:szCs w:val="16"/>
              </w:rPr>
            </w:pPr>
            <w:r w:rsidRPr="001E614B">
              <w:rPr>
                <w:color w:val="000000"/>
                <w:sz w:val="16"/>
                <w:szCs w:val="16"/>
              </w:rPr>
              <w:t>Комплекс процессных мероприятий «Создание условий для сохранения культурного и исторического наследия»</w:t>
            </w:r>
          </w:p>
        </w:tc>
        <w:tc>
          <w:tcPr>
            <w:tcW w:w="722" w:type="dxa"/>
            <w:tcBorders>
              <w:top w:val="nil"/>
              <w:left w:val="nil"/>
              <w:bottom w:val="single" w:sz="4" w:space="0" w:color="auto"/>
              <w:right w:val="single" w:sz="4" w:space="0" w:color="auto"/>
            </w:tcBorders>
            <w:shd w:val="clear" w:color="auto" w:fill="auto"/>
            <w:vAlign w:val="center"/>
            <w:hideMark/>
          </w:tcPr>
          <w:p w14:paraId="7A53DDA7" w14:textId="77777777" w:rsidR="004E6D1F" w:rsidRPr="001E614B" w:rsidRDefault="004E6D1F">
            <w:pPr>
              <w:ind w:left="-57" w:right="-57"/>
              <w:jc w:val="center"/>
              <w:rPr>
                <w:color w:val="000000"/>
                <w:sz w:val="16"/>
                <w:szCs w:val="16"/>
              </w:rPr>
            </w:pPr>
            <w:r w:rsidRPr="001E614B">
              <w:rPr>
                <w:color w:val="000000"/>
                <w:sz w:val="16"/>
                <w:szCs w:val="16"/>
              </w:rPr>
              <w:t>9 832,9</w:t>
            </w:r>
          </w:p>
        </w:tc>
        <w:tc>
          <w:tcPr>
            <w:tcW w:w="743" w:type="dxa"/>
            <w:tcBorders>
              <w:top w:val="nil"/>
              <w:left w:val="nil"/>
              <w:bottom w:val="single" w:sz="4" w:space="0" w:color="auto"/>
              <w:right w:val="single" w:sz="4" w:space="0" w:color="auto"/>
            </w:tcBorders>
            <w:shd w:val="clear" w:color="auto" w:fill="auto"/>
            <w:vAlign w:val="center"/>
            <w:hideMark/>
          </w:tcPr>
          <w:p w14:paraId="7E6B387D" w14:textId="77777777" w:rsidR="004E6D1F" w:rsidRPr="001E614B" w:rsidRDefault="004E6D1F">
            <w:pPr>
              <w:ind w:left="-57" w:right="-57"/>
              <w:jc w:val="center"/>
              <w:rPr>
                <w:color w:val="000000"/>
                <w:sz w:val="16"/>
                <w:szCs w:val="16"/>
              </w:rPr>
            </w:pPr>
            <w:r w:rsidRPr="001E614B">
              <w:rPr>
                <w:color w:val="000000"/>
                <w:sz w:val="16"/>
                <w:szCs w:val="16"/>
              </w:rPr>
              <w:t>12 833,6</w:t>
            </w:r>
          </w:p>
        </w:tc>
        <w:tc>
          <w:tcPr>
            <w:tcW w:w="806" w:type="dxa"/>
            <w:tcBorders>
              <w:top w:val="nil"/>
              <w:left w:val="nil"/>
              <w:bottom w:val="single" w:sz="4" w:space="0" w:color="auto"/>
              <w:right w:val="single" w:sz="4" w:space="0" w:color="auto"/>
            </w:tcBorders>
            <w:shd w:val="clear" w:color="auto" w:fill="auto"/>
            <w:vAlign w:val="center"/>
            <w:hideMark/>
          </w:tcPr>
          <w:p w14:paraId="7263181B" w14:textId="77777777" w:rsidR="004E6D1F" w:rsidRPr="001E614B" w:rsidRDefault="004E6D1F">
            <w:pPr>
              <w:ind w:left="-57" w:right="-57"/>
              <w:jc w:val="center"/>
              <w:rPr>
                <w:color w:val="000000"/>
                <w:sz w:val="16"/>
                <w:szCs w:val="16"/>
              </w:rPr>
            </w:pPr>
            <w:r w:rsidRPr="001E614B">
              <w:rPr>
                <w:color w:val="000000"/>
                <w:sz w:val="16"/>
                <w:szCs w:val="16"/>
              </w:rPr>
              <w:t>14 714,5</w:t>
            </w:r>
          </w:p>
        </w:tc>
        <w:tc>
          <w:tcPr>
            <w:tcW w:w="767" w:type="dxa"/>
            <w:tcBorders>
              <w:top w:val="nil"/>
              <w:left w:val="nil"/>
              <w:bottom w:val="single" w:sz="4" w:space="0" w:color="auto"/>
              <w:right w:val="single" w:sz="4" w:space="0" w:color="auto"/>
            </w:tcBorders>
            <w:shd w:val="clear" w:color="auto" w:fill="auto"/>
            <w:vAlign w:val="center"/>
            <w:hideMark/>
          </w:tcPr>
          <w:p w14:paraId="5EA0B805" w14:textId="77777777" w:rsidR="004E6D1F" w:rsidRPr="001E614B" w:rsidRDefault="004E6D1F">
            <w:pPr>
              <w:ind w:left="-57" w:right="-57"/>
              <w:jc w:val="center"/>
              <w:rPr>
                <w:color w:val="000000"/>
                <w:sz w:val="16"/>
                <w:szCs w:val="16"/>
              </w:rPr>
            </w:pPr>
            <w:r w:rsidRPr="001E614B">
              <w:rPr>
                <w:color w:val="000000"/>
                <w:sz w:val="16"/>
                <w:szCs w:val="16"/>
              </w:rPr>
              <w:t>114,7</w:t>
            </w:r>
          </w:p>
        </w:tc>
        <w:tc>
          <w:tcPr>
            <w:tcW w:w="749" w:type="dxa"/>
            <w:tcBorders>
              <w:top w:val="nil"/>
              <w:left w:val="nil"/>
              <w:bottom w:val="single" w:sz="4" w:space="0" w:color="auto"/>
              <w:right w:val="single" w:sz="4" w:space="0" w:color="auto"/>
            </w:tcBorders>
            <w:shd w:val="clear" w:color="auto" w:fill="auto"/>
            <w:vAlign w:val="center"/>
            <w:hideMark/>
          </w:tcPr>
          <w:p w14:paraId="56C08D87" w14:textId="77777777" w:rsidR="004E6D1F" w:rsidRPr="001E614B" w:rsidRDefault="004E6D1F">
            <w:pPr>
              <w:ind w:left="-57" w:right="-57"/>
              <w:jc w:val="center"/>
              <w:rPr>
                <w:color w:val="000000"/>
                <w:sz w:val="16"/>
                <w:szCs w:val="16"/>
              </w:rPr>
            </w:pPr>
            <w:r w:rsidRPr="001E614B">
              <w:rPr>
                <w:color w:val="000000"/>
                <w:sz w:val="16"/>
                <w:szCs w:val="16"/>
              </w:rPr>
              <w:t>12 868,8</w:t>
            </w:r>
          </w:p>
        </w:tc>
        <w:tc>
          <w:tcPr>
            <w:tcW w:w="800" w:type="dxa"/>
            <w:tcBorders>
              <w:top w:val="nil"/>
              <w:left w:val="nil"/>
              <w:bottom w:val="single" w:sz="4" w:space="0" w:color="auto"/>
              <w:right w:val="single" w:sz="4" w:space="0" w:color="auto"/>
            </w:tcBorders>
            <w:shd w:val="clear" w:color="auto" w:fill="auto"/>
            <w:vAlign w:val="center"/>
            <w:hideMark/>
          </w:tcPr>
          <w:p w14:paraId="34025B98" w14:textId="77777777" w:rsidR="004E6D1F" w:rsidRPr="001E614B" w:rsidRDefault="004E6D1F">
            <w:pPr>
              <w:ind w:left="-57" w:right="-57"/>
              <w:jc w:val="center"/>
              <w:rPr>
                <w:color w:val="000000"/>
                <w:sz w:val="16"/>
                <w:szCs w:val="16"/>
              </w:rPr>
            </w:pPr>
            <w:r w:rsidRPr="001E614B">
              <w:rPr>
                <w:color w:val="000000"/>
                <w:sz w:val="16"/>
                <w:szCs w:val="16"/>
              </w:rPr>
              <w:t>14 790,7</w:t>
            </w:r>
          </w:p>
        </w:tc>
        <w:tc>
          <w:tcPr>
            <w:tcW w:w="767" w:type="dxa"/>
            <w:tcBorders>
              <w:top w:val="nil"/>
              <w:left w:val="nil"/>
              <w:bottom w:val="single" w:sz="4" w:space="0" w:color="auto"/>
              <w:right w:val="single" w:sz="4" w:space="0" w:color="auto"/>
            </w:tcBorders>
            <w:shd w:val="clear" w:color="auto" w:fill="auto"/>
            <w:vAlign w:val="center"/>
            <w:hideMark/>
          </w:tcPr>
          <w:p w14:paraId="5980B11B" w14:textId="77777777" w:rsidR="004E6D1F" w:rsidRPr="001E614B" w:rsidRDefault="004E6D1F">
            <w:pPr>
              <w:ind w:left="-57" w:right="-57"/>
              <w:jc w:val="center"/>
              <w:rPr>
                <w:color w:val="000000"/>
                <w:sz w:val="16"/>
                <w:szCs w:val="16"/>
              </w:rPr>
            </w:pPr>
            <w:r w:rsidRPr="001E614B">
              <w:rPr>
                <w:color w:val="000000"/>
                <w:sz w:val="16"/>
                <w:szCs w:val="16"/>
              </w:rPr>
              <w:t>114,9</w:t>
            </w:r>
          </w:p>
        </w:tc>
        <w:tc>
          <w:tcPr>
            <w:tcW w:w="1043" w:type="dxa"/>
            <w:tcBorders>
              <w:top w:val="nil"/>
              <w:left w:val="nil"/>
              <w:bottom w:val="single" w:sz="4" w:space="0" w:color="auto"/>
              <w:right w:val="single" w:sz="4" w:space="0" w:color="auto"/>
            </w:tcBorders>
            <w:shd w:val="clear" w:color="auto" w:fill="auto"/>
            <w:vAlign w:val="center"/>
            <w:hideMark/>
          </w:tcPr>
          <w:p w14:paraId="39173F50" w14:textId="77777777" w:rsidR="004E6D1F" w:rsidRPr="001E614B" w:rsidRDefault="004E6D1F">
            <w:pPr>
              <w:ind w:left="-57" w:right="-57"/>
              <w:jc w:val="center"/>
              <w:rPr>
                <w:color w:val="000000"/>
                <w:sz w:val="16"/>
                <w:szCs w:val="16"/>
              </w:rPr>
            </w:pPr>
            <w:r w:rsidRPr="001E614B">
              <w:rPr>
                <w:color w:val="000000"/>
                <w:sz w:val="16"/>
                <w:szCs w:val="16"/>
              </w:rPr>
              <w:t>12 875,7</w:t>
            </w:r>
          </w:p>
        </w:tc>
        <w:tc>
          <w:tcPr>
            <w:tcW w:w="774" w:type="dxa"/>
            <w:tcBorders>
              <w:top w:val="nil"/>
              <w:left w:val="nil"/>
              <w:bottom w:val="single" w:sz="4" w:space="0" w:color="auto"/>
              <w:right w:val="single" w:sz="4" w:space="0" w:color="auto"/>
            </w:tcBorders>
            <w:shd w:val="clear" w:color="auto" w:fill="auto"/>
            <w:vAlign w:val="center"/>
            <w:hideMark/>
          </w:tcPr>
          <w:p w14:paraId="4BE4A61F" w14:textId="77777777" w:rsidR="004E6D1F" w:rsidRPr="001E614B" w:rsidRDefault="004E6D1F">
            <w:pPr>
              <w:ind w:left="-57" w:right="-57"/>
              <w:jc w:val="center"/>
              <w:rPr>
                <w:color w:val="000000"/>
                <w:sz w:val="16"/>
                <w:szCs w:val="16"/>
              </w:rPr>
            </w:pPr>
            <w:r w:rsidRPr="001E614B">
              <w:rPr>
                <w:color w:val="000000"/>
                <w:sz w:val="16"/>
                <w:szCs w:val="16"/>
              </w:rPr>
              <w:t>14 055,7</w:t>
            </w:r>
          </w:p>
        </w:tc>
        <w:tc>
          <w:tcPr>
            <w:tcW w:w="1095" w:type="dxa"/>
            <w:tcBorders>
              <w:top w:val="nil"/>
              <w:left w:val="nil"/>
              <w:bottom w:val="single" w:sz="4" w:space="0" w:color="auto"/>
              <w:right w:val="single" w:sz="4" w:space="0" w:color="auto"/>
            </w:tcBorders>
            <w:shd w:val="clear" w:color="auto" w:fill="auto"/>
            <w:vAlign w:val="center"/>
            <w:hideMark/>
          </w:tcPr>
          <w:p w14:paraId="1DC5C6BC" w14:textId="77777777" w:rsidR="004E6D1F" w:rsidRPr="001E614B" w:rsidRDefault="004E6D1F">
            <w:pPr>
              <w:ind w:left="-57" w:right="-57"/>
              <w:jc w:val="center"/>
              <w:rPr>
                <w:color w:val="000000"/>
                <w:sz w:val="16"/>
                <w:szCs w:val="16"/>
              </w:rPr>
            </w:pPr>
            <w:r w:rsidRPr="001E614B">
              <w:rPr>
                <w:color w:val="000000"/>
                <w:sz w:val="16"/>
                <w:szCs w:val="16"/>
              </w:rPr>
              <w:t>109,2</w:t>
            </w:r>
          </w:p>
        </w:tc>
      </w:tr>
      <w:tr w:rsidR="004E6D1F" w:rsidRPr="001E614B" w14:paraId="22929110" w14:textId="77777777" w:rsidTr="0083643C">
        <w:trPr>
          <w:trHeight w:val="71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29939F95" w14:textId="77777777" w:rsidR="004E6D1F" w:rsidRPr="001E614B" w:rsidRDefault="004E6D1F">
            <w:pPr>
              <w:ind w:left="-57" w:right="-57"/>
              <w:jc w:val="both"/>
              <w:rPr>
                <w:color w:val="000000"/>
                <w:sz w:val="16"/>
                <w:szCs w:val="16"/>
              </w:rPr>
            </w:pPr>
            <w:r w:rsidRPr="001E614B">
              <w:rPr>
                <w:color w:val="000000"/>
                <w:sz w:val="16"/>
                <w:szCs w:val="16"/>
              </w:rPr>
              <w:t>Комплекс процессных мероприятий «Создание условий для развития библиотечного дела»</w:t>
            </w:r>
          </w:p>
        </w:tc>
        <w:tc>
          <w:tcPr>
            <w:tcW w:w="722" w:type="dxa"/>
            <w:tcBorders>
              <w:top w:val="nil"/>
              <w:left w:val="nil"/>
              <w:bottom w:val="single" w:sz="4" w:space="0" w:color="auto"/>
              <w:right w:val="single" w:sz="4" w:space="0" w:color="auto"/>
            </w:tcBorders>
            <w:shd w:val="clear" w:color="auto" w:fill="auto"/>
            <w:vAlign w:val="center"/>
            <w:hideMark/>
          </w:tcPr>
          <w:p w14:paraId="1F5DEBE0" w14:textId="77777777" w:rsidR="004E6D1F" w:rsidRPr="001E614B" w:rsidRDefault="004E6D1F">
            <w:pPr>
              <w:ind w:left="-57" w:right="-57"/>
              <w:jc w:val="center"/>
              <w:rPr>
                <w:color w:val="000000"/>
                <w:sz w:val="16"/>
                <w:szCs w:val="16"/>
              </w:rPr>
            </w:pPr>
            <w:r w:rsidRPr="001E614B">
              <w:rPr>
                <w:color w:val="000000"/>
                <w:sz w:val="16"/>
                <w:szCs w:val="16"/>
              </w:rPr>
              <w:t>6 931,4</w:t>
            </w:r>
          </w:p>
        </w:tc>
        <w:tc>
          <w:tcPr>
            <w:tcW w:w="743" w:type="dxa"/>
            <w:tcBorders>
              <w:top w:val="nil"/>
              <w:left w:val="nil"/>
              <w:bottom w:val="single" w:sz="4" w:space="0" w:color="auto"/>
              <w:right w:val="single" w:sz="4" w:space="0" w:color="auto"/>
            </w:tcBorders>
            <w:shd w:val="clear" w:color="auto" w:fill="auto"/>
            <w:vAlign w:val="center"/>
            <w:hideMark/>
          </w:tcPr>
          <w:p w14:paraId="712EB48F" w14:textId="77777777" w:rsidR="004E6D1F" w:rsidRPr="001E614B" w:rsidRDefault="004E6D1F">
            <w:pPr>
              <w:ind w:left="-57" w:right="-57"/>
              <w:jc w:val="center"/>
              <w:rPr>
                <w:color w:val="000000"/>
                <w:sz w:val="16"/>
                <w:szCs w:val="16"/>
              </w:rPr>
            </w:pPr>
            <w:r w:rsidRPr="001E614B">
              <w:rPr>
                <w:color w:val="000000"/>
                <w:sz w:val="16"/>
                <w:szCs w:val="16"/>
              </w:rPr>
              <w:t>7 130,1</w:t>
            </w:r>
          </w:p>
        </w:tc>
        <w:tc>
          <w:tcPr>
            <w:tcW w:w="806" w:type="dxa"/>
            <w:tcBorders>
              <w:top w:val="nil"/>
              <w:left w:val="nil"/>
              <w:bottom w:val="single" w:sz="4" w:space="0" w:color="auto"/>
              <w:right w:val="single" w:sz="4" w:space="0" w:color="auto"/>
            </w:tcBorders>
            <w:shd w:val="clear" w:color="auto" w:fill="auto"/>
            <w:vAlign w:val="center"/>
            <w:hideMark/>
          </w:tcPr>
          <w:p w14:paraId="27D1B707" w14:textId="77777777" w:rsidR="004E6D1F" w:rsidRPr="001E614B" w:rsidRDefault="004E6D1F">
            <w:pPr>
              <w:ind w:left="-57" w:right="-57"/>
              <w:jc w:val="center"/>
              <w:rPr>
                <w:color w:val="000000"/>
                <w:sz w:val="16"/>
                <w:szCs w:val="16"/>
              </w:rPr>
            </w:pPr>
            <w:r w:rsidRPr="001E614B">
              <w:rPr>
                <w:color w:val="000000"/>
                <w:sz w:val="16"/>
                <w:szCs w:val="16"/>
              </w:rPr>
              <w:t>7 529,1</w:t>
            </w:r>
          </w:p>
        </w:tc>
        <w:tc>
          <w:tcPr>
            <w:tcW w:w="767" w:type="dxa"/>
            <w:tcBorders>
              <w:top w:val="nil"/>
              <w:left w:val="nil"/>
              <w:bottom w:val="single" w:sz="4" w:space="0" w:color="auto"/>
              <w:right w:val="single" w:sz="4" w:space="0" w:color="auto"/>
            </w:tcBorders>
            <w:shd w:val="clear" w:color="auto" w:fill="auto"/>
            <w:vAlign w:val="center"/>
            <w:hideMark/>
          </w:tcPr>
          <w:p w14:paraId="336762BB" w14:textId="77777777" w:rsidR="004E6D1F" w:rsidRPr="001E614B" w:rsidRDefault="004E6D1F">
            <w:pPr>
              <w:ind w:left="-57" w:right="-57"/>
              <w:jc w:val="center"/>
              <w:rPr>
                <w:color w:val="000000"/>
                <w:sz w:val="16"/>
                <w:szCs w:val="16"/>
              </w:rPr>
            </w:pPr>
            <w:r w:rsidRPr="001E614B">
              <w:rPr>
                <w:color w:val="000000"/>
                <w:sz w:val="16"/>
                <w:szCs w:val="16"/>
              </w:rPr>
              <w:t>105,6</w:t>
            </w:r>
          </w:p>
        </w:tc>
        <w:tc>
          <w:tcPr>
            <w:tcW w:w="749" w:type="dxa"/>
            <w:tcBorders>
              <w:top w:val="nil"/>
              <w:left w:val="nil"/>
              <w:bottom w:val="single" w:sz="4" w:space="0" w:color="auto"/>
              <w:right w:val="single" w:sz="4" w:space="0" w:color="auto"/>
            </w:tcBorders>
            <w:shd w:val="clear" w:color="auto" w:fill="auto"/>
            <w:vAlign w:val="center"/>
            <w:hideMark/>
          </w:tcPr>
          <w:p w14:paraId="20437BF3" w14:textId="77777777" w:rsidR="004E6D1F" w:rsidRPr="001E614B" w:rsidRDefault="004E6D1F">
            <w:pPr>
              <w:ind w:left="-57" w:right="-57"/>
              <w:jc w:val="center"/>
              <w:rPr>
                <w:color w:val="000000"/>
                <w:sz w:val="16"/>
                <w:szCs w:val="16"/>
              </w:rPr>
            </w:pPr>
            <w:r w:rsidRPr="001E614B">
              <w:rPr>
                <w:color w:val="000000"/>
                <w:sz w:val="16"/>
                <w:szCs w:val="16"/>
              </w:rPr>
              <w:t>7 537,2</w:t>
            </w:r>
          </w:p>
        </w:tc>
        <w:tc>
          <w:tcPr>
            <w:tcW w:w="800" w:type="dxa"/>
            <w:tcBorders>
              <w:top w:val="nil"/>
              <w:left w:val="nil"/>
              <w:bottom w:val="single" w:sz="4" w:space="0" w:color="auto"/>
              <w:right w:val="single" w:sz="4" w:space="0" w:color="auto"/>
            </w:tcBorders>
            <w:shd w:val="clear" w:color="auto" w:fill="auto"/>
            <w:vAlign w:val="center"/>
            <w:hideMark/>
          </w:tcPr>
          <w:p w14:paraId="57F6CEDA" w14:textId="77777777" w:rsidR="004E6D1F" w:rsidRPr="001E614B" w:rsidRDefault="004E6D1F">
            <w:pPr>
              <w:ind w:left="-57" w:right="-57"/>
              <w:jc w:val="center"/>
              <w:rPr>
                <w:color w:val="000000"/>
                <w:sz w:val="16"/>
                <w:szCs w:val="16"/>
              </w:rPr>
            </w:pPr>
            <w:r w:rsidRPr="001E614B">
              <w:rPr>
                <w:color w:val="000000"/>
                <w:sz w:val="16"/>
                <w:szCs w:val="16"/>
              </w:rPr>
              <w:t>7 839,7</w:t>
            </w:r>
          </w:p>
        </w:tc>
        <w:tc>
          <w:tcPr>
            <w:tcW w:w="767" w:type="dxa"/>
            <w:tcBorders>
              <w:top w:val="nil"/>
              <w:left w:val="nil"/>
              <w:bottom w:val="single" w:sz="4" w:space="0" w:color="auto"/>
              <w:right w:val="single" w:sz="4" w:space="0" w:color="auto"/>
            </w:tcBorders>
            <w:shd w:val="clear" w:color="auto" w:fill="auto"/>
            <w:vAlign w:val="center"/>
            <w:hideMark/>
          </w:tcPr>
          <w:p w14:paraId="326A562A" w14:textId="77777777" w:rsidR="004E6D1F" w:rsidRPr="001E614B" w:rsidRDefault="004E6D1F">
            <w:pPr>
              <w:ind w:left="-57" w:right="-57"/>
              <w:jc w:val="center"/>
              <w:rPr>
                <w:color w:val="000000"/>
                <w:sz w:val="16"/>
                <w:szCs w:val="16"/>
              </w:rPr>
            </w:pPr>
            <w:r w:rsidRPr="001E614B">
              <w:rPr>
                <w:color w:val="000000"/>
                <w:sz w:val="16"/>
                <w:szCs w:val="16"/>
              </w:rPr>
              <w:t>104,0</w:t>
            </w:r>
          </w:p>
        </w:tc>
        <w:tc>
          <w:tcPr>
            <w:tcW w:w="1043" w:type="dxa"/>
            <w:tcBorders>
              <w:top w:val="nil"/>
              <w:left w:val="nil"/>
              <w:bottom w:val="single" w:sz="4" w:space="0" w:color="auto"/>
              <w:right w:val="single" w:sz="4" w:space="0" w:color="auto"/>
            </w:tcBorders>
            <w:shd w:val="clear" w:color="auto" w:fill="auto"/>
            <w:vAlign w:val="center"/>
            <w:hideMark/>
          </w:tcPr>
          <w:p w14:paraId="34786259" w14:textId="77777777" w:rsidR="004E6D1F" w:rsidRPr="001E614B" w:rsidRDefault="004E6D1F">
            <w:pPr>
              <w:ind w:left="-57" w:right="-57"/>
              <w:jc w:val="center"/>
              <w:rPr>
                <w:color w:val="000000"/>
                <w:sz w:val="16"/>
                <w:szCs w:val="16"/>
              </w:rPr>
            </w:pPr>
            <w:r w:rsidRPr="001E614B">
              <w:rPr>
                <w:color w:val="000000"/>
                <w:sz w:val="16"/>
                <w:szCs w:val="16"/>
              </w:rPr>
              <w:t>7 749,8</w:t>
            </w:r>
          </w:p>
        </w:tc>
        <w:tc>
          <w:tcPr>
            <w:tcW w:w="774" w:type="dxa"/>
            <w:tcBorders>
              <w:top w:val="nil"/>
              <w:left w:val="nil"/>
              <w:bottom w:val="single" w:sz="4" w:space="0" w:color="auto"/>
              <w:right w:val="single" w:sz="4" w:space="0" w:color="auto"/>
            </w:tcBorders>
            <w:shd w:val="clear" w:color="auto" w:fill="auto"/>
            <w:vAlign w:val="center"/>
            <w:hideMark/>
          </w:tcPr>
          <w:p w14:paraId="0961C90D" w14:textId="77777777" w:rsidR="004E6D1F" w:rsidRPr="001E614B" w:rsidRDefault="004E6D1F">
            <w:pPr>
              <w:ind w:left="-57" w:right="-57"/>
              <w:jc w:val="center"/>
              <w:rPr>
                <w:color w:val="000000"/>
                <w:sz w:val="16"/>
                <w:szCs w:val="16"/>
              </w:rPr>
            </w:pPr>
            <w:r w:rsidRPr="001E614B">
              <w:rPr>
                <w:color w:val="000000"/>
                <w:sz w:val="16"/>
                <w:szCs w:val="16"/>
              </w:rPr>
              <w:t>8 343,3</w:t>
            </w:r>
          </w:p>
        </w:tc>
        <w:tc>
          <w:tcPr>
            <w:tcW w:w="1095" w:type="dxa"/>
            <w:tcBorders>
              <w:top w:val="nil"/>
              <w:left w:val="nil"/>
              <w:bottom w:val="single" w:sz="4" w:space="0" w:color="auto"/>
              <w:right w:val="single" w:sz="4" w:space="0" w:color="auto"/>
            </w:tcBorders>
            <w:shd w:val="clear" w:color="auto" w:fill="auto"/>
            <w:vAlign w:val="center"/>
            <w:hideMark/>
          </w:tcPr>
          <w:p w14:paraId="076AAD9A" w14:textId="77777777" w:rsidR="004E6D1F" w:rsidRPr="001E614B" w:rsidRDefault="004E6D1F">
            <w:pPr>
              <w:ind w:left="-57" w:right="-57"/>
              <w:jc w:val="center"/>
              <w:rPr>
                <w:color w:val="000000"/>
                <w:sz w:val="16"/>
                <w:szCs w:val="16"/>
              </w:rPr>
            </w:pPr>
            <w:r w:rsidRPr="001E614B">
              <w:rPr>
                <w:color w:val="000000"/>
                <w:sz w:val="16"/>
                <w:szCs w:val="16"/>
              </w:rPr>
              <w:t>107,7</w:t>
            </w:r>
          </w:p>
        </w:tc>
      </w:tr>
      <w:tr w:rsidR="004E6D1F" w:rsidRPr="001E614B" w14:paraId="33042DAC" w14:textId="77777777" w:rsidTr="0083643C">
        <w:trPr>
          <w:trHeight w:val="71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6BD3DB6A" w14:textId="77777777" w:rsidR="004E6D1F" w:rsidRPr="001E614B" w:rsidRDefault="004E6D1F">
            <w:pPr>
              <w:ind w:left="-57" w:right="-57"/>
              <w:jc w:val="both"/>
              <w:rPr>
                <w:color w:val="000000"/>
                <w:sz w:val="16"/>
                <w:szCs w:val="16"/>
              </w:rPr>
            </w:pPr>
            <w:r w:rsidRPr="001E614B">
              <w:rPr>
                <w:color w:val="000000"/>
                <w:sz w:val="16"/>
                <w:szCs w:val="16"/>
              </w:rPr>
              <w:t>Комплекс процессных мероприятий «Создание условий для развития музейного дела»</w:t>
            </w:r>
          </w:p>
        </w:tc>
        <w:tc>
          <w:tcPr>
            <w:tcW w:w="722" w:type="dxa"/>
            <w:tcBorders>
              <w:top w:val="nil"/>
              <w:left w:val="nil"/>
              <w:bottom w:val="single" w:sz="4" w:space="0" w:color="auto"/>
              <w:right w:val="single" w:sz="4" w:space="0" w:color="auto"/>
            </w:tcBorders>
            <w:shd w:val="clear" w:color="auto" w:fill="auto"/>
            <w:vAlign w:val="center"/>
            <w:hideMark/>
          </w:tcPr>
          <w:p w14:paraId="39957216" w14:textId="77777777" w:rsidR="004E6D1F" w:rsidRPr="001E614B" w:rsidRDefault="004E6D1F">
            <w:pPr>
              <w:ind w:left="-57" w:right="-57"/>
              <w:jc w:val="center"/>
              <w:rPr>
                <w:color w:val="000000"/>
                <w:sz w:val="16"/>
                <w:szCs w:val="16"/>
              </w:rPr>
            </w:pPr>
            <w:r w:rsidRPr="001E614B">
              <w:rPr>
                <w:color w:val="000000"/>
                <w:sz w:val="16"/>
                <w:szCs w:val="16"/>
              </w:rPr>
              <w:t>26 773,4</w:t>
            </w:r>
          </w:p>
        </w:tc>
        <w:tc>
          <w:tcPr>
            <w:tcW w:w="743" w:type="dxa"/>
            <w:tcBorders>
              <w:top w:val="nil"/>
              <w:left w:val="nil"/>
              <w:bottom w:val="single" w:sz="4" w:space="0" w:color="auto"/>
              <w:right w:val="single" w:sz="4" w:space="0" w:color="auto"/>
            </w:tcBorders>
            <w:shd w:val="clear" w:color="auto" w:fill="auto"/>
            <w:vAlign w:val="center"/>
            <w:hideMark/>
          </w:tcPr>
          <w:p w14:paraId="35468425" w14:textId="77777777" w:rsidR="004E6D1F" w:rsidRPr="001E614B" w:rsidRDefault="004E6D1F">
            <w:pPr>
              <w:ind w:left="-57" w:right="-57"/>
              <w:jc w:val="center"/>
              <w:rPr>
                <w:color w:val="000000"/>
                <w:sz w:val="16"/>
                <w:szCs w:val="16"/>
              </w:rPr>
            </w:pPr>
            <w:r w:rsidRPr="001E614B">
              <w:rPr>
                <w:color w:val="000000"/>
                <w:sz w:val="16"/>
                <w:szCs w:val="16"/>
              </w:rPr>
              <w:t>27 445,6</w:t>
            </w:r>
          </w:p>
        </w:tc>
        <w:tc>
          <w:tcPr>
            <w:tcW w:w="806" w:type="dxa"/>
            <w:tcBorders>
              <w:top w:val="nil"/>
              <w:left w:val="nil"/>
              <w:bottom w:val="single" w:sz="4" w:space="0" w:color="auto"/>
              <w:right w:val="single" w:sz="4" w:space="0" w:color="auto"/>
            </w:tcBorders>
            <w:shd w:val="clear" w:color="auto" w:fill="auto"/>
            <w:vAlign w:val="center"/>
            <w:hideMark/>
          </w:tcPr>
          <w:p w14:paraId="6D484439" w14:textId="77777777" w:rsidR="004E6D1F" w:rsidRPr="001E614B" w:rsidRDefault="004E6D1F">
            <w:pPr>
              <w:ind w:left="-57" w:right="-57"/>
              <w:jc w:val="center"/>
              <w:rPr>
                <w:color w:val="000000"/>
                <w:sz w:val="16"/>
                <w:szCs w:val="16"/>
              </w:rPr>
            </w:pPr>
            <w:r w:rsidRPr="001E614B">
              <w:rPr>
                <w:color w:val="000000"/>
                <w:sz w:val="16"/>
                <w:szCs w:val="16"/>
              </w:rPr>
              <w:t>29 422,7</w:t>
            </w:r>
          </w:p>
        </w:tc>
        <w:tc>
          <w:tcPr>
            <w:tcW w:w="767" w:type="dxa"/>
            <w:tcBorders>
              <w:top w:val="nil"/>
              <w:left w:val="nil"/>
              <w:bottom w:val="single" w:sz="4" w:space="0" w:color="auto"/>
              <w:right w:val="single" w:sz="4" w:space="0" w:color="auto"/>
            </w:tcBorders>
            <w:shd w:val="clear" w:color="auto" w:fill="auto"/>
            <w:vAlign w:val="center"/>
            <w:hideMark/>
          </w:tcPr>
          <w:p w14:paraId="086E352C" w14:textId="77777777" w:rsidR="004E6D1F" w:rsidRPr="001E614B" w:rsidRDefault="004E6D1F">
            <w:pPr>
              <w:ind w:left="-57" w:right="-57"/>
              <w:jc w:val="center"/>
              <w:rPr>
                <w:color w:val="000000"/>
                <w:sz w:val="16"/>
                <w:szCs w:val="16"/>
              </w:rPr>
            </w:pPr>
            <w:r w:rsidRPr="001E614B">
              <w:rPr>
                <w:color w:val="000000"/>
                <w:sz w:val="16"/>
                <w:szCs w:val="16"/>
              </w:rPr>
              <w:t>107,2</w:t>
            </w:r>
          </w:p>
        </w:tc>
        <w:tc>
          <w:tcPr>
            <w:tcW w:w="749" w:type="dxa"/>
            <w:tcBorders>
              <w:top w:val="nil"/>
              <w:left w:val="nil"/>
              <w:bottom w:val="single" w:sz="4" w:space="0" w:color="auto"/>
              <w:right w:val="single" w:sz="4" w:space="0" w:color="auto"/>
            </w:tcBorders>
            <w:shd w:val="clear" w:color="auto" w:fill="auto"/>
            <w:vAlign w:val="center"/>
            <w:hideMark/>
          </w:tcPr>
          <w:p w14:paraId="06FA9335" w14:textId="77777777" w:rsidR="004E6D1F" w:rsidRPr="001E614B" w:rsidRDefault="004E6D1F">
            <w:pPr>
              <w:ind w:left="-57" w:right="-57"/>
              <w:jc w:val="center"/>
              <w:rPr>
                <w:color w:val="000000"/>
                <w:sz w:val="16"/>
                <w:szCs w:val="16"/>
              </w:rPr>
            </w:pPr>
            <w:r w:rsidRPr="001E614B">
              <w:rPr>
                <w:color w:val="000000"/>
                <w:sz w:val="16"/>
                <w:szCs w:val="16"/>
              </w:rPr>
              <w:t>27 572,8</w:t>
            </w:r>
          </w:p>
        </w:tc>
        <w:tc>
          <w:tcPr>
            <w:tcW w:w="800" w:type="dxa"/>
            <w:tcBorders>
              <w:top w:val="nil"/>
              <w:left w:val="nil"/>
              <w:bottom w:val="single" w:sz="4" w:space="0" w:color="auto"/>
              <w:right w:val="single" w:sz="4" w:space="0" w:color="auto"/>
            </w:tcBorders>
            <w:shd w:val="clear" w:color="auto" w:fill="auto"/>
            <w:vAlign w:val="center"/>
            <w:hideMark/>
          </w:tcPr>
          <w:p w14:paraId="55EE10E6" w14:textId="77777777" w:rsidR="004E6D1F" w:rsidRPr="001E614B" w:rsidRDefault="004E6D1F">
            <w:pPr>
              <w:ind w:left="-57" w:right="-57"/>
              <w:jc w:val="center"/>
              <w:rPr>
                <w:color w:val="000000"/>
                <w:sz w:val="16"/>
                <w:szCs w:val="16"/>
              </w:rPr>
            </w:pPr>
            <w:r w:rsidRPr="001E614B">
              <w:rPr>
                <w:color w:val="000000"/>
                <w:sz w:val="16"/>
                <w:szCs w:val="16"/>
              </w:rPr>
              <w:t>29 587,3</w:t>
            </w:r>
          </w:p>
        </w:tc>
        <w:tc>
          <w:tcPr>
            <w:tcW w:w="767" w:type="dxa"/>
            <w:tcBorders>
              <w:top w:val="nil"/>
              <w:left w:val="nil"/>
              <w:bottom w:val="single" w:sz="4" w:space="0" w:color="auto"/>
              <w:right w:val="single" w:sz="4" w:space="0" w:color="auto"/>
            </w:tcBorders>
            <w:shd w:val="clear" w:color="auto" w:fill="auto"/>
            <w:vAlign w:val="center"/>
            <w:hideMark/>
          </w:tcPr>
          <w:p w14:paraId="290B2DAF" w14:textId="77777777" w:rsidR="004E6D1F" w:rsidRPr="001E614B" w:rsidRDefault="004E6D1F">
            <w:pPr>
              <w:ind w:left="-57" w:right="-57"/>
              <w:jc w:val="center"/>
              <w:rPr>
                <w:color w:val="000000"/>
                <w:sz w:val="16"/>
                <w:szCs w:val="16"/>
              </w:rPr>
            </w:pPr>
            <w:r w:rsidRPr="001E614B">
              <w:rPr>
                <w:color w:val="000000"/>
                <w:sz w:val="16"/>
                <w:szCs w:val="16"/>
              </w:rPr>
              <w:t>107,3</w:t>
            </w:r>
          </w:p>
        </w:tc>
        <w:tc>
          <w:tcPr>
            <w:tcW w:w="1043" w:type="dxa"/>
            <w:tcBorders>
              <w:top w:val="nil"/>
              <w:left w:val="nil"/>
              <w:bottom w:val="single" w:sz="4" w:space="0" w:color="auto"/>
              <w:right w:val="single" w:sz="4" w:space="0" w:color="auto"/>
            </w:tcBorders>
            <w:shd w:val="clear" w:color="auto" w:fill="auto"/>
            <w:vAlign w:val="center"/>
            <w:hideMark/>
          </w:tcPr>
          <w:p w14:paraId="2CE45C28" w14:textId="77777777" w:rsidR="004E6D1F" w:rsidRPr="001E614B" w:rsidRDefault="004E6D1F">
            <w:pPr>
              <w:ind w:left="-57" w:right="-57"/>
              <w:jc w:val="center"/>
              <w:rPr>
                <w:color w:val="000000"/>
                <w:sz w:val="16"/>
                <w:szCs w:val="16"/>
              </w:rPr>
            </w:pPr>
            <w:r w:rsidRPr="001E614B">
              <w:rPr>
                <w:color w:val="000000"/>
                <w:sz w:val="16"/>
                <w:szCs w:val="16"/>
              </w:rPr>
              <w:t>29 737,5</w:t>
            </w:r>
          </w:p>
        </w:tc>
        <w:tc>
          <w:tcPr>
            <w:tcW w:w="774" w:type="dxa"/>
            <w:tcBorders>
              <w:top w:val="nil"/>
              <w:left w:val="nil"/>
              <w:bottom w:val="single" w:sz="4" w:space="0" w:color="auto"/>
              <w:right w:val="single" w:sz="4" w:space="0" w:color="auto"/>
            </w:tcBorders>
            <w:shd w:val="clear" w:color="auto" w:fill="auto"/>
            <w:vAlign w:val="center"/>
            <w:hideMark/>
          </w:tcPr>
          <w:p w14:paraId="4FB02C3E" w14:textId="77777777" w:rsidR="004E6D1F" w:rsidRPr="001E614B" w:rsidRDefault="004E6D1F">
            <w:pPr>
              <w:ind w:left="-57" w:right="-57"/>
              <w:jc w:val="center"/>
              <w:rPr>
                <w:color w:val="000000"/>
                <w:sz w:val="16"/>
                <w:szCs w:val="16"/>
              </w:rPr>
            </w:pPr>
            <w:r w:rsidRPr="001E614B">
              <w:rPr>
                <w:color w:val="000000"/>
                <w:sz w:val="16"/>
                <w:szCs w:val="16"/>
              </w:rPr>
              <w:t>31 476,4</w:t>
            </w:r>
          </w:p>
        </w:tc>
        <w:tc>
          <w:tcPr>
            <w:tcW w:w="1095" w:type="dxa"/>
            <w:tcBorders>
              <w:top w:val="nil"/>
              <w:left w:val="nil"/>
              <w:bottom w:val="single" w:sz="4" w:space="0" w:color="auto"/>
              <w:right w:val="single" w:sz="4" w:space="0" w:color="auto"/>
            </w:tcBorders>
            <w:shd w:val="clear" w:color="auto" w:fill="auto"/>
            <w:vAlign w:val="center"/>
            <w:hideMark/>
          </w:tcPr>
          <w:p w14:paraId="349E2BD4" w14:textId="77777777" w:rsidR="004E6D1F" w:rsidRPr="001E614B" w:rsidRDefault="004E6D1F">
            <w:pPr>
              <w:ind w:left="-57" w:right="-57"/>
              <w:jc w:val="center"/>
              <w:rPr>
                <w:color w:val="000000"/>
                <w:sz w:val="16"/>
                <w:szCs w:val="16"/>
              </w:rPr>
            </w:pPr>
            <w:r w:rsidRPr="001E614B">
              <w:rPr>
                <w:color w:val="000000"/>
                <w:sz w:val="16"/>
                <w:szCs w:val="16"/>
              </w:rPr>
              <w:t>105,8</w:t>
            </w:r>
          </w:p>
        </w:tc>
      </w:tr>
      <w:tr w:rsidR="004E6D1F" w:rsidRPr="001E614B" w14:paraId="7CC5D7B0" w14:textId="77777777" w:rsidTr="0083643C">
        <w:trPr>
          <w:trHeight w:val="95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4258E82A" w14:textId="77777777" w:rsidR="004E6D1F" w:rsidRPr="001E614B" w:rsidRDefault="004E6D1F">
            <w:pPr>
              <w:ind w:left="-57" w:right="-57"/>
              <w:jc w:val="both"/>
              <w:rPr>
                <w:color w:val="000000"/>
                <w:sz w:val="16"/>
                <w:szCs w:val="16"/>
              </w:rPr>
            </w:pPr>
            <w:r w:rsidRPr="001E614B">
              <w:rPr>
                <w:color w:val="000000"/>
                <w:sz w:val="16"/>
                <w:szCs w:val="16"/>
              </w:rPr>
              <w:t>Комплекс процессных мероприятий «Создание условий для развития искусства и творчества»</w:t>
            </w:r>
          </w:p>
        </w:tc>
        <w:tc>
          <w:tcPr>
            <w:tcW w:w="722" w:type="dxa"/>
            <w:tcBorders>
              <w:top w:val="nil"/>
              <w:left w:val="nil"/>
              <w:bottom w:val="single" w:sz="4" w:space="0" w:color="auto"/>
              <w:right w:val="single" w:sz="4" w:space="0" w:color="auto"/>
            </w:tcBorders>
            <w:shd w:val="clear" w:color="auto" w:fill="auto"/>
            <w:vAlign w:val="center"/>
            <w:hideMark/>
          </w:tcPr>
          <w:p w14:paraId="67CF7470" w14:textId="77777777" w:rsidR="004E6D1F" w:rsidRPr="001E614B" w:rsidRDefault="004E6D1F">
            <w:pPr>
              <w:ind w:left="-57" w:right="-57"/>
              <w:jc w:val="center"/>
              <w:rPr>
                <w:color w:val="000000"/>
                <w:sz w:val="16"/>
                <w:szCs w:val="16"/>
              </w:rPr>
            </w:pPr>
            <w:r w:rsidRPr="001E614B">
              <w:rPr>
                <w:color w:val="000000"/>
                <w:sz w:val="16"/>
                <w:szCs w:val="16"/>
              </w:rPr>
              <w:t>35 711,4</w:t>
            </w:r>
          </w:p>
        </w:tc>
        <w:tc>
          <w:tcPr>
            <w:tcW w:w="743" w:type="dxa"/>
            <w:tcBorders>
              <w:top w:val="nil"/>
              <w:left w:val="nil"/>
              <w:bottom w:val="single" w:sz="4" w:space="0" w:color="auto"/>
              <w:right w:val="single" w:sz="4" w:space="0" w:color="auto"/>
            </w:tcBorders>
            <w:shd w:val="clear" w:color="auto" w:fill="auto"/>
            <w:vAlign w:val="center"/>
            <w:hideMark/>
          </w:tcPr>
          <w:p w14:paraId="1CB2DD15" w14:textId="77777777" w:rsidR="004E6D1F" w:rsidRPr="001E614B" w:rsidRDefault="004E6D1F">
            <w:pPr>
              <w:ind w:left="-57" w:right="-57"/>
              <w:jc w:val="center"/>
              <w:rPr>
                <w:color w:val="000000"/>
                <w:sz w:val="16"/>
                <w:szCs w:val="16"/>
              </w:rPr>
            </w:pPr>
            <w:r w:rsidRPr="001E614B">
              <w:rPr>
                <w:color w:val="000000"/>
                <w:sz w:val="16"/>
                <w:szCs w:val="16"/>
              </w:rPr>
              <w:t>32 803,3</w:t>
            </w:r>
          </w:p>
        </w:tc>
        <w:tc>
          <w:tcPr>
            <w:tcW w:w="806" w:type="dxa"/>
            <w:tcBorders>
              <w:top w:val="nil"/>
              <w:left w:val="nil"/>
              <w:bottom w:val="single" w:sz="4" w:space="0" w:color="auto"/>
              <w:right w:val="single" w:sz="4" w:space="0" w:color="auto"/>
            </w:tcBorders>
            <w:shd w:val="clear" w:color="auto" w:fill="auto"/>
            <w:vAlign w:val="center"/>
            <w:hideMark/>
          </w:tcPr>
          <w:p w14:paraId="14D833CA" w14:textId="77777777" w:rsidR="004E6D1F" w:rsidRPr="001E614B" w:rsidRDefault="004E6D1F">
            <w:pPr>
              <w:ind w:left="-57" w:right="-57"/>
              <w:jc w:val="center"/>
              <w:rPr>
                <w:color w:val="000000"/>
                <w:sz w:val="16"/>
                <w:szCs w:val="16"/>
              </w:rPr>
            </w:pPr>
            <w:r w:rsidRPr="001E614B">
              <w:rPr>
                <w:color w:val="000000"/>
                <w:sz w:val="16"/>
                <w:szCs w:val="16"/>
              </w:rPr>
              <w:t>35 185,8</w:t>
            </w:r>
          </w:p>
        </w:tc>
        <w:tc>
          <w:tcPr>
            <w:tcW w:w="767" w:type="dxa"/>
            <w:tcBorders>
              <w:top w:val="nil"/>
              <w:left w:val="nil"/>
              <w:bottom w:val="single" w:sz="4" w:space="0" w:color="auto"/>
              <w:right w:val="single" w:sz="4" w:space="0" w:color="auto"/>
            </w:tcBorders>
            <w:shd w:val="clear" w:color="auto" w:fill="auto"/>
            <w:vAlign w:val="center"/>
            <w:hideMark/>
          </w:tcPr>
          <w:p w14:paraId="454798F6" w14:textId="77777777" w:rsidR="004E6D1F" w:rsidRPr="001E614B" w:rsidRDefault="004E6D1F">
            <w:pPr>
              <w:ind w:left="-57" w:right="-57"/>
              <w:jc w:val="center"/>
              <w:rPr>
                <w:color w:val="000000"/>
                <w:sz w:val="16"/>
                <w:szCs w:val="16"/>
              </w:rPr>
            </w:pPr>
            <w:r w:rsidRPr="001E614B">
              <w:rPr>
                <w:color w:val="000000"/>
                <w:sz w:val="16"/>
                <w:szCs w:val="16"/>
              </w:rPr>
              <w:t>107,3</w:t>
            </w:r>
          </w:p>
        </w:tc>
        <w:tc>
          <w:tcPr>
            <w:tcW w:w="749" w:type="dxa"/>
            <w:tcBorders>
              <w:top w:val="nil"/>
              <w:left w:val="nil"/>
              <w:bottom w:val="single" w:sz="4" w:space="0" w:color="auto"/>
              <w:right w:val="single" w:sz="4" w:space="0" w:color="auto"/>
            </w:tcBorders>
            <w:shd w:val="clear" w:color="auto" w:fill="auto"/>
            <w:vAlign w:val="center"/>
            <w:hideMark/>
          </w:tcPr>
          <w:p w14:paraId="66C3E144" w14:textId="77777777" w:rsidR="004E6D1F" w:rsidRPr="001E614B" w:rsidRDefault="004E6D1F">
            <w:pPr>
              <w:ind w:left="-57" w:right="-57"/>
              <w:jc w:val="center"/>
              <w:rPr>
                <w:color w:val="000000"/>
                <w:sz w:val="16"/>
                <w:szCs w:val="16"/>
              </w:rPr>
            </w:pPr>
            <w:r w:rsidRPr="001E614B">
              <w:rPr>
                <w:color w:val="000000"/>
                <w:sz w:val="16"/>
                <w:szCs w:val="16"/>
              </w:rPr>
              <w:t>34 099,3</w:t>
            </w:r>
          </w:p>
        </w:tc>
        <w:tc>
          <w:tcPr>
            <w:tcW w:w="800" w:type="dxa"/>
            <w:tcBorders>
              <w:top w:val="nil"/>
              <w:left w:val="nil"/>
              <w:bottom w:val="single" w:sz="4" w:space="0" w:color="auto"/>
              <w:right w:val="single" w:sz="4" w:space="0" w:color="auto"/>
            </w:tcBorders>
            <w:shd w:val="clear" w:color="auto" w:fill="auto"/>
            <w:vAlign w:val="center"/>
            <w:hideMark/>
          </w:tcPr>
          <w:p w14:paraId="03A5EDFC" w14:textId="77777777" w:rsidR="004E6D1F" w:rsidRPr="001E614B" w:rsidRDefault="004E6D1F">
            <w:pPr>
              <w:ind w:left="-57" w:right="-57"/>
              <w:jc w:val="center"/>
              <w:rPr>
                <w:color w:val="000000"/>
                <w:sz w:val="16"/>
                <w:szCs w:val="16"/>
              </w:rPr>
            </w:pPr>
            <w:r w:rsidRPr="001E614B">
              <w:rPr>
                <w:color w:val="000000"/>
                <w:sz w:val="16"/>
                <w:szCs w:val="16"/>
              </w:rPr>
              <w:t>35 588,5</w:t>
            </w:r>
          </w:p>
        </w:tc>
        <w:tc>
          <w:tcPr>
            <w:tcW w:w="767" w:type="dxa"/>
            <w:tcBorders>
              <w:top w:val="nil"/>
              <w:left w:val="nil"/>
              <w:bottom w:val="single" w:sz="4" w:space="0" w:color="auto"/>
              <w:right w:val="single" w:sz="4" w:space="0" w:color="auto"/>
            </w:tcBorders>
            <w:shd w:val="clear" w:color="auto" w:fill="auto"/>
            <w:vAlign w:val="center"/>
            <w:hideMark/>
          </w:tcPr>
          <w:p w14:paraId="0FA78ED4" w14:textId="77777777" w:rsidR="004E6D1F" w:rsidRPr="001E614B" w:rsidRDefault="004E6D1F">
            <w:pPr>
              <w:ind w:left="-57" w:right="-57"/>
              <w:jc w:val="center"/>
              <w:rPr>
                <w:color w:val="000000"/>
                <w:sz w:val="16"/>
                <w:szCs w:val="16"/>
              </w:rPr>
            </w:pPr>
            <w:r w:rsidRPr="001E614B">
              <w:rPr>
                <w:color w:val="000000"/>
                <w:sz w:val="16"/>
                <w:szCs w:val="16"/>
              </w:rPr>
              <w:t>104,4</w:t>
            </w:r>
          </w:p>
        </w:tc>
        <w:tc>
          <w:tcPr>
            <w:tcW w:w="1043" w:type="dxa"/>
            <w:tcBorders>
              <w:top w:val="nil"/>
              <w:left w:val="nil"/>
              <w:bottom w:val="single" w:sz="4" w:space="0" w:color="auto"/>
              <w:right w:val="single" w:sz="4" w:space="0" w:color="auto"/>
            </w:tcBorders>
            <w:shd w:val="clear" w:color="auto" w:fill="auto"/>
            <w:vAlign w:val="center"/>
            <w:hideMark/>
          </w:tcPr>
          <w:p w14:paraId="2A1F09EC" w14:textId="77777777" w:rsidR="004E6D1F" w:rsidRPr="001E614B" w:rsidRDefault="004E6D1F">
            <w:pPr>
              <w:ind w:left="-57" w:right="-57"/>
              <w:jc w:val="center"/>
              <w:rPr>
                <w:color w:val="000000"/>
                <w:sz w:val="16"/>
                <w:szCs w:val="16"/>
              </w:rPr>
            </w:pPr>
            <w:r w:rsidRPr="001E614B">
              <w:rPr>
                <w:color w:val="000000"/>
                <w:sz w:val="16"/>
                <w:szCs w:val="16"/>
              </w:rPr>
              <w:t>34 802,7</w:t>
            </w:r>
          </w:p>
        </w:tc>
        <w:tc>
          <w:tcPr>
            <w:tcW w:w="774" w:type="dxa"/>
            <w:tcBorders>
              <w:top w:val="nil"/>
              <w:left w:val="nil"/>
              <w:bottom w:val="single" w:sz="4" w:space="0" w:color="auto"/>
              <w:right w:val="single" w:sz="4" w:space="0" w:color="auto"/>
            </w:tcBorders>
            <w:shd w:val="clear" w:color="auto" w:fill="auto"/>
            <w:vAlign w:val="center"/>
            <w:hideMark/>
          </w:tcPr>
          <w:p w14:paraId="03CC7157" w14:textId="77777777" w:rsidR="004E6D1F" w:rsidRPr="001E614B" w:rsidRDefault="004E6D1F">
            <w:pPr>
              <w:ind w:left="-57" w:right="-57"/>
              <w:jc w:val="center"/>
              <w:rPr>
                <w:color w:val="000000"/>
                <w:sz w:val="16"/>
                <w:szCs w:val="16"/>
              </w:rPr>
            </w:pPr>
            <w:r w:rsidRPr="001E614B">
              <w:rPr>
                <w:color w:val="000000"/>
                <w:sz w:val="16"/>
                <w:szCs w:val="16"/>
              </w:rPr>
              <w:t>37 045,4</w:t>
            </w:r>
          </w:p>
        </w:tc>
        <w:tc>
          <w:tcPr>
            <w:tcW w:w="1095" w:type="dxa"/>
            <w:tcBorders>
              <w:top w:val="nil"/>
              <w:left w:val="nil"/>
              <w:bottom w:val="single" w:sz="4" w:space="0" w:color="auto"/>
              <w:right w:val="single" w:sz="4" w:space="0" w:color="auto"/>
            </w:tcBorders>
            <w:shd w:val="clear" w:color="auto" w:fill="auto"/>
            <w:vAlign w:val="center"/>
            <w:hideMark/>
          </w:tcPr>
          <w:p w14:paraId="5524B879" w14:textId="77777777" w:rsidR="004E6D1F" w:rsidRPr="001E614B" w:rsidRDefault="004E6D1F">
            <w:pPr>
              <w:ind w:left="-57" w:right="-57"/>
              <w:jc w:val="center"/>
              <w:rPr>
                <w:color w:val="000000"/>
                <w:sz w:val="16"/>
                <w:szCs w:val="16"/>
              </w:rPr>
            </w:pPr>
            <w:r w:rsidRPr="001E614B">
              <w:rPr>
                <w:color w:val="000000"/>
                <w:sz w:val="16"/>
                <w:szCs w:val="16"/>
              </w:rPr>
              <w:t>106,4</w:t>
            </w:r>
          </w:p>
        </w:tc>
      </w:tr>
      <w:tr w:rsidR="004E6D1F" w:rsidRPr="001E614B" w14:paraId="601B4A52" w14:textId="77777777" w:rsidTr="0083643C">
        <w:trPr>
          <w:trHeight w:val="959"/>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4CF0840E" w14:textId="77777777" w:rsidR="004E6D1F" w:rsidRPr="001E614B" w:rsidRDefault="004E6D1F">
            <w:pPr>
              <w:ind w:left="-57" w:right="-57"/>
              <w:jc w:val="both"/>
              <w:rPr>
                <w:color w:val="000000"/>
                <w:sz w:val="16"/>
                <w:szCs w:val="16"/>
              </w:rPr>
            </w:pPr>
            <w:r w:rsidRPr="001E614B">
              <w:rPr>
                <w:color w:val="000000"/>
                <w:sz w:val="16"/>
                <w:szCs w:val="16"/>
              </w:rPr>
              <w:t>Комплекс процессных мероприятий «Обеспечение деятельности системы управления в сфере культуры»</w:t>
            </w:r>
          </w:p>
        </w:tc>
        <w:tc>
          <w:tcPr>
            <w:tcW w:w="722" w:type="dxa"/>
            <w:tcBorders>
              <w:top w:val="nil"/>
              <w:left w:val="nil"/>
              <w:bottom w:val="single" w:sz="4" w:space="0" w:color="auto"/>
              <w:right w:val="single" w:sz="4" w:space="0" w:color="auto"/>
            </w:tcBorders>
            <w:shd w:val="clear" w:color="auto" w:fill="auto"/>
            <w:vAlign w:val="center"/>
            <w:hideMark/>
          </w:tcPr>
          <w:p w14:paraId="4206F683" w14:textId="77777777" w:rsidR="004E6D1F" w:rsidRPr="001E614B" w:rsidRDefault="004E6D1F">
            <w:pPr>
              <w:ind w:left="-57" w:right="-57"/>
              <w:jc w:val="center"/>
              <w:rPr>
                <w:color w:val="000000"/>
                <w:sz w:val="16"/>
                <w:szCs w:val="16"/>
              </w:rPr>
            </w:pPr>
            <w:r w:rsidRPr="001E614B">
              <w:rPr>
                <w:color w:val="000000"/>
                <w:sz w:val="16"/>
                <w:szCs w:val="16"/>
              </w:rPr>
              <w:t>3 204,8</w:t>
            </w:r>
          </w:p>
        </w:tc>
        <w:tc>
          <w:tcPr>
            <w:tcW w:w="743" w:type="dxa"/>
            <w:tcBorders>
              <w:top w:val="nil"/>
              <w:left w:val="nil"/>
              <w:bottom w:val="single" w:sz="4" w:space="0" w:color="auto"/>
              <w:right w:val="single" w:sz="4" w:space="0" w:color="auto"/>
            </w:tcBorders>
            <w:shd w:val="clear" w:color="auto" w:fill="auto"/>
            <w:vAlign w:val="center"/>
            <w:hideMark/>
          </w:tcPr>
          <w:p w14:paraId="202BC8DF" w14:textId="77777777" w:rsidR="004E6D1F" w:rsidRPr="001E614B" w:rsidRDefault="004E6D1F">
            <w:pPr>
              <w:ind w:left="-57" w:right="-57"/>
              <w:jc w:val="center"/>
              <w:rPr>
                <w:color w:val="000000"/>
                <w:sz w:val="16"/>
                <w:szCs w:val="16"/>
              </w:rPr>
            </w:pPr>
            <w:r w:rsidRPr="001E614B">
              <w:rPr>
                <w:color w:val="000000"/>
                <w:sz w:val="16"/>
                <w:szCs w:val="16"/>
              </w:rPr>
              <w:t>2 602,4</w:t>
            </w:r>
          </w:p>
        </w:tc>
        <w:tc>
          <w:tcPr>
            <w:tcW w:w="806" w:type="dxa"/>
            <w:tcBorders>
              <w:top w:val="nil"/>
              <w:left w:val="nil"/>
              <w:bottom w:val="single" w:sz="4" w:space="0" w:color="auto"/>
              <w:right w:val="single" w:sz="4" w:space="0" w:color="auto"/>
            </w:tcBorders>
            <w:shd w:val="clear" w:color="auto" w:fill="auto"/>
            <w:vAlign w:val="center"/>
            <w:hideMark/>
          </w:tcPr>
          <w:p w14:paraId="4AC5DF37" w14:textId="77777777" w:rsidR="004E6D1F" w:rsidRPr="001E614B" w:rsidRDefault="004E6D1F">
            <w:pPr>
              <w:ind w:left="-57" w:right="-57"/>
              <w:jc w:val="center"/>
              <w:rPr>
                <w:color w:val="000000"/>
                <w:sz w:val="16"/>
                <w:szCs w:val="16"/>
              </w:rPr>
            </w:pPr>
            <w:r w:rsidRPr="001E614B">
              <w:rPr>
                <w:color w:val="000000"/>
                <w:sz w:val="16"/>
                <w:szCs w:val="16"/>
              </w:rPr>
              <w:t>2 507,1</w:t>
            </w:r>
          </w:p>
        </w:tc>
        <w:tc>
          <w:tcPr>
            <w:tcW w:w="767" w:type="dxa"/>
            <w:tcBorders>
              <w:top w:val="nil"/>
              <w:left w:val="nil"/>
              <w:bottom w:val="single" w:sz="4" w:space="0" w:color="auto"/>
              <w:right w:val="single" w:sz="4" w:space="0" w:color="auto"/>
            </w:tcBorders>
            <w:shd w:val="clear" w:color="auto" w:fill="auto"/>
            <w:vAlign w:val="center"/>
            <w:hideMark/>
          </w:tcPr>
          <w:p w14:paraId="24111068" w14:textId="77777777" w:rsidR="004E6D1F" w:rsidRPr="001E614B" w:rsidRDefault="004E6D1F">
            <w:pPr>
              <w:ind w:left="-57" w:right="-57"/>
              <w:jc w:val="center"/>
              <w:rPr>
                <w:color w:val="000000"/>
                <w:sz w:val="16"/>
                <w:szCs w:val="16"/>
              </w:rPr>
            </w:pPr>
            <w:r w:rsidRPr="001E614B">
              <w:rPr>
                <w:color w:val="000000"/>
                <w:sz w:val="16"/>
                <w:szCs w:val="16"/>
              </w:rPr>
              <w:t>96,3</w:t>
            </w:r>
          </w:p>
        </w:tc>
        <w:tc>
          <w:tcPr>
            <w:tcW w:w="749" w:type="dxa"/>
            <w:tcBorders>
              <w:top w:val="nil"/>
              <w:left w:val="nil"/>
              <w:bottom w:val="single" w:sz="4" w:space="0" w:color="auto"/>
              <w:right w:val="single" w:sz="4" w:space="0" w:color="auto"/>
            </w:tcBorders>
            <w:shd w:val="clear" w:color="auto" w:fill="auto"/>
            <w:vAlign w:val="center"/>
            <w:hideMark/>
          </w:tcPr>
          <w:p w14:paraId="3DAF2DF0" w14:textId="77777777" w:rsidR="004E6D1F" w:rsidRPr="001E614B" w:rsidRDefault="004E6D1F">
            <w:pPr>
              <w:ind w:left="-57" w:right="-57"/>
              <w:jc w:val="center"/>
              <w:rPr>
                <w:color w:val="000000"/>
                <w:sz w:val="16"/>
                <w:szCs w:val="16"/>
              </w:rPr>
            </w:pPr>
            <w:r w:rsidRPr="001E614B">
              <w:rPr>
                <w:color w:val="000000"/>
                <w:sz w:val="16"/>
                <w:szCs w:val="16"/>
              </w:rPr>
              <w:t>2 784,1</w:t>
            </w:r>
          </w:p>
        </w:tc>
        <w:tc>
          <w:tcPr>
            <w:tcW w:w="800" w:type="dxa"/>
            <w:tcBorders>
              <w:top w:val="nil"/>
              <w:left w:val="nil"/>
              <w:bottom w:val="single" w:sz="4" w:space="0" w:color="auto"/>
              <w:right w:val="single" w:sz="4" w:space="0" w:color="auto"/>
            </w:tcBorders>
            <w:shd w:val="clear" w:color="auto" w:fill="auto"/>
            <w:vAlign w:val="center"/>
            <w:hideMark/>
          </w:tcPr>
          <w:p w14:paraId="048226F5" w14:textId="77777777" w:rsidR="004E6D1F" w:rsidRPr="001E614B" w:rsidRDefault="004E6D1F">
            <w:pPr>
              <w:ind w:left="-57" w:right="-57"/>
              <w:jc w:val="center"/>
              <w:rPr>
                <w:color w:val="000000"/>
                <w:sz w:val="16"/>
                <w:szCs w:val="16"/>
              </w:rPr>
            </w:pPr>
            <w:r w:rsidRPr="001E614B">
              <w:rPr>
                <w:color w:val="000000"/>
                <w:sz w:val="16"/>
                <w:szCs w:val="16"/>
              </w:rPr>
              <w:t>2 763,4</w:t>
            </w:r>
          </w:p>
        </w:tc>
        <w:tc>
          <w:tcPr>
            <w:tcW w:w="767" w:type="dxa"/>
            <w:tcBorders>
              <w:top w:val="nil"/>
              <w:left w:val="nil"/>
              <w:bottom w:val="single" w:sz="4" w:space="0" w:color="auto"/>
              <w:right w:val="single" w:sz="4" w:space="0" w:color="auto"/>
            </w:tcBorders>
            <w:shd w:val="clear" w:color="auto" w:fill="auto"/>
            <w:vAlign w:val="center"/>
            <w:hideMark/>
          </w:tcPr>
          <w:p w14:paraId="101D4585" w14:textId="77777777" w:rsidR="004E6D1F" w:rsidRPr="001E614B" w:rsidRDefault="004E6D1F">
            <w:pPr>
              <w:ind w:left="-57" w:right="-57"/>
              <w:jc w:val="center"/>
              <w:rPr>
                <w:color w:val="000000"/>
                <w:sz w:val="16"/>
                <w:szCs w:val="16"/>
              </w:rPr>
            </w:pPr>
            <w:r w:rsidRPr="001E614B">
              <w:rPr>
                <w:color w:val="000000"/>
                <w:sz w:val="16"/>
                <w:szCs w:val="16"/>
              </w:rPr>
              <w:t>99,3</w:t>
            </w:r>
          </w:p>
        </w:tc>
        <w:tc>
          <w:tcPr>
            <w:tcW w:w="1043" w:type="dxa"/>
            <w:tcBorders>
              <w:top w:val="nil"/>
              <w:left w:val="nil"/>
              <w:bottom w:val="single" w:sz="4" w:space="0" w:color="auto"/>
              <w:right w:val="single" w:sz="4" w:space="0" w:color="auto"/>
            </w:tcBorders>
            <w:shd w:val="clear" w:color="auto" w:fill="auto"/>
            <w:vAlign w:val="center"/>
            <w:hideMark/>
          </w:tcPr>
          <w:p w14:paraId="4E00C1DA" w14:textId="77777777" w:rsidR="004E6D1F" w:rsidRPr="001E614B" w:rsidRDefault="004E6D1F">
            <w:pPr>
              <w:ind w:left="-57" w:right="-57"/>
              <w:jc w:val="center"/>
              <w:rPr>
                <w:color w:val="000000"/>
                <w:sz w:val="16"/>
                <w:szCs w:val="16"/>
              </w:rPr>
            </w:pPr>
            <w:r w:rsidRPr="001E614B">
              <w:rPr>
                <w:color w:val="000000"/>
                <w:sz w:val="16"/>
                <w:szCs w:val="16"/>
              </w:rPr>
              <w:t>2 803,8</w:t>
            </w:r>
          </w:p>
        </w:tc>
        <w:tc>
          <w:tcPr>
            <w:tcW w:w="774" w:type="dxa"/>
            <w:tcBorders>
              <w:top w:val="nil"/>
              <w:left w:val="nil"/>
              <w:bottom w:val="single" w:sz="4" w:space="0" w:color="auto"/>
              <w:right w:val="single" w:sz="4" w:space="0" w:color="auto"/>
            </w:tcBorders>
            <w:shd w:val="clear" w:color="auto" w:fill="auto"/>
            <w:vAlign w:val="center"/>
            <w:hideMark/>
          </w:tcPr>
          <w:p w14:paraId="0E19AD6D" w14:textId="77777777" w:rsidR="004E6D1F" w:rsidRPr="001E614B" w:rsidRDefault="004E6D1F">
            <w:pPr>
              <w:ind w:left="-57" w:right="-57"/>
              <w:jc w:val="center"/>
              <w:rPr>
                <w:color w:val="000000"/>
                <w:sz w:val="16"/>
                <w:szCs w:val="16"/>
              </w:rPr>
            </w:pPr>
            <w:r w:rsidRPr="001E614B">
              <w:rPr>
                <w:color w:val="000000"/>
                <w:sz w:val="16"/>
                <w:szCs w:val="16"/>
              </w:rPr>
              <w:t>2 799,6</w:t>
            </w:r>
          </w:p>
        </w:tc>
        <w:tc>
          <w:tcPr>
            <w:tcW w:w="1095" w:type="dxa"/>
            <w:tcBorders>
              <w:top w:val="nil"/>
              <w:left w:val="nil"/>
              <w:bottom w:val="single" w:sz="4" w:space="0" w:color="auto"/>
              <w:right w:val="single" w:sz="4" w:space="0" w:color="auto"/>
            </w:tcBorders>
            <w:shd w:val="clear" w:color="auto" w:fill="auto"/>
            <w:vAlign w:val="center"/>
            <w:hideMark/>
          </w:tcPr>
          <w:p w14:paraId="0A1EF14A" w14:textId="77777777" w:rsidR="004E6D1F" w:rsidRPr="001E614B" w:rsidRDefault="004E6D1F">
            <w:pPr>
              <w:ind w:left="-57" w:right="-57"/>
              <w:jc w:val="center"/>
              <w:rPr>
                <w:color w:val="000000"/>
                <w:sz w:val="16"/>
                <w:szCs w:val="16"/>
              </w:rPr>
            </w:pPr>
            <w:r w:rsidRPr="001E614B">
              <w:rPr>
                <w:color w:val="000000"/>
                <w:sz w:val="16"/>
                <w:szCs w:val="16"/>
              </w:rPr>
              <w:t>99,9</w:t>
            </w:r>
          </w:p>
        </w:tc>
      </w:tr>
    </w:tbl>
    <w:p w14:paraId="71CE0122" w14:textId="77777777" w:rsidR="0083643C" w:rsidRPr="0083643C" w:rsidRDefault="0083643C" w:rsidP="0083643C">
      <w:pPr>
        <w:autoSpaceDE w:val="0"/>
        <w:autoSpaceDN w:val="0"/>
        <w:adjustRightInd w:val="0"/>
        <w:spacing w:line="276" w:lineRule="auto"/>
        <w:ind w:firstLine="709"/>
        <w:contextualSpacing/>
        <w:jc w:val="both"/>
        <w:rPr>
          <w:sz w:val="20"/>
          <w:szCs w:val="20"/>
        </w:rPr>
      </w:pPr>
      <w:r w:rsidRPr="0083643C">
        <w:rPr>
          <w:rFonts w:eastAsia="Calibri"/>
          <w:i/>
          <w:sz w:val="20"/>
          <w:szCs w:val="20"/>
        </w:rPr>
        <w:t>Источник</w:t>
      </w:r>
      <w:r w:rsidRPr="0083643C">
        <w:rPr>
          <w:rFonts w:eastAsia="Calibri"/>
          <w:sz w:val="20"/>
          <w:szCs w:val="20"/>
        </w:rPr>
        <w:t xml:space="preserve">: </w:t>
      </w:r>
      <w:r>
        <w:rPr>
          <w:rFonts w:eastAsia="Calibri"/>
          <w:sz w:val="20"/>
          <w:szCs w:val="20"/>
        </w:rPr>
        <w:t>Пояснительная записка</w:t>
      </w:r>
    </w:p>
    <w:p w14:paraId="070E6AB2" w14:textId="77777777" w:rsidR="0083643C" w:rsidRDefault="0083643C" w:rsidP="0083643C">
      <w:pPr>
        <w:ind w:firstLine="567"/>
      </w:pPr>
      <w:r>
        <w:rPr>
          <w:sz w:val="20"/>
          <w:szCs w:val="20"/>
        </w:rPr>
        <w:t>_______________</w:t>
      </w:r>
    </w:p>
    <w:p w14:paraId="4F1FE416" w14:textId="77777777" w:rsidR="0083643C" w:rsidRPr="0083643C" w:rsidRDefault="0083643C" w:rsidP="0083643C">
      <w:pPr>
        <w:autoSpaceDE w:val="0"/>
        <w:autoSpaceDN w:val="0"/>
        <w:adjustRightInd w:val="0"/>
        <w:ind w:firstLine="709"/>
        <w:contextualSpacing/>
        <w:jc w:val="both"/>
        <w:rPr>
          <w:sz w:val="20"/>
          <w:szCs w:val="20"/>
        </w:rPr>
      </w:pPr>
      <w:r>
        <w:rPr>
          <w:sz w:val="20"/>
          <w:szCs w:val="20"/>
        </w:rPr>
        <w:t>Примечание:</w:t>
      </w:r>
    </w:p>
    <w:p w14:paraId="157E0D64" w14:textId="77777777" w:rsidR="0083643C" w:rsidRPr="0083643C" w:rsidRDefault="0083643C" w:rsidP="0083643C">
      <w:pPr>
        <w:autoSpaceDE w:val="0"/>
        <w:autoSpaceDN w:val="0"/>
        <w:adjustRightInd w:val="0"/>
        <w:ind w:firstLine="709"/>
        <w:contextualSpacing/>
        <w:jc w:val="both"/>
        <w:rPr>
          <w:sz w:val="20"/>
          <w:szCs w:val="20"/>
        </w:rPr>
      </w:pPr>
      <w:r w:rsidRPr="0083643C">
        <w:rPr>
          <w:sz w:val="20"/>
          <w:szCs w:val="20"/>
        </w:rPr>
        <w:t xml:space="preserve">* показатели СБР по состоянию на 1 сентября 2022 г. </w:t>
      </w:r>
    </w:p>
    <w:p w14:paraId="25EB4D1E" w14:textId="77777777" w:rsidR="004E6D1F" w:rsidRPr="00FE6DC9" w:rsidRDefault="004E6D1F" w:rsidP="004E6D1F">
      <w:pPr>
        <w:autoSpaceDE w:val="0"/>
        <w:autoSpaceDN w:val="0"/>
        <w:adjustRightInd w:val="0"/>
        <w:spacing w:line="276" w:lineRule="auto"/>
        <w:ind w:firstLine="709"/>
        <w:contextualSpacing/>
        <w:jc w:val="both"/>
      </w:pPr>
    </w:p>
    <w:p w14:paraId="4EFA429A" w14:textId="6C7FCFE1" w:rsidR="004E6D1F" w:rsidRPr="001E614B" w:rsidRDefault="004E6D1F" w:rsidP="0083643C">
      <w:pPr>
        <w:autoSpaceDE w:val="0"/>
        <w:autoSpaceDN w:val="0"/>
        <w:adjustRightInd w:val="0"/>
        <w:spacing w:line="360" w:lineRule="auto"/>
        <w:ind w:firstLine="709"/>
        <w:contextualSpacing/>
        <w:jc w:val="both"/>
        <w:rPr>
          <w:rFonts w:ascii="Calibri" w:eastAsia="Calibri" w:hAnsi="Calibri"/>
        </w:rPr>
      </w:pPr>
      <w:r w:rsidRPr="001E614B">
        <w:rPr>
          <w:sz w:val="28"/>
          <w:szCs w:val="20"/>
        </w:rPr>
        <w:t xml:space="preserve">Бюджетные ассигнования, предусмотренные на реализацию государственной программы </w:t>
      </w:r>
      <w:r w:rsidRPr="001E614B">
        <w:rPr>
          <w:i/>
          <w:sz w:val="28"/>
          <w:szCs w:val="20"/>
        </w:rPr>
        <w:t>«Развитие культуры»</w:t>
      </w:r>
      <w:r w:rsidRPr="001E614B">
        <w:rPr>
          <w:sz w:val="28"/>
          <w:szCs w:val="20"/>
        </w:rPr>
        <w:t xml:space="preserve">, в 2023 году составят 175 358,5 </w:t>
      </w:r>
      <w:proofErr w:type="gramStart"/>
      <w:r w:rsidR="00E40C69">
        <w:rPr>
          <w:sz w:val="28"/>
          <w:szCs w:val="20"/>
        </w:rPr>
        <w:t>млн</w:t>
      </w:r>
      <w:proofErr w:type="gramEnd"/>
      <w:r>
        <w:rPr>
          <w:sz w:val="28"/>
          <w:szCs w:val="20"/>
        </w:rPr>
        <w:t xml:space="preserve"> руб.</w:t>
      </w:r>
      <w:r w:rsidRPr="001E614B">
        <w:rPr>
          <w:sz w:val="28"/>
          <w:szCs w:val="20"/>
        </w:rPr>
        <w:t xml:space="preserve">, в 2024 году </w:t>
      </w:r>
      <w:r>
        <w:rPr>
          <w:sz w:val="28"/>
          <w:szCs w:val="20"/>
        </w:rPr>
        <w:t>–</w:t>
      </w:r>
      <w:r w:rsidRPr="001E614B">
        <w:rPr>
          <w:sz w:val="28"/>
          <w:szCs w:val="20"/>
        </w:rPr>
        <w:t xml:space="preserve"> 182 198,2 </w:t>
      </w:r>
      <w:r w:rsidR="00E40C69">
        <w:rPr>
          <w:sz w:val="28"/>
          <w:szCs w:val="20"/>
        </w:rPr>
        <w:t>млн</w:t>
      </w:r>
      <w:r>
        <w:rPr>
          <w:sz w:val="28"/>
          <w:szCs w:val="20"/>
        </w:rPr>
        <w:t xml:space="preserve"> руб.</w:t>
      </w:r>
      <w:r w:rsidRPr="001E614B">
        <w:rPr>
          <w:sz w:val="28"/>
          <w:szCs w:val="20"/>
        </w:rPr>
        <w:t xml:space="preserve"> и в 2025 году </w:t>
      </w:r>
      <w:r>
        <w:rPr>
          <w:sz w:val="28"/>
          <w:szCs w:val="20"/>
        </w:rPr>
        <w:t>–</w:t>
      </w:r>
      <w:r w:rsidRPr="001E614B">
        <w:rPr>
          <w:sz w:val="28"/>
          <w:szCs w:val="20"/>
        </w:rPr>
        <w:t xml:space="preserve"> 151 863,8 </w:t>
      </w:r>
      <w:r w:rsidR="00E40C69">
        <w:rPr>
          <w:sz w:val="28"/>
          <w:szCs w:val="20"/>
        </w:rPr>
        <w:t>млн</w:t>
      </w:r>
      <w:r>
        <w:rPr>
          <w:sz w:val="28"/>
          <w:szCs w:val="20"/>
        </w:rPr>
        <w:t xml:space="preserve"> руб</w:t>
      </w:r>
      <w:r w:rsidRPr="001E614B">
        <w:rPr>
          <w:sz w:val="28"/>
          <w:szCs w:val="20"/>
        </w:rPr>
        <w:t>.</w:t>
      </w:r>
      <w:r w:rsidRPr="001E614B">
        <w:rPr>
          <w:color w:val="000000" w:themeColor="text1"/>
          <w:sz w:val="28"/>
          <w:szCs w:val="28"/>
        </w:rPr>
        <w:t xml:space="preserve"> </w:t>
      </w:r>
    </w:p>
    <w:p w14:paraId="71D9F6F4" w14:textId="0CA851BC" w:rsidR="004E6D1F" w:rsidRPr="00FE6DC9" w:rsidRDefault="004E6D1F" w:rsidP="0083643C">
      <w:pPr>
        <w:autoSpaceDE w:val="0"/>
        <w:autoSpaceDN w:val="0"/>
        <w:adjustRightInd w:val="0"/>
        <w:spacing w:line="360" w:lineRule="auto"/>
        <w:ind w:firstLine="709"/>
        <w:contextualSpacing/>
        <w:jc w:val="both"/>
        <w:rPr>
          <w:color w:val="000000" w:themeColor="text1"/>
          <w:sz w:val="28"/>
          <w:szCs w:val="28"/>
        </w:rPr>
      </w:pPr>
      <w:r w:rsidRPr="001E614B">
        <w:rPr>
          <w:sz w:val="28"/>
          <w:szCs w:val="20"/>
        </w:rPr>
        <w:t xml:space="preserve">Предусмотренные в Законопроекте объемы бюджетных ассигнований по сравнению с объемами, утвержденными Законом № 390-ФЗ, в 2023 году увеличены на 6 526,5 </w:t>
      </w:r>
      <w:proofErr w:type="gramStart"/>
      <w:r w:rsidR="00E40C69">
        <w:rPr>
          <w:sz w:val="28"/>
          <w:szCs w:val="20"/>
        </w:rPr>
        <w:t>млн</w:t>
      </w:r>
      <w:proofErr w:type="gramEnd"/>
      <w:r>
        <w:rPr>
          <w:sz w:val="28"/>
          <w:szCs w:val="20"/>
        </w:rPr>
        <w:t xml:space="preserve"> руб.</w:t>
      </w:r>
      <w:r w:rsidRPr="001E614B">
        <w:rPr>
          <w:sz w:val="28"/>
          <w:szCs w:val="20"/>
        </w:rPr>
        <w:t xml:space="preserve">, в 2024 году </w:t>
      </w:r>
      <w:r>
        <w:rPr>
          <w:sz w:val="28"/>
          <w:szCs w:val="20"/>
        </w:rPr>
        <w:t>–</w:t>
      </w:r>
      <w:r w:rsidRPr="001E614B">
        <w:rPr>
          <w:sz w:val="28"/>
          <w:szCs w:val="20"/>
        </w:rPr>
        <w:t xml:space="preserve"> на 6 085,0 </w:t>
      </w:r>
      <w:r w:rsidR="00E40C69">
        <w:rPr>
          <w:sz w:val="28"/>
          <w:szCs w:val="20"/>
        </w:rPr>
        <w:t>млн</w:t>
      </w:r>
      <w:r>
        <w:rPr>
          <w:sz w:val="28"/>
          <w:szCs w:val="20"/>
        </w:rPr>
        <w:t xml:space="preserve"> руб.</w:t>
      </w:r>
      <w:r w:rsidRPr="001E614B">
        <w:rPr>
          <w:sz w:val="28"/>
          <w:szCs w:val="20"/>
        </w:rPr>
        <w:t xml:space="preserve">, в 2025 году по сравнению с параметрами Бюджетного прогноза уменьшены на 2 186,2 </w:t>
      </w:r>
      <w:r w:rsidR="00E40C69">
        <w:rPr>
          <w:sz w:val="28"/>
          <w:szCs w:val="20"/>
        </w:rPr>
        <w:t>млн</w:t>
      </w:r>
      <w:r>
        <w:rPr>
          <w:sz w:val="28"/>
          <w:szCs w:val="20"/>
        </w:rPr>
        <w:t xml:space="preserve"> руб.</w:t>
      </w:r>
      <w:r w:rsidRPr="001E614B">
        <w:rPr>
          <w:color w:val="000000" w:themeColor="text1"/>
          <w:sz w:val="28"/>
          <w:szCs w:val="28"/>
        </w:rPr>
        <w:t xml:space="preserve"> </w:t>
      </w:r>
    </w:p>
    <w:p w14:paraId="51E3F177" w14:textId="53A77C7A" w:rsidR="004E6D1F" w:rsidRPr="001E614B" w:rsidRDefault="004E6D1F" w:rsidP="0083643C">
      <w:pPr>
        <w:autoSpaceDE w:val="0"/>
        <w:autoSpaceDN w:val="0"/>
        <w:adjustRightInd w:val="0"/>
        <w:spacing w:line="360" w:lineRule="auto"/>
        <w:ind w:firstLine="709"/>
        <w:contextualSpacing/>
        <w:jc w:val="both"/>
        <w:rPr>
          <w:spacing w:val="-1"/>
          <w:sz w:val="28"/>
          <w:szCs w:val="20"/>
        </w:rPr>
      </w:pPr>
      <w:r w:rsidRPr="001E614B">
        <w:rPr>
          <w:sz w:val="28"/>
          <w:szCs w:val="28"/>
        </w:rPr>
        <w:t>Бюджетные</w:t>
      </w:r>
      <w:r w:rsidRPr="001E614B">
        <w:rPr>
          <w:spacing w:val="-1"/>
          <w:sz w:val="28"/>
          <w:szCs w:val="20"/>
        </w:rPr>
        <w:t xml:space="preserve"> ассигнования</w:t>
      </w:r>
      <w:r w:rsidRPr="001E614B">
        <w:rPr>
          <w:sz w:val="28"/>
          <w:szCs w:val="20"/>
        </w:rPr>
        <w:t xml:space="preserve"> </w:t>
      </w:r>
      <w:r w:rsidRPr="001E614B">
        <w:rPr>
          <w:spacing w:val="-1"/>
          <w:sz w:val="28"/>
          <w:szCs w:val="20"/>
        </w:rPr>
        <w:t>по разделу «</w:t>
      </w:r>
      <w:r w:rsidRPr="001E614B">
        <w:rPr>
          <w:i/>
          <w:spacing w:val="-1"/>
          <w:sz w:val="28"/>
          <w:szCs w:val="20"/>
        </w:rPr>
        <w:t>Культура, кинематография</w:t>
      </w:r>
      <w:r w:rsidRPr="001E614B">
        <w:rPr>
          <w:spacing w:val="-1"/>
          <w:sz w:val="28"/>
          <w:szCs w:val="20"/>
        </w:rPr>
        <w:t xml:space="preserve">» </w:t>
      </w:r>
      <w:r w:rsidRPr="001E614B">
        <w:rPr>
          <w:spacing w:val="-1"/>
          <w:sz w:val="28"/>
          <w:szCs w:val="20"/>
        </w:rPr>
        <w:br/>
        <w:t xml:space="preserve">в 2023 году составят 196 095,9 </w:t>
      </w:r>
      <w:proofErr w:type="gramStart"/>
      <w:r w:rsidR="00E40C69">
        <w:rPr>
          <w:spacing w:val="-1"/>
          <w:sz w:val="28"/>
          <w:szCs w:val="20"/>
        </w:rPr>
        <w:t>млн</w:t>
      </w:r>
      <w:proofErr w:type="gramEnd"/>
      <w:r>
        <w:rPr>
          <w:spacing w:val="-1"/>
          <w:sz w:val="28"/>
          <w:szCs w:val="20"/>
        </w:rPr>
        <w:t xml:space="preserve"> руб.</w:t>
      </w:r>
      <w:r w:rsidRPr="001E614B">
        <w:rPr>
          <w:spacing w:val="-1"/>
          <w:sz w:val="28"/>
          <w:szCs w:val="20"/>
        </w:rPr>
        <w:t xml:space="preserve">, в 2024 году </w:t>
      </w:r>
      <w:r>
        <w:rPr>
          <w:spacing w:val="-1"/>
          <w:sz w:val="28"/>
          <w:szCs w:val="20"/>
        </w:rPr>
        <w:t>–</w:t>
      </w:r>
      <w:r w:rsidRPr="001E614B">
        <w:rPr>
          <w:spacing w:val="-1"/>
          <w:sz w:val="28"/>
          <w:szCs w:val="20"/>
        </w:rPr>
        <w:t xml:space="preserve"> 203 607,6 </w:t>
      </w:r>
      <w:r w:rsidR="00E40C69">
        <w:rPr>
          <w:spacing w:val="-1"/>
          <w:sz w:val="28"/>
          <w:szCs w:val="20"/>
        </w:rPr>
        <w:t>млн</w:t>
      </w:r>
      <w:r>
        <w:rPr>
          <w:spacing w:val="-1"/>
          <w:sz w:val="28"/>
          <w:szCs w:val="20"/>
        </w:rPr>
        <w:t xml:space="preserve"> руб.</w:t>
      </w:r>
      <w:r w:rsidRPr="001E614B">
        <w:rPr>
          <w:spacing w:val="-1"/>
          <w:sz w:val="28"/>
          <w:szCs w:val="20"/>
        </w:rPr>
        <w:t xml:space="preserve"> и в 2025 году </w:t>
      </w:r>
      <w:r>
        <w:rPr>
          <w:spacing w:val="-1"/>
          <w:sz w:val="28"/>
          <w:szCs w:val="20"/>
        </w:rPr>
        <w:t>–</w:t>
      </w:r>
      <w:r w:rsidRPr="001E614B">
        <w:rPr>
          <w:spacing w:val="-1"/>
          <w:sz w:val="28"/>
          <w:szCs w:val="20"/>
        </w:rPr>
        <w:t xml:space="preserve"> 171 100,7 </w:t>
      </w:r>
      <w:r w:rsidR="00E40C69">
        <w:rPr>
          <w:spacing w:val="-1"/>
          <w:sz w:val="28"/>
          <w:szCs w:val="20"/>
        </w:rPr>
        <w:t>млн</w:t>
      </w:r>
      <w:r>
        <w:rPr>
          <w:spacing w:val="-1"/>
          <w:sz w:val="28"/>
          <w:szCs w:val="20"/>
        </w:rPr>
        <w:t xml:space="preserve"> руб.</w:t>
      </w:r>
      <w:r w:rsidRPr="001E614B">
        <w:rPr>
          <w:color w:val="000000" w:themeColor="text1"/>
          <w:sz w:val="28"/>
          <w:szCs w:val="28"/>
        </w:rPr>
        <w:t xml:space="preserve"> </w:t>
      </w:r>
    </w:p>
    <w:p w14:paraId="30B341C4" w14:textId="5A0C0F22" w:rsidR="004E6D1F" w:rsidRPr="001E614B" w:rsidRDefault="004E6D1F" w:rsidP="0083643C">
      <w:pPr>
        <w:spacing w:line="360" w:lineRule="auto"/>
        <w:ind w:firstLine="709"/>
        <w:contextualSpacing/>
        <w:jc w:val="both"/>
        <w:rPr>
          <w:sz w:val="28"/>
          <w:szCs w:val="20"/>
        </w:rPr>
      </w:pPr>
      <w:r w:rsidRPr="001E614B">
        <w:rPr>
          <w:sz w:val="28"/>
          <w:szCs w:val="20"/>
        </w:rPr>
        <w:t xml:space="preserve">По отношению к объему ВВП соответствующего года доля расходов раздела </w:t>
      </w:r>
      <w:r w:rsidRPr="001E614B">
        <w:rPr>
          <w:i/>
          <w:sz w:val="28"/>
          <w:szCs w:val="20"/>
        </w:rPr>
        <w:t xml:space="preserve">«Культура, кинематография» </w:t>
      </w:r>
      <w:r>
        <w:rPr>
          <w:sz w:val="28"/>
          <w:szCs w:val="20"/>
        </w:rPr>
        <w:t>составит в 2023-2025 г</w:t>
      </w:r>
      <w:r w:rsidR="00C571A0">
        <w:rPr>
          <w:sz w:val="28"/>
          <w:szCs w:val="20"/>
        </w:rPr>
        <w:t>одах</w:t>
      </w:r>
      <w:r>
        <w:rPr>
          <w:sz w:val="28"/>
          <w:szCs w:val="20"/>
        </w:rPr>
        <w:t xml:space="preserve"> – 0,1%</w:t>
      </w:r>
      <w:r w:rsidRPr="001E614B">
        <w:rPr>
          <w:sz w:val="28"/>
          <w:szCs w:val="20"/>
        </w:rPr>
        <w:t>.</w:t>
      </w:r>
    </w:p>
    <w:p w14:paraId="67EEC661" w14:textId="77777777" w:rsidR="004E6D1F" w:rsidRPr="001E614B" w:rsidRDefault="004E6D1F" w:rsidP="0083643C">
      <w:pPr>
        <w:spacing w:line="360" w:lineRule="auto"/>
        <w:ind w:firstLine="709"/>
        <w:contextualSpacing/>
        <w:jc w:val="both"/>
        <w:rPr>
          <w:sz w:val="28"/>
          <w:szCs w:val="28"/>
        </w:rPr>
      </w:pPr>
      <w:r w:rsidRPr="001E614B">
        <w:rPr>
          <w:sz w:val="28"/>
          <w:szCs w:val="20"/>
        </w:rPr>
        <w:t xml:space="preserve">Доля в общем объеме расходов федерального бюджета по разделу </w:t>
      </w:r>
      <w:r w:rsidRPr="001E614B">
        <w:rPr>
          <w:i/>
          <w:sz w:val="28"/>
          <w:szCs w:val="20"/>
        </w:rPr>
        <w:t>«Культура и кинематография»</w:t>
      </w:r>
      <w:r w:rsidRPr="001E614B">
        <w:rPr>
          <w:sz w:val="28"/>
          <w:szCs w:val="20"/>
        </w:rPr>
        <w:t xml:space="preserve"> </w:t>
      </w:r>
      <w:r w:rsidRPr="001E614B">
        <w:rPr>
          <w:sz w:val="28"/>
          <w:szCs w:val="28"/>
        </w:rPr>
        <w:t>в 2023 и 2024 годах по сравнению с 2022 годом (0,7 %) не и</w:t>
      </w:r>
      <w:r>
        <w:rPr>
          <w:sz w:val="28"/>
          <w:szCs w:val="28"/>
        </w:rPr>
        <w:t>зменится и составит 0,7%</w:t>
      </w:r>
      <w:r w:rsidRPr="001E614B">
        <w:rPr>
          <w:sz w:val="28"/>
          <w:szCs w:val="28"/>
        </w:rPr>
        <w:t>, в 2025 году ум</w:t>
      </w:r>
      <w:r>
        <w:rPr>
          <w:sz w:val="28"/>
          <w:szCs w:val="28"/>
        </w:rPr>
        <w:t>еньшится и составит 0,6%</w:t>
      </w:r>
      <w:r w:rsidRPr="001E614B">
        <w:rPr>
          <w:sz w:val="28"/>
          <w:szCs w:val="28"/>
        </w:rPr>
        <w:t xml:space="preserve">. </w:t>
      </w:r>
    </w:p>
    <w:p w14:paraId="4E3D70B2" w14:textId="36CCC7DF" w:rsidR="004E6D1F" w:rsidRPr="001E614B" w:rsidRDefault="004E6D1F" w:rsidP="0083643C">
      <w:pPr>
        <w:spacing w:line="360" w:lineRule="auto"/>
        <w:ind w:firstLine="709"/>
        <w:contextualSpacing/>
        <w:jc w:val="both"/>
        <w:rPr>
          <w:sz w:val="28"/>
          <w:szCs w:val="28"/>
        </w:rPr>
      </w:pPr>
      <w:r w:rsidRPr="001E614B">
        <w:rPr>
          <w:sz w:val="28"/>
          <w:szCs w:val="28"/>
        </w:rPr>
        <w:t>Вместе с тем, обращает на себя внимание то</w:t>
      </w:r>
      <w:r w:rsidR="00243BCF">
        <w:rPr>
          <w:sz w:val="28"/>
          <w:szCs w:val="28"/>
        </w:rPr>
        <w:t>,</w:t>
      </w:r>
      <w:r w:rsidRPr="001E614B">
        <w:rPr>
          <w:sz w:val="28"/>
          <w:szCs w:val="28"/>
        </w:rPr>
        <w:t xml:space="preserve"> что в разделе отсутствует самостоятельные отдельные финансовые параметры по </w:t>
      </w:r>
      <w:r w:rsidRPr="009C4762">
        <w:rPr>
          <w:bCs/>
          <w:i/>
          <w:iCs/>
          <w:sz w:val="28"/>
          <w:szCs w:val="28"/>
        </w:rPr>
        <w:t>кинематографии.</w:t>
      </w:r>
      <w:r w:rsidRPr="001E614B">
        <w:rPr>
          <w:b/>
          <w:sz w:val="28"/>
          <w:szCs w:val="28"/>
        </w:rPr>
        <w:t xml:space="preserve"> </w:t>
      </w:r>
      <w:r w:rsidRPr="001E614B">
        <w:rPr>
          <w:sz w:val="28"/>
          <w:szCs w:val="28"/>
        </w:rPr>
        <w:t xml:space="preserve">Между тем, в соответствии с Приказом </w:t>
      </w:r>
      <w:proofErr w:type="spellStart"/>
      <w:r w:rsidRPr="001E614B">
        <w:rPr>
          <w:sz w:val="28"/>
          <w:szCs w:val="28"/>
        </w:rPr>
        <w:t>Минкульта</w:t>
      </w:r>
      <w:proofErr w:type="spellEnd"/>
      <w:r w:rsidRPr="001E614B">
        <w:rPr>
          <w:sz w:val="28"/>
          <w:szCs w:val="28"/>
        </w:rPr>
        <w:t xml:space="preserve"> РФ от 14.02.2022 № 148</w:t>
      </w:r>
      <w:r w:rsidRPr="001E614B">
        <w:rPr>
          <w:rStyle w:val="aa"/>
          <w:szCs w:val="28"/>
        </w:rPr>
        <w:footnoteReference w:id="25"/>
      </w:r>
      <w:r w:rsidRPr="001E614B">
        <w:rPr>
          <w:sz w:val="28"/>
          <w:szCs w:val="28"/>
        </w:rPr>
        <w:t xml:space="preserve"> предусмотрены «Приоритетные темы государственной финансовой поддержки кинопроизводства в 2022 году</w:t>
      </w:r>
      <w:r>
        <w:rPr>
          <w:sz w:val="28"/>
          <w:szCs w:val="28"/>
        </w:rPr>
        <w:t>» в количестве 13 тем,</w:t>
      </w:r>
      <w:r w:rsidRPr="001E614B">
        <w:rPr>
          <w:sz w:val="28"/>
          <w:szCs w:val="28"/>
        </w:rPr>
        <w:t xml:space="preserve"> в том числе: </w:t>
      </w:r>
    </w:p>
    <w:p w14:paraId="2619475D" w14:textId="77777777" w:rsidR="004E6D1F" w:rsidRDefault="004E6D1F" w:rsidP="0083643C">
      <w:pPr>
        <w:pStyle w:val="a4"/>
        <w:numPr>
          <w:ilvl w:val="0"/>
          <w:numId w:val="14"/>
        </w:numPr>
        <w:spacing w:line="360" w:lineRule="auto"/>
        <w:ind w:left="0" w:firstLine="709"/>
        <w:jc w:val="both"/>
        <w:rPr>
          <w:sz w:val="28"/>
          <w:szCs w:val="28"/>
        </w:rPr>
      </w:pPr>
      <w:r w:rsidRPr="0008457B">
        <w:rPr>
          <w:sz w:val="28"/>
          <w:szCs w:val="28"/>
        </w:rPr>
        <w:t>Культурное наследие народов России: народное искусство, сохранение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w:t>
      </w:r>
    </w:p>
    <w:p w14:paraId="32D38770" w14:textId="77777777" w:rsidR="004E6D1F" w:rsidRDefault="004E6D1F" w:rsidP="0083643C">
      <w:pPr>
        <w:pStyle w:val="a4"/>
        <w:numPr>
          <w:ilvl w:val="0"/>
          <w:numId w:val="14"/>
        </w:numPr>
        <w:spacing w:line="360" w:lineRule="auto"/>
        <w:ind w:left="0" w:firstLine="709"/>
        <w:jc w:val="both"/>
        <w:rPr>
          <w:sz w:val="28"/>
          <w:szCs w:val="28"/>
        </w:rPr>
      </w:pPr>
      <w:r w:rsidRPr="0008457B">
        <w:rPr>
          <w:sz w:val="28"/>
          <w:szCs w:val="28"/>
        </w:rPr>
        <w:t>Десятилетие детства. Семья, дети, их защита и поддержка;</w:t>
      </w:r>
    </w:p>
    <w:p w14:paraId="77FFA68E" w14:textId="77777777" w:rsidR="004E6D1F" w:rsidRPr="0008457B" w:rsidRDefault="004E6D1F" w:rsidP="0083643C">
      <w:pPr>
        <w:pStyle w:val="a4"/>
        <w:numPr>
          <w:ilvl w:val="0"/>
          <w:numId w:val="14"/>
        </w:numPr>
        <w:spacing w:line="360" w:lineRule="auto"/>
        <w:ind w:left="0" w:firstLine="709"/>
        <w:jc w:val="both"/>
        <w:rPr>
          <w:sz w:val="28"/>
          <w:szCs w:val="28"/>
        </w:rPr>
      </w:pPr>
      <w:r w:rsidRPr="0008457B">
        <w:rPr>
          <w:sz w:val="28"/>
          <w:szCs w:val="28"/>
        </w:rPr>
        <w:t>Культура России. Сохранение, создание и распространение традиционных ценностей.</w:t>
      </w:r>
    </w:p>
    <w:p w14:paraId="25A591BE" w14:textId="4FD40D76" w:rsidR="004E6D1F" w:rsidRPr="001E614B" w:rsidRDefault="004E6D1F" w:rsidP="0083643C">
      <w:pPr>
        <w:spacing w:line="360" w:lineRule="auto"/>
        <w:ind w:firstLine="709"/>
        <w:contextualSpacing/>
        <w:jc w:val="both"/>
        <w:rPr>
          <w:sz w:val="28"/>
          <w:szCs w:val="28"/>
        </w:rPr>
      </w:pPr>
      <w:r w:rsidRPr="001E614B">
        <w:rPr>
          <w:sz w:val="28"/>
          <w:szCs w:val="28"/>
        </w:rPr>
        <w:t>Таким образом, Министерство утвердило в феврале приоритетные темы, требующие финансовой поддержке, но в сентябрьском Бюджете их нет.</w:t>
      </w:r>
      <w:r>
        <w:rPr>
          <w:sz w:val="28"/>
          <w:szCs w:val="28"/>
        </w:rPr>
        <w:t xml:space="preserve"> </w:t>
      </w:r>
      <w:r w:rsidRPr="001E614B">
        <w:rPr>
          <w:spacing w:val="-1"/>
          <w:sz w:val="28"/>
          <w:szCs w:val="20"/>
        </w:rPr>
        <w:t xml:space="preserve">Предусмотренные в Законопроекте объемы бюджетных ассигнований по сравнению с объемами, утвержденными Законом № 390-ФЗ, увеличены в 2023 году на 9 790,2 </w:t>
      </w:r>
      <w:proofErr w:type="gramStart"/>
      <w:r w:rsidR="00E40C69">
        <w:rPr>
          <w:spacing w:val="-1"/>
          <w:sz w:val="28"/>
          <w:szCs w:val="20"/>
        </w:rPr>
        <w:t>млн</w:t>
      </w:r>
      <w:proofErr w:type="gramEnd"/>
      <w:r>
        <w:rPr>
          <w:spacing w:val="-1"/>
          <w:sz w:val="28"/>
          <w:szCs w:val="20"/>
        </w:rPr>
        <w:t xml:space="preserve"> руб.</w:t>
      </w:r>
      <w:r w:rsidRPr="001E614B">
        <w:rPr>
          <w:spacing w:val="-1"/>
          <w:sz w:val="28"/>
          <w:szCs w:val="20"/>
        </w:rPr>
        <w:t xml:space="preserve">, в 2024 году на 10 030,0 </w:t>
      </w:r>
      <w:r w:rsidR="00E40C69">
        <w:rPr>
          <w:spacing w:val="-1"/>
          <w:sz w:val="28"/>
          <w:szCs w:val="20"/>
        </w:rPr>
        <w:t>млн</w:t>
      </w:r>
      <w:r>
        <w:rPr>
          <w:spacing w:val="-1"/>
          <w:sz w:val="28"/>
          <w:szCs w:val="20"/>
        </w:rPr>
        <w:t xml:space="preserve"> руб.</w:t>
      </w:r>
      <w:r w:rsidRPr="001E614B">
        <w:rPr>
          <w:spacing w:val="-1"/>
          <w:sz w:val="28"/>
          <w:szCs w:val="20"/>
        </w:rPr>
        <w:t xml:space="preserve">, </w:t>
      </w:r>
      <w:r w:rsidRPr="001E614B">
        <w:rPr>
          <w:spacing w:val="-1"/>
          <w:sz w:val="28"/>
          <w:szCs w:val="20"/>
        </w:rPr>
        <w:br/>
        <w:t xml:space="preserve">в 2025 году </w:t>
      </w:r>
      <w:r w:rsidRPr="001E614B">
        <w:rPr>
          <w:sz w:val="28"/>
          <w:szCs w:val="28"/>
        </w:rPr>
        <w:t xml:space="preserve">по сравнению с показателями объема соответствующих расходов, установленных Бюджетным прогнозом, уменьшены на 6 821,7 </w:t>
      </w:r>
      <w:r w:rsidR="00E40C69">
        <w:rPr>
          <w:sz w:val="28"/>
          <w:szCs w:val="28"/>
        </w:rPr>
        <w:t>млн</w:t>
      </w:r>
      <w:r>
        <w:rPr>
          <w:sz w:val="28"/>
          <w:szCs w:val="28"/>
        </w:rPr>
        <w:t xml:space="preserve"> руб</w:t>
      </w:r>
      <w:r w:rsidRPr="001E614B">
        <w:rPr>
          <w:sz w:val="28"/>
          <w:szCs w:val="28"/>
        </w:rPr>
        <w:t>.</w:t>
      </w:r>
    </w:p>
    <w:p w14:paraId="0FE40A4D" w14:textId="3A6BF614" w:rsidR="006628AE" w:rsidRDefault="006628AE" w:rsidP="0083643C">
      <w:pPr>
        <w:spacing w:line="360" w:lineRule="auto"/>
        <w:ind w:firstLine="360"/>
        <w:jc w:val="both"/>
        <w:rPr>
          <w:b/>
          <w:sz w:val="28"/>
          <w:szCs w:val="28"/>
        </w:rPr>
      </w:pPr>
    </w:p>
    <w:p w14:paraId="639899F9" w14:textId="6CB3AAF7" w:rsidR="008F475D" w:rsidRPr="008F475D" w:rsidRDefault="008F475D" w:rsidP="0096730A">
      <w:pPr>
        <w:pStyle w:val="a4"/>
        <w:numPr>
          <w:ilvl w:val="0"/>
          <w:numId w:val="19"/>
        </w:numPr>
        <w:spacing w:after="160" w:line="259" w:lineRule="auto"/>
        <w:ind w:left="426"/>
        <w:jc w:val="both"/>
        <w:outlineLvl w:val="0"/>
        <w:rPr>
          <w:b/>
          <w:sz w:val="28"/>
          <w:szCs w:val="20"/>
        </w:rPr>
      </w:pPr>
      <w:bookmarkStart w:id="9" w:name="_Toc116561836"/>
      <w:r w:rsidRPr="008F475D">
        <w:rPr>
          <w:b/>
          <w:sz w:val="28"/>
          <w:szCs w:val="20"/>
        </w:rPr>
        <w:t xml:space="preserve">Раздел «Национальная оборона» в структуре </w:t>
      </w:r>
      <w:r w:rsidR="0013768E">
        <w:rPr>
          <w:b/>
          <w:sz w:val="28"/>
          <w:szCs w:val="20"/>
        </w:rPr>
        <w:t xml:space="preserve">Проекта </w:t>
      </w:r>
      <w:r w:rsidRPr="008F475D">
        <w:rPr>
          <w:b/>
          <w:sz w:val="28"/>
          <w:szCs w:val="20"/>
        </w:rPr>
        <w:t>расходов федерального бюджета на 2023 год и на плановый период 2024 и 2025 годов</w:t>
      </w:r>
      <w:bookmarkEnd w:id="9"/>
    </w:p>
    <w:p w14:paraId="3D659EB8" w14:textId="1C6138B0" w:rsidR="004E6D1F" w:rsidRDefault="004E6D1F" w:rsidP="004A457A">
      <w:pPr>
        <w:ind w:firstLine="360"/>
        <w:jc w:val="both"/>
        <w:rPr>
          <w:b/>
          <w:sz w:val="28"/>
          <w:szCs w:val="28"/>
        </w:rPr>
      </w:pPr>
    </w:p>
    <w:p w14:paraId="63C16CB6" w14:textId="7EE100AC" w:rsidR="008F475D" w:rsidRDefault="008F475D" w:rsidP="0083643C">
      <w:pPr>
        <w:spacing w:line="360" w:lineRule="auto"/>
        <w:ind w:firstLine="567"/>
        <w:jc w:val="both"/>
        <w:rPr>
          <w:sz w:val="28"/>
          <w:szCs w:val="28"/>
        </w:rPr>
      </w:pPr>
      <w:r>
        <w:rPr>
          <w:sz w:val="28"/>
          <w:szCs w:val="28"/>
        </w:rPr>
        <w:t xml:space="preserve">В течение всего пандемического кризиса </w:t>
      </w:r>
      <w:r w:rsidRPr="00532E47">
        <w:rPr>
          <w:sz w:val="28"/>
          <w:szCs w:val="28"/>
        </w:rPr>
        <w:t>Росси</w:t>
      </w:r>
      <w:r>
        <w:rPr>
          <w:sz w:val="28"/>
          <w:szCs w:val="28"/>
        </w:rPr>
        <w:t>я</w:t>
      </w:r>
      <w:r w:rsidRPr="00532E47">
        <w:rPr>
          <w:sz w:val="28"/>
          <w:szCs w:val="28"/>
        </w:rPr>
        <w:t xml:space="preserve"> продолжала оставаться одним из немногих государств, которые продолжают наращивать военную мощь в </w:t>
      </w:r>
      <w:r>
        <w:rPr>
          <w:sz w:val="28"/>
          <w:szCs w:val="28"/>
        </w:rPr>
        <w:t>усло</w:t>
      </w:r>
      <w:r w:rsidR="00C5374A">
        <w:rPr>
          <w:sz w:val="28"/>
          <w:szCs w:val="28"/>
        </w:rPr>
        <w:t>в</w:t>
      </w:r>
      <w:r>
        <w:rPr>
          <w:sz w:val="28"/>
          <w:szCs w:val="28"/>
        </w:rPr>
        <w:t>иях</w:t>
      </w:r>
      <w:r w:rsidRPr="00532E47">
        <w:rPr>
          <w:sz w:val="28"/>
          <w:szCs w:val="28"/>
        </w:rPr>
        <w:t xml:space="preserve"> экономического спада.</w:t>
      </w:r>
    </w:p>
    <w:p w14:paraId="135DD939" w14:textId="1B82AC73" w:rsidR="008F475D" w:rsidRPr="00532E47" w:rsidRDefault="008F475D" w:rsidP="0083643C">
      <w:pPr>
        <w:spacing w:line="360" w:lineRule="auto"/>
        <w:ind w:firstLine="567"/>
        <w:jc w:val="both"/>
        <w:rPr>
          <w:sz w:val="28"/>
          <w:szCs w:val="28"/>
        </w:rPr>
      </w:pPr>
      <w:r w:rsidRPr="00532E47">
        <w:rPr>
          <w:sz w:val="28"/>
          <w:szCs w:val="28"/>
        </w:rPr>
        <w:t>Военной отрасли уделяется большое внимание и выделяется значительные средства из федерального бюджета.</w:t>
      </w:r>
      <w:r w:rsidR="00C5374A">
        <w:rPr>
          <w:sz w:val="28"/>
          <w:szCs w:val="28"/>
        </w:rPr>
        <w:t xml:space="preserve"> </w:t>
      </w:r>
      <w:proofErr w:type="gramStart"/>
      <w:r w:rsidRPr="00532E47">
        <w:rPr>
          <w:sz w:val="28"/>
          <w:szCs w:val="28"/>
        </w:rPr>
        <w:t>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w:t>
      </w:r>
      <w:proofErr w:type="gramEnd"/>
      <w:r w:rsidRPr="00532E47">
        <w:rPr>
          <w:sz w:val="28"/>
          <w:szCs w:val="28"/>
        </w:rPr>
        <w:t xml:space="preserve"> другие вопросы в области национальной обороны.</w:t>
      </w:r>
    </w:p>
    <w:p w14:paraId="12632C23" w14:textId="77777777" w:rsidR="008F475D" w:rsidRPr="00532E47" w:rsidRDefault="008F475D" w:rsidP="0083643C">
      <w:pPr>
        <w:spacing w:line="360" w:lineRule="auto"/>
        <w:ind w:firstLine="567"/>
        <w:jc w:val="both"/>
        <w:rPr>
          <w:sz w:val="28"/>
          <w:szCs w:val="28"/>
        </w:rPr>
      </w:pPr>
      <w:r w:rsidRPr="00532E47">
        <w:rPr>
          <w:sz w:val="28"/>
          <w:szCs w:val="28"/>
        </w:rPr>
        <w:t xml:space="preserve">Расходы федерального бюджета на оборону в 2021 году впервые за семь лет опустились ниже расходов по разделу «Национальная экономика». В </w:t>
      </w:r>
      <w:proofErr w:type="gramStart"/>
      <w:r w:rsidRPr="00532E47">
        <w:rPr>
          <w:sz w:val="28"/>
          <w:szCs w:val="28"/>
        </w:rPr>
        <w:t>отношении</w:t>
      </w:r>
      <w:proofErr w:type="gramEnd"/>
      <w:r w:rsidRPr="00532E47">
        <w:rPr>
          <w:sz w:val="28"/>
          <w:szCs w:val="28"/>
        </w:rPr>
        <w:t xml:space="preserve"> к ВВП оборонные расходы сократились до минимума с 2011 года.</w:t>
      </w:r>
    </w:p>
    <w:p w14:paraId="01A0F8AF" w14:textId="77777777" w:rsidR="008F475D" w:rsidRPr="00532E47" w:rsidRDefault="008F475D" w:rsidP="0083643C">
      <w:pPr>
        <w:spacing w:line="360" w:lineRule="auto"/>
        <w:ind w:firstLine="567"/>
        <w:jc w:val="both"/>
        <w:rPr>
          <w:sz w:val="28"/>
          <w:szCs w:val="28"/>
        </w:rPr>
      </w:pPr>
      <w:r w:rsidRPr="00532E47">
        <w:rPr>
          <w:sz w:val="28"/>
          <w:szCs w:val="28"/>
        </w:rPr>
        <w:t xml:space="preserve">В 2021 году расходы федерального бюджета по функциональному разделу «Национальная оборона» впервые с 2014 года опустятся ниже расходов по разделу «Национальная экономика». В 2021 году ассигнования на оборону планировались в объеме 3,11 </w:t>
      </w:r>
      <w:proofErr w:type="gramStart"/>
      <w:r w:rsidRPr="00532E47">
        <w:rPr>
          <w:sz w:val="28"/>
          <w:szCs w:val="28"/>
        </w:rPr>
        <w:t>трлн</w:t>
      </w:r>
      <w:proofErr w:type="gramEnd"/>
      <w:r w:rsidRPr="00532E47">
        <w:rPr>
          <w:sz w:val="28"/>
          <w:szCs w:val="28"/>
        </w:rPr>
        <w:t xml:space="preserve"> рублей (14,5% от общих расходов бюджета), национальную экономику – 3,37 трлн рублей (15,7%). Стоит отметить, что в плановом периоде на 2021 год по разделу «Национальная экономика» было запланировано выделение средств на 400 </w:t>
      </w:r>
      <w:proofErr w:type="gramStart"/>
      <w:r w:rsidRPr="00532E47">
        <w:rPr>
          <w:sz w:val="28"/>
          <w:szCs w:val="28"/>
        </w:rPr>
        <w:t>млрд</w:t>
      </w:r>
      <w:proofErr w:type="gramEnd"/>
      <w:r w:rsidRPr="00532E47">
        <w:rPr>
          <w:sz w:val="28"/>
          <w:szCs w:val="28"/>
        </w:rPr>
        <w:t xml:space="preserve"> рублей. меньше, чем по разделу «Национальная оборона», однако в проекте бюджета на 2021 год и плановый период данный показатель был увеличен на полтриллиона рублей. Расходы на оборону, в свою очередь, в 2021 году сократились более чем на 100 </w:t>
      </w:r>
      <w:proofErr w:type="gramStart"/>
      <w:r w:rsidRPr="00532E47">
        <w:rPr>
          <w:sz w:val="28"/>
          <w:szCs w:val="28"/>
        </w:rPr>
        <w:t>млрд</w:t>
      </w:r>
      <w:proofErr w:type="gramEnd"/>
      <w:r w:rsidRPr="00532E47">
        <w:rPr>
          <w:sz w:val="28"/>
          <w:szCs w:val="28"/>
        </w:rPr>
        <w:t xml:space="preserve"> рублей к плановым расходам и почти на 200 млрд рублей по сравнению с 2020 годом. В </w:t>
      </w:r>
      <w:proofErr w:type="gramStart"/>
      <w:r w:rsidRPr="00532E47">
        <w:rPr>
          <w:sz w:val="28"/>
          <w:szCs w:val="28"/>
        </w:rPr>
        <w:t>отношении</w:t>
      </w:r>
      <w:proofErr w:type="gramEnd"/>
      <w:r w:rsidRPr="00532E47">
        <w:rPr>
          <w:sz w:val="28"/>
          <w:szCs w:val="28"/>
        </w:rPr>
        <w:t xml:space="preserve"> к ВВП бюджет национальной обороны в следующем году составит 2,7% – минимум с 2011 года.</w:t>
      </w:r>
    </w:p>
    <w:p w14:paraId="17710D5F" w14:textId="77777777" w:rsidR="008F475D" w:rsidRPr="00532E47" w:rsidRDefault="008F475D" w:rsidP="0083643C">
      <w:pPr>
        <w:spacing w:line="360" w:lineRule="auto"/>
        <w:ind w:firstLine="567"/>
        <w:jc w:val="both"/>
        <w:rPr>
          <w:sz w:val="28"/>
          <w:szCs w:val="28"/>
        </w:rPr>
      </w:pPr>
      <w:r w:rsidRPr="00532E47">
        <w:rPr>
          <w:sz w:val="28"/>
          <w:szCs w:val="28"/>
        </w:rPr>
        <w:t xml:space="preserve">Но уже к 2022 году ситуация выправилась и раздел «Национальная оборона» вновь вернул себе второе место по расходам федерального бюджета в финансовом эквиваленте, составив 3,5 </w:t>
      </w:r>
      <w:proofErr w:type="gramStart"/>
      <w:r w:rsidRPr="00532E47">
        <w:rPr>
          <w:sz w:val="28"/>
          <w:szCs w:val="28"/>
        </w:rPr>
        <w:t>трлн</w:t>
      </w:r>
      <w:proofErr w:type="gramEnd"/>
      <w:r w:rsidRPr="00532E47">
        <w:rPr>
          <w:sz w:val="28"/>
          <w:szCs w:val="28"/>
        </w:rPr>
        <w:t xml:space="preserve"> рублей, однако в отношении к ВВП процент продолжил падать – до 2,6% в 2022 и 2,5% в плановом периоде на 2023 и 2024 годы.</w:t>
      </w:r>
    </w:p>
    <w:p w14:paraId="671AA70A" w14:textId="53159718" w:rsidR="008F475D" w:rsidRDefault="008F475D" w:rsidP="0083643C">
      <w:pPr>
        <w:spacing w:line="360" w:lineRule="auto"/>
        <w:ind w:firstLine="567"/>
        <w:jc w:val="both"/>
        <w:rPr>
          <w:sz w:val="28"/>
          <w:szCs w:val="28"/>
        </w:rPr>
      </w:pPr>
      <w:proofErr w:type="gramStart"/>
      <w:r w:rsidRPr="00532E47">
        <w:rPr>
          <w:sz w:val="28"/>
          <w:szCs w:val="28"/>
        </w:rPr>
        <w:t>В такой ситуации бюджетирование подошло к 2022 году, но обострившаяся геополитическая обстановка, значительные расходы на проведение специальной военной операции заставили финансовый блок правительства существенно пересмотреть статью расходов на оборону не только на последующие года, но и на текущий 2022 год.</w:t>
      </w:r>
      <w:proofErr w:type="gramEnd"/>
      <w:r w:rsidRPr="00532E47">
        <w:rPr>
          <w:sz w:val="28"/>
          <w:szCs w:val="28"/>
        </w:rPr>
        <w:t xml:space="preserve"> В Таблице</w:t>
      </w:r>
      <w:r w:rsidR="00901ACF">
        <w:rPr>
          <w:sz w:val="28"/>
          <w:szCs w:val="28"/>
        </w:rPr>
        <w:t xml:space="preserve"> 22</w:t>
      </w:r>
      <w:r w:rsidRPr="00532E47">
        <w:rPr>
          <w:sz w:val="28"/>
          <w:szCs w:val="28"/>
        </w:rPr>
        <w:t xml:space="preserve"> показаны расходы федерального бюджета в 2023-2025 годах по разделу «Национальная оборона».</w:t>
      </w:r>
    </w:p>
    <w:p w14:paraId="2228A0C0" w14:textId="77777777" w:rsidR="00113939" w:rsidRPr="00532E47" w:rsidRDefault="00113939" w:rsidP="0083643C">
      <w:pPr>
        <w:spacing w:line="360" w:lineRule="auto"/>
        <w:ind w:firstLine="567"/>
        <w:jc w:val="both"/>
        <w:rPr>
          <w:sz w:val="28"/>
          <w:szCs w:val="28"/>
        </w:rPr>
      </w:pPr>
    </w:p>
    <w:p w14:paraId="04871273" w14:textId="38114621" w:rsidR="008F475D" w:rsidRPr="00113939" w:rsidRDefault="008F475D" w:rsidP="00113939">
      <w:pPr>
        <w:spacing w:line="276" w:lineRule="auto"/>
        <w:jc w:val="both"/>
        <w:rPr>
          <w:bCs/>
          <w:sz w:val="28"/>
          <w:szCs w:val="28"/>
        </w:rPr>
      </w:pPr>
      <w:r w:rsidRPr="00113939">
        <w:rPr>
          <w:bCs/>
          <w:sz w:val="28"/>
          <w:szCs w:val="28"/>
        </w:rPr>
        <w:t>Таблица</w:t>
      </w:r>
      <w:r w:rsidR="00A72021" w:rsidRPr="00113939">
        <w:rPr>
          <w:bCs/>
          <w:sz w:val="28"/>
          <w:szCs w:val="28"/>
        </w:rPr>
        <w:t xml:space="preserve"> 2</w:t>
      </w:r>
      <w:r w:rsidR="00901ACF">
        <w:rPr>
          <w:bCs/>
          <w:sz w:val="28"/>
          <w:szCs w:val="28"/>
        </w:rPr>
        <w:t>2</w:t>
      </w:r>
      <w:r w:rsidR="00113939" w:rsidRPr="00113939">
        <w:rPr>
          <w:bCs/>
          <w:sz w:val="28"/>
          <w:szCs w:val="28"/>
        </w:rPr>
        <w:t xml:space="preserve"> -</w:t>
      </w:r>
      <w:r w:rsidR="00A72021" w:rsidRPr="00113939">
        <w:rPr>
          <w:bCs/>
          <w:sz w:val="28"/>
          <w:szCs w:val="28"/>
        </w:rPr>
        <w:t xml:space="preserve"> </w:t>
      </w:r>
      <w:r w:rsidRPr="00113939">
        <w:rPr>
          <w:bCs/>
          <w:sz w:val="28"/>
          <w:szCs w:val="28"/>
        </w:rPr>
        <w:t>Расходы федерального бюджета в 2023-2025 годах по разделу «Национальная оборона»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754"/>
        <w:gridCol w:w="576"/>
        <w:gridCol w:w="607"/>
        <w:gridCol w:w="858"/>
        <w:gridCol w:w="576"/>
        <w:gridCol w:w="607"/>
        <w:gridCol w:w="802"/>
        <w:gridCol w:w="928"/>
        <w:gridCol w:w="607"/>
        <w:gridCol w:w="1085"/>
      </w:tblGrid>
      <w:tr w:rsidR="008F475D" w:rsidRPr="00B45516" w14:paraId="15ECA36B" w14:textId="77777777" w:rsidTr="00113939">
        <w:trPr>
          <w:trHeight w:val="190"/>
          <w:tblHeader/>
        </w:trPr>
        <w:tc>
          <w:tcPr>
            <w:tcW w:w="1134" w:type="pct"/>
            <w:vMerge w:val="restart"/>
            <w:shd w:val="clear" w:color="auto" w:fill="auto"/>
            <w:vAlign w:val="center"/>
          </w:tcPr>
          <w:p w14:paraId="4CDB7F79" w14:textId="77777777" w:rsidR="008F475D" w:rsidRPr="00B45516" w:rsidRDefault="008F475D">
            <w:pPr>
              <w:spacing w:line="276" w:lineRule="auto"/>
              <w:jc w:val="center"/>
              <w:rPr>
                <w:b/>
                <w:sz w:val="16"/>
                <w:szCs w:val="16"/>
              </w:rPr>
            </w:pPr>
            <w:r w:rsidRPr="00B45516">
              <w:rPr>
                <w:b/>
                <w:sz w:val="16"/>
                <w:szCs w:val="16"/>
              </w:rPr>
              <w:t>Наименования разделов</w:t>
            </w:r>
          </w:p>
        </w:tc>
        <w:tc>
          <w:tcPr>
            <w:tcW w:w="394" w:type="pct"/>
            <w:vMerge w:val="restart"/>
            <w:shd w:val="clear" w:color="auto" w:fill="auto"/>
            <w:tcMar>
              <w:left w:w="57" w:type="dxa"/>
              <w:right w:w="57" w:type="dxa"/>
            </w:tcMar>
            <w:vAlign w:val="center"/>
          </w:tcPr>
          <w:p w14:paraId="1BB6198E" w14:textId="77777777" w:rsidR="008F475D" w:rsidRPr="00B45516" w:rsidRDefault="008F475D">
            <w:pPr>
              <w:spacing w:line="276" w:lineRule="auto"/>
              <w:ind w:hanging="55"/>
              <w:jc w:val="center"/>
              <w:rPr>
                <w:b/>
                <w:spacing w:val="-8"/>
                <w:sz w:val="16"/>
                <w:szCs w:val="16"/>
              </w:rPr>
            </w:pPr>
            <w:r w:rsidRPr="00B45516">
              <w:rPr>
                <w:b/>
                <w:spacing w:val="-8"/>
                <w:sz w:val="16"/>
                <w:szCs w:val="16"/>
              </w:rPr>
              <w:t>2022 год</w:t>
            </w:r>
            <w:r w:rsidRPr="00B45516">
              <w:rPr>
                <w:b/>
                <w:spacing w:val="-8"/>
                <w:sz w:val="16"/>
                <w:szCs w:val="16"/>
              </w:rPr>
              <w:br/>
              <w:t>(оценка*)</w:t>
            </w:r>
          </w:p>
        </w:tc>
        <w:tc>
          <w:tcPr>
            <w:tcW w:w="1066" w:type="pct"/>
            <w:gridSpan w:val="3"/>
            <w:shd w:val="clear" w:color="auto" w:fill="auto"/>
            <w:vAlign w:val="center"/>
          </w:tcPr>
          <w:p w14:paraId="33FF12D6" w14:textId="77777777" w:rsidR="008F475D" w:rsidRPr="00B45516" w:rsidRDefault="008F475D">
            <w:pPr>
              <w:spacing w:line="276" w:lineRule="auto"/>
              <w:ind w:left="-51" w:hanging="4"/>
              <w:jc w:val="center"/>
              <w:rPr>
                <w:b/>
                <w:sz w:val="16"/>
                <w:szCs w:val="16"/>
              </w:rPr>
            </w:pPr>
            <w:r w:rsidRPr="00B45516">
              <w:rPr>
                <w:b/>
                <w:sz w:val="16"/>
                <w:szCs w:val="16"/>
              </w:rPr>
              <w:t>2023 год</w:t>
            </w:r>
          </w:p>
        </w:tc>
        <w:tc>
          <w:tcPr>
            <w:tcW w:w="1036" w:type="pct"/>
            <w:gridSpan w:val="3"/>
            <w:vAlign w:val="center"/>
          </w:tcPr>
          <w:p w14:paraId="5B8262B3" w14:textId="77777777" w:rsidR="008F475D" w:rsidRPr="00B45516" w:rsidRDefault="008F475D">
            <w:pPr>
              <w:spacing w:line="276" w:lineRule="auto"/>
              <w:ind w:hanging="55"/>
              <w:jc w:val="center"/>
              <w:rPr>
                <w:b/>
                <w:sz w:val="16"/>
                <w:szCs w:val="16"/>
              </w:rPr>
            </w:pPr>
            <w:r w:rsidRPr="00B45516">
              <w:rPr>
                <w:b/>
                <w:sz w:val="16"/>
                <w:szCs w:val="16"/>
              </w:rPr>
              <w:t>2024 год</w:t>
            </w:r>
          </w:p>
        </w:tc>
        <w:tc>
          <w:tcPr>
            <w:tcW w:w="1369" w:type="pct"/>
            <w:gridSpan w:val="3"/>
          </w:tcPr>
          <w:p w14:paraId="34114764" w14:textId="77777777" w:rsidR="008F475D" w:rsidRPr="00B45516" w:rsidRDefault="008F475D">
            <w:pPr>
              <w:spacing w:line="276" w:lineRule="auto"/>
              <w:ind w:hanging="55"/>
              <w:jc w:val="center"/>
              <w:rPr>
                <w:b/>
                <w:sz w:val="16"/>
                <w:szCs w:val="16"/>
              </w:rPr>
            </w:pPr>
            <w:r w:rsidRPr="00B45516">
              <w:rPr>
                <w:b/>
                <w:sz w:val="16"/>
                <w:szCs w:val="16"/>
              </w:rPr>
              <w:t>2025 год</w:t>
            </w:r>
          </w:p>
        </w:tc>
      </w:tr>
      <w:tr w:rsidR="008F475D" w:rsidRPr="00B45516" w14:paraId="6781A0F5" w14:textId="77777777" w:rsidTr="00113939">
        <w:trPr>
          <w:trHeight w:val="190"/>
          <w:tblHeader/>
        </w:trPr>
        <w:tc>
          <w:tcPr>
            <w:tcW w:w="1134" w:type="pct"/>
            <w:vMerge/>
            <w:shd w:val="clear" w:color="auto" w:fill="auto"/>
            <w:vAlign w:val="center"/>
          </w:tcPr>
          <w:p w14:paraId="3245FC6A" w14:textId="77777777" w:rsidR="008F475D" w:rsidRPr="00B45516" w:rsidRDefault="008F475D">
            <w:pPr>
              <w:spacing w:line="276" w:lineRule="auto"/>
              <w:rPr>
                <w:b/>
                <w:sz w:val="16"/>
                <w:szCs w:val="16"/>
              </w:rPr>
            </w:pPr>
          </w:p>
        </w:tc>
        <w:tc>
          <w:tcPr>
            <w:tcW w:w="394" w:type="pct"/>
            <w:vMerge/>
            <w:shd w:val="clear" w:color="auto" w:fill="auto"/>
            <w:vAlign w:val="center"/>
          </w:tcPr>
          <w:p w14:paraId="41F13F5B" w14:textId="77777777" w:rsidR="008F475D" w:rsidRPr="00B45516" w:rsidRDefault="008F475D">
            <w:pPr>
              <w:spacing w:line="276" w:lineRule="auto"/>
              <w:jc w:val="center"/>
              <w:rPr>
                <w:b/>
                <w:sz w:val="16"/>
                <w:szCs w:val="16"/>
              </w:rPr>
            </w:pPr>
          </w:p>
        </w:tc>
        <w:tc>
          <w:tcPr>
            <w:tcW w:w="301" w:type="pct"/>
            <w:shd w:val="clear" w:color="auto" w:fill="auto"/>
            <w:tcMar>
              <w:left w:w="28" w:type="dxa"/>
              <w:right w:w="28" w:type="dxa"/>
            </w:tcMar>
            <w:vAlign w:val="center"/>
          </w:tcPr>
          <w:p w14:paraId="5F185F85" w14:textId="77777777" w:rsidR="008F475D" w:rsidRPr="00B45516" w:rsidRDefault="008F475D">
            <w:pPr>
              <w:spacing w:line="276" w:lineRule="auto"/>
              <w:jc w:val="center"/>
              <w:rPr>
                <w:rFonts w:cs="Arial"/>
                <w:b/>
                <w:spacing w:val="-8"/>
                <w:kern w:val="24"/>
                <w:sz w:val="16"/>
                <w:szCs w:val="16"/>
              </w:rPr>
            </w:pPr>
            <w:r w:rsidRPr="00B45516">
              <w:rPr>
                <w:rFonts w:cs="Arial"/>
                <w:b/>
                <w:spacing w:val="-8"/>
                <w:kern w:val="24"/>
                <w:sz w:val="16"/>
                <w:szCs w:val="16"/>
              </w:rPr>
              <w:t xml:space="preserve">Закон </w:t>
            </w:r>
          </w:p>
          <w:p w14:paraId="45156CE0" w14:textId="77777777" w:rsidR="008F475D" w:rsidRPr="00B45516" w:rsidRDefault="008F475D">
            <w:pPr>
              <w:spacing w:line="276" w:lineRule="auto"/>
              <w:jc w:val="center"/>
              <w:rPr>
                <w:b/>
                <w:spacing w:val="-8"/>
                <w:sz w:val="16"/>
                <w:szCs w:val="16"/>
              </w:rPr>
            </w:pPr>
            <w:r w:rsidRPr="00B45516">
              <w:rPr>
                <w:rFonts w:cs="Arial"/>
                <w:b/>
                <w:spacing w:val="-8"/>
                <w:kern w:val="24"/>
                <w:sz w:val="16"/>
                <w:szCs w:val="16"/>
              </w:rPr>
              <w:t>№ 390-ФЗ</w:t>
            </w:r>
          </w:p>
        </w:tc>
        <w:tc>
          <w:tcPr>
            <w:tcW w:w="317" w:type="pct"/>
            <w:shd w:val="clear" w:color="auto" w:fill="auto"/>
            <w:tcMar>
              <w:left w:w="28" w:type="dxa"/>
              <w:right w:w="28" w:type="dxa"/>
            </w:tcMar>
            <w:vAlign w:val="center"/>
          </w:tcPr>
          <w:p w14:paraId="61FE9501" w14:textId="77777777" w:rsidR="008F475D" w:rsidRPr="00B45516" w:rsidRDefault="008F475D">
            <w:pPr>
              <w:spacing w:line="276" w:lineRule="auto"/>
              <w:jc w:val="center"/>
              <w:rPr>
                <w:b/>
                <w:spacing w:val="-8"/>
                <w:sz w:val="16"/>
                <w:szCs w:val="16"/>
              </w:rPr>
            </w:pPr>
            <w:proofErr w:type="spellStart"/>
            <w:proofErr w:type="gramStart"/>
            <w:r w:rsidRPr="00B45516">
              <w:rPr>
                <w:rFonts w:cs="Arial"/>
                <w:b/>
                <w:spacing w:val="-8"/>
                <w:kern w:val="24"/>
                <w:sz w:val="16"/>
                <w:szCs w:val="16"/>
              </w:rPr>
              <w:t>Законо</w:t>
            </w:r>
            <w:proofErr w:type="spellEnd"/>
            <w:r w:rsidRPr="00B45516">
              <w:rPr>
                <w:rFonts w:cs="Arial"/>
                <w:b/>
                <w:spacing w:val="-8"/>
                <w:kern w:val="24"/>
                <w:sz w:val="16"/>
                <w:szCs w:val="16"/>
              </w:rPr>
              <w:t>-проект</w:t>
            </w:r>
            <w:proofErr w:type="gramEnd"/>
          </w:p>
        </w:tc>
        <w:tc>
          <w:tcPr>
            <w:tcW w:w="448" w:type="pct"/>
            <w:tcMar>
              <w:left w:w="28" w:type="dxa"/>
              <w:right w:w="28" w:type="dxa"/>
            </w:tcMar>
            <w:vAlign w:val="center"/>
          </w:tcPr>
          <w:p w14:paraId="7EA73A13" w14:textId="77777777" w:rsidR="008F475D" w:rsidRPr="00B45516" w:rsidRDefault="008F475D">
            <w:pPr>
              <w:spacing w:line="276" w:lineRule="auto"/>
              <w:jc w:val="center"/>
              <w:rPr>
                <w:b/>
                <w:spacing w:val="-8"/>
                <w:sz w:val="16"/>
                <w:szCs w:val="16"/>
              </w:rPr>
            </w:pPr>
            <w:r w:rsidRPr="00B45516">
              <w:rPr>
                <w:b/>
                <w:spacing w:val="-8"/>
                <w:sz w:val="16"/>
                <w:szCs w:val="16"/>
              </w:rPr>
              <w:t>Δ к закону, %</w:t>
            </w:r>
          </w:p>
        </w:tc>
        <w:tc>
          <w:tcPr>
            <w:tcW w:w="301" w:type="pct"/>
            <w:tcMar>
              <w:left w:w="28" w:type="dxa"/>
              <w:right w:w="28" w:type="dxa"/>
            </w:tcMar>
            <w:vAlign w:val="center"/>
          </w:tcPr>
          <w:p w14:paraId="706BEEA0" w14:textId="77777777" w:rsidR="008F475D" w:rsidRPr="00B45516" w:rsidRDefault="008F475D">
            <w:pPr>
              <w:spacing w:line="276" w:lineRule="auto"/>
              <w:jc w:val="center"/>
              <w:rPr>
                <w:rFonts w:cs="Arial"/>
                <w:b/>
                <w:spacing w:val="-8"/>
                <w:kern w:val="24"/>
                <w:sz w:val="16"/>
                <w:szCs w:val="16"/>
              </w:rPr>
            </w:pPr>
            <w:r w:rsidRPr="00B45516">
              <w:rPr>
                <w:rFonts w:cs="Arial"/>
                <w:b/>
                <w:spacing w:val="-8"/>
                <w:kern w:val="24"/>
                <w:sz w:val="16"/>
                <w:szCs w:val="16"/>
              </w:rPr>
              <w:t xml:space="preserve">Закон </w:t>
            </w:r>
          </w:p>
          <w:p w14:paraId="77AE568D" w14:textId="77777777" w:rsidR="008F475D" w:rsidRPr="00B45516" w:rsidRDefault="008F475D">
            <w:pPr>
              <w:spacing w:line="276" w:lineRule="auto"/>
              <w:jc w:val="center"/>
              <w:rPr>
                <w:b/>
                <w:spacing w:val="-8"/>
                <w:sz w:val="16"/>
                <w:szCs w:val="16"/>
              </w:rPr>
            </w:pPr>
            <w:r w:rsidRPr="00B45516">
              <w:rPr>
                <w:rFonts w:cs="Arial"/>
                <w:b/>
                <w:spacing w:val="-8"/>
                <w:kern w:val="24"/>
                <w:sz w:val="16"/>
                <w:szCs w:val="16"/>
              </w:rPr>
              <w:t>№ 390-ФЗ</w:t>
            </w:r>
          </w:p>
        </w:tc>
        <w:tc>
          <w:tcPr>
            <w:tcW w:w="317" w:type="pct"/>
            <w:shd w:val="clear" w:color="auto" w:fill="auto"/>
            <w:tcMar>
              <w:left w:w="28" w:type="dxa"/>
              <w:right w:w="28" w:type="dxa"/>
            </w:tcMar>
            <w:vAlign w:val="center"/>
          </w:tcPr>
          <w:p w14:paraId="763B44BF" w14:textId="77777777" w:rsidR="008F475D" w:rsidRPr="00B45516" w:rsidRDefault="008F475D">
            <w:pPr>
              <w:spacing w:line="276" w:lineRule="auto"/>
              <w:jc w:val="center"/>
              <w:rPr>
                <w:b/>
                <w:spacing w:val="-8"/>
                <w:sz w:val="16"/>
                <w:szCs w:val="16"/>
              </w:rPr>
            </w:pPr>
            <w:proofErr w:type="spellStart"/>
            <w:proofErr w:type="gramStart"/>
            <w:r w:rsidRPr="00B45516">
              <w:rPr>
                <w:rFonts w:cs="Arial"/>
                <w:b/>
                <w:spacing w:val="-8"/>
                <w:kern w:val="24"/>
                <w:sz w:val="16"/>
                <w:szCs w:val="16"/>
              </w:rPr>
              <w:t>Законо</w:t>
            </w:r>
            <w:proofErr w:type="spellEnd"/>
            <w:r w:rsidRPr="00B45516">
              <w:rPr>
                <w:rFonts w:cs="Arial"/>
                <w:b/>
                <w:spacing w:val="-8"/>
                <w:kern w:val="24"/>
                <w:sz w:val="16"/>
                <w:szCs w:val="16"/>
              </w:rPr>
              <w:t>-проект</w:t>
            </w:r>
            <w:proofErr w:type="gramEnd"/>
          </w:p>
        </w:tc>
        <w:tc>
          <w:tcPr>
            <w:tcW w:w="419" w:type="pct"/>
            <w:tcMar>
              <w:left w:w="28" w:type="dxa"/>
              <w:right w:w="28" w:type="dxa"/>
            </w:tcMar>
            <w:vAlign w:val="center"/>
          </w:tcPr>
          <w:p w14:paraId="5AC95862" w14:textId="77777777" w:rsidR="008F475D" w:rsidRPr="00B45516" w:rsidRDefault="008F475D">
            <w:pPr>
              <w:spacing w:line="276" w:lineRule="auto"/>
              <w:jc w:val="center"/>
              <w:rPr>
                <w:b/>
                <w:spacing w:val="-8"/>
                <w:sz w:val="16"/>
                <w:szCs w:val="16"/>
              </w:rPr>
            </w:pPr>
            <w:r w:rsidRPr="00B45516">
              <w:rPr>
                <w:b/>
                <w:spacing w:val="-8"/>
                <w:sz w:val="16"/>
                <w:szCs w:val="16"/>
              </w:rPr>
              <w:t>Δ к закону, %</w:t>
            </w:r>
          </w:p>
        </w:tc>
        <w:tc>
          <w:tcPr>
            <w:tcW w:w="485" w:type="pct"/>
            <w:tcMar>
              <w:left w:w="28" w:type="dxa"/>
              <w:right w:w="28" w:type="dxa"/>
            </w:tcMar>
            <w:vAlign w:val="center"/>
          </w:tcPr>
          <w:p w14:paraId="79509152" w14:textId="77777777" w:rsidR="008F475D" w:rsidRPr="00B45516" w:rsidRDefault="008F475D">
            <w:pPr>
              <w:spacing w:line="276" w:lineRule="auto"/>
              <w:jc w:val="center"/>
              <w:rPr>
                <w:rFonts w:cs="Arial"/>
                <w:b/>
                <w:spacing w:val="-8"/>
                <w:kern w:val="24"/>
                <w:sz w:val="16"/>
                <w:szCs w:val="16"/>
              </w:rPr>
            </w:pPr>
            <w:r w:rsidRPr="00B45516">
              <w:rPr>
                <w:rFonts w:cs="Arial"/>
                <w:b/>
                <w:spacing w:val="-8"/>
                <w:kern w:val="24"/>
                <w:sz w:val="16"/>
                <w:szCs w:val="16"/>
              </w:rPr>
              <w:t>Бюджетный прогноз**</w:t>
            </w:r>
          </w:p>
        </w:tc>
        <w:tc>
          <w:tcPr>
            <w:tcW w:w="317" w:type="pct"/>
            <w:shd w:val="clear" w:color="auto" w:fill="auto"/>
            <w:tcMar>
              <w:left w:w="28" w:type="dxa"/>
              <w:right w:w="28" w:type="dxa"/>
            </w:tcMar>
            <w:vAlign w:val="center"/>
          </w:tcPr>
          <w:p w14:paraId="22E4024F" w14:textId="77777777" w:rsidR="008F475D" w:rsidRPr="00B45516" w:rsidRDefault="008F475D">
            <w:pPr>
              <w:spacing w:line="276" w:lineRule="auto"/>
              <w:jc w:val="center"/>
              <w:rPr>
                <w:rFonts w:cs="Arial"/>
                <w:b/>
                <w:spacing w:val="-8"/>
                <w:kern w:val="24"/>
                <w:sz w:val="16"/>
                <w:szCs w:val="16"/>
              </w:rPr>
            </w:pPr>
            <w:proofErr w:type="spellStart"/>
            <w:r w:rsidRPr="00B45516">
              <w:rPr>
                <w:rFonts w:cs="Arial"/>
                <w:b/>
                <w:spacing w:val="-8"/>
                <w:kern w:val="24"/>
                <w:sz w:val="16"/>
                <w:szCs w:val="16"/>
              </w:rPr>
              <w:t>Законо</w:t>
            </w:r>
            <w:proofErr w:type="spellEnd"/>
            <w:r w:rsidRPr="00B45516">
              <w:rPr>
                <w:rFonts w:cs="Arial"/>
                <w:b/>
                <w:spacing w:val="-8"/>
                <w:kern w:val="24"/>
                <w:sz w:val="16"/>
                <w:szCs w:val="16"/>
              </w:rPr>
              <w:t>-</w:t>
            </w:r>
          </w:p>
          <w:p w14:paraId="20394C92" w14:textId="77777777" w:rsidR="008F475D" w:rsidRPr="00B45516" w:rsidRDefault="008F475D">
            <w:pPr>
              <w:spacing w:line="276" w:lineRule="auto"/>
              <w:jc w:val="center"/>
              <w:rPr>
                <w:b/>
                <w:spacing w:val="-8"/>
                <w:sz w:val="16"/>
                <w:szCs w:val="16"/>
              </w:rPr>
            </w:pPr>
            <w:r w:rsidRPr="00B45516">
              <w:rPr>
                <w:rFonts w:cs="Arial"/>
                <w:b/>
                <w:spacing w:val="-8"/>
                <w:kern w:val="24"/>
                <w:sz w:val="16"/>
                <w:szCs w:val="16"/>
              </w:rPr>
              <w:t>проект</w:t>
            </w:r>
          </w:p>
        </w:tc>
        <w:tc>
          <w:tcPr>
            <w:tcW w:w="567" w:type="pct"/>
            <w:tcMar>
              <w:left w:w="28" w:type="dxa"/>
              <w:right w:w="28" w:type="dxa"/>
            </w:tcMar>
            <w:vAlign w:val="center"/>
          </w:tcPr>
          <w:p w14:paraId="513B3589" w14:textId="77777777" w:rsidR="008F475D" w:rsidRPr="00B45516" w:rsidRDefault="008F475D">
            <w:pPr>
              <w:spacing w:line="276" w:lineRule="auto"/>
              <w:jc w:val="center"/>
              <w:rPr>
                <w:b/>
                <w:spacing w:val="-8"/>
                <w:sz w:val="16"/>
                <w:szCs w:val="16"/>
              </w:rPr>
            </w:pPr>
            <w:r w:rsidRPr="00B45516">
              <w:rPr>
                <w:b/>
                <w:spacing w:val="-8"/>
                <w:sz w:val="16"/>
                <w:szCs w:val="16"/>
              </w:rPr>
              <w:t>Δ к Бюджетному прогнозу, %</w:t>
            </w:r>
          </w:p>
        </w:tc>
      </w:tr>
      <w:tr w:rsidR="008F475D" w:rsidRPr="00532E47" w14:paraId="2603307A" w14:textId="77777777" w:rsidTr="00113939">
        <w:trPr>
          <w:trHeight w:val="190"/>
          <w:tblHeader/>
        </w:trPr>
        <w:tc>
          <w:tcPr>
            <w:tcW w:w="1134" w:type="pct"/>
            <w:shd w:val="clear" w:color="auto" w:fill="auto"/>
            <w:tcMar>
              <w:left w:w="28" w:type="dxa"/>
              <w:right w:w="28" w:type="dxa"/>
            </w:tcMar>
            <w:vAlign w:val="center"/>
          </w:tcPr>
          <w:p w14:paraId="7308CF30" w14:textId="77777777" w:rsidR="008F475D" w:rsidRPr="00532E47" w:rsidRDefault="008F475D">
            <w:pPr>
              <w:spacing w:line="276" w:lineRule="auto"/>
              <w:jc w:val="center"/>
              <w:rPr>
                <w:sz w:val="18"/>
                <w:szCs w:val="14"/>
              </w:rPr>
            </w:pPr>
            <w:r w:rsidRPr="00532E47">
              <w:rPr>
                <w:sz w:val="18"/>
                <w:szCs w:val="14"/>
              </w:rPr>
              <w:t>1</w:t>
            </w:r>
          </w:p>
        </w:tc>
        <w:tc>
          <w:tcPr>
            <w:tcW w:w="394" w:type="pct"/>
            <w:shd w:val="clear" w:color="auto" w:fill="auto"/>
            <w:tcMar>
              <w:left w:w="28" w:type="dxa"/>
              <w:right w:w="28" w:type="dxa"/>
            </w:tcMar>
            <w:vAlign w:val="center"/>
          </w:tcPr>
          <w:p w14:paraId="34014BC4" w14:textId="77777777" w:rsidR="008F475D" w:rsidRPr="00532E47" w:rsidRDefault="008F475D">
            <w:pPr>
              <w:spacing w:line="276" w:lineRule="auto"/>
              <w:ind w:hanging="55"/>
              <w:jc w:val="center"/>
              <w:rPr>
                <w:sz w:val="18"/>
                <w:szCs w:val="14"/>
              </w:rPr>
            </w:pPr>
            <w:r w:rsidRPr="00532E47">
              <w:rPr>
                <w:sz w:val="18"/>
                <w:szCs w:val="14"/>
              </w:rPr>
              <w:t>2</w:t>
            </w:r>
          </w:p>
        </w:tc>
        <w:tc>
          <w:tcPr>
            <w:tcW w:w="301" w:type="pct"/>
            <w:shd w:val="clear" w:color="auto" w:fill="auto"/>
            <w:tcMar>
              <w:left w:w="28" w:type="dxa"/>
              <w:right w:w="28" w:type="dxa"/>
            </w:tcMar>
            <w:vAlign w:val="center"/>
          </w:tcPr>
          <w:p w14:paraId="30C46443" w14:textId="77777777" w:rsidR="008F475D" w:rsidRPr="00532E47" w:rsidRDefault="008F475D">
            <w:pPr>
              <w:spacing w:line="276" w:lineRule="auto"/>
              <w:jc w:val="center"/>
              <w:rPr>
                <w:sz w:val="18"/>
                <w:szCs w:val="14"/>
              </w:rPr>
            </w:pPr>
            <w:r w:rsidRPr="00532E47">
              <w:rPr>
                <w:sz w:val="18"/>
                <w:szCs w:val="14"/>
              </w:rPr>
              <w:t>3</w:t>
            </w:r>
          </w:p>
        </w:tc>
        <w:tc>
          <w:tcPr>
            <w:tcW w:w="317" w:type="pct"/>
            <w:shd w:val="clear" w:color="auto" w:fill="auto"/>
            <w:tcMar>
              <w:left w:w="28" w:type="dxa"/>
              <w:right w:w="28" w:type="dxa"/>
            </w:tcMar>
            <w:vAlign w:val="center"/>
          </w:tcPr>
          <w:p w14:paraId="794731CF" w14:textId="77777777" w:rsidR="008F475D" w:rsidRPr="00532E47" w:rsidRDefault="008F475D">
            <w:pPr>
              <w:spacing w:line="276" w:lineRule="auto"/>
              <w:jc w:val="center"/>
              <w:rPr>
                <w:sz w:val="18"/>
                <w:szCs w:val="14"/>
              </w:rPr>
            </w:pPr>
            <w:r w:rsidRPr="00532E47">
              <w:rPr>
                <w:sz w:val="18"/>
                <w:szCs w:val="14"/>
              </w:rPr>
              <w:t>4</w:t>
            </w:r>
          </w:p>
        </w:tc>
        <w:tc>
          <w:tcPr>
            <w:tcW w:w="448" w:type="pct"/>
            <w:tcMar>
              <w:left w:w="28" w:type="dxa"/>
              <w:right w:w="28" w:type="dxa"/>
            </w:tcMar>
            <w:vAlign w:val="center"/>
          </w:tcPr>
          <w:p w14:paraId="3B4EB960" w14:textId="77777777" w:rsidR="008F475D" w:rsidRPr="00532E47" w:rsidRDefault="008F475D">
            <w:pPr>
              <w:spacing w:line="276" w:lineRule="auto"/>
              <w:jc w:val="center"/>
              <w:rPr>
                <w:sz w:val="18"/>
                <w:szCs w:val="14"/>
              </w:rPr>
            </w:pPr>
            <w:r w:rsidRPr="00532E47">
              <w:rPr>
                <w:sz w:val="18"/>
                <w:szCs w:val="14"/>
              </w:rPr>
              <w:t>5=4/3*100</w:t>
            </w:r>
          </w:p>
        </w:tc>
        <w:tc>
          <w:tcPr>
            <w:tcW w:w="301" w:type="pct"/>
            <w:tcMar>
              <w:left w:w="28" w:type="dxa"/>
              <w:right w:w="28" w:type="dxa"/>
            </w:tcMar>
            <w:vAlign w:val="center"/>
          </w:tcPr>
          <w:p w14:paraId="562A765C" w14:textId="77777777" w:rsidR="008F475D" w:rsidRPr="00532E47" w:rsidRDefault="008F475D">
            <w:pPr>
              <w:spacing w:line="276" w:lineRule="auto"/>
              <w:ind w:hanging="55"/>
              <w:jc w:val="center"/>
              <w:rPr>
                <w:sz w:val="18"/>
                <w:szCs w:val="14"/>
              </w:rPr>
            </w:pPr>
            <w:r w:rsidRPr="00532E47">
              <w:rPr>
                <w:sz w:val="18"/>
                <w:szCs w:val="14"/>
              </w:rPr>
              <w:t>6</w:t>
            </w:r>
          </w:p>
        </w:tc>
        <w:tc>
          <w:tcPr>
            <w:tcW w:w="317" w:type="pct"/>
            <w:shd w:val="clear" w:color="auto" w:fill="auto"/>
            <w:tcMar>
              <w:left w:w="28" w:type="dxa"/>
              <w:right w:w="28" w:type="dxa"/>
            </w:tcMar>
            <w:vAlign w:val="center"/>
          </w:tcPr>
          <w:p w14:paraId="360B8323" w14:textId="77777777" w:rsidR="008F475D" w:rsidRPr="00532E47" w:rsidRDefault="008F475D">
            <w:pPr>
              <w:spacing w:line="276" w:lineRule="auto"/>
              <w:ind w:hanging="55"/>
              <w:jc w:val="center"/>
              <w:rPr>
                <w:sz w:val="18"/>
                <w:szCs w:val="14"/>
              </w:rPr>
            </w:pPr>
            <w:r w:rsidRPr="00532E47">
              <w:rPr>
                <w:sz w:val="18"/>
                <w:szCs w:val="14"/>
              </w:rPr>
              <w:t>7</w:t>
            </w:r>
          </w:p>
        </w:tc>
        <w:tc>
          <w:tcPr>
            <w:tcW w:w="419" w:type="pct"/>
            <w:tcMar>
              <w:left w:w="28" w:type="dxa"/>
              <w:right w:w="28" w:type="dxa"/>
            </w:tcMar>
            <w:vAlign w:val="center"/>
          </w:tcPr>
          <w:p w14:paraId="72B295C7" w14:textId="77777777" w:rsidR="008F475D" w:rsidRPr="00532E47" w:rsidRDefault="008F475D">
            <w:pPr>
              <w:spacing w:line="276" w:lineRule="auto"/>
              <w:ind w:hanging="55"/>
              <w:jc w:val="center"/>
              <w:rPr>
                <w:sz w:val="18"/>
                <w:szCs w:val="14"/>
              </w:rPr>
            </w:pPr>
            <w:r w:rsidRPr="00532E47">
              <w:rPr>
                <w:sz w:val="18"/>
                <w:szCs w:val="14"/>
              </w:rPr>
              <w:t>8=7/6*100</w:t>
            </w:r>
          </w:p>
        </w:tc>
        <w:tc>
          <w:tcPr>
            <w:tcW w:w="485" w:type="pct"/>
            <w:tcMar>
              <w:left w:w="28" w:type="dxa"/>
              <w:right w:w="28" w:type="dxa"/>
            </w:tcMar>
            <w:vAlign w:val="center"/>
          </w:tcPr>
          <w:p w14:paraId="4828D8BF" w14:textId="77777777" w:rsidR="008F475D" w:rsidRPr="00532E47" w:rsidRDefault="008F475D">
            <w:pPr>
              <w:spacing w:line="276" w:lineRule="auto"/>
              <w:ind w:hanging="55"/>
              <w:jc w:val="center"/>
              <w:rPr>
                <w:sz w:val="18"/>
                <w:szCs w:val="14"/>
              </w:rPr>
            </w:pPr>
            <w:r w:rsidRPr="00532E47">
              <w:rPr>
                <w:sz w:val="18"/>
                <w:szCs w:val="14"/>
              </w:rPr>
              <w:t>9</w:t>
            </w:r>
          </w:p>
        </w:tc>
        <w:tc>
          <w:tcPr>
            <w:tcW w:w="317" w:type="pct"/>
            <w:shd w:val="clear" w:color="auto" w:fill="auto"/>
            <w:tcMar>
              <w:left w:w="28" w:type="dxa"/>
              <w:right w:w="28" w:type="dxa"/>
            </w:tcMar>
            <w:vAlign w:val="center"/>
          </w:tcPr>
          <w:p w14:paraId="620FEF20" w14:textId="77777777" w:rsidR="008F475D" w:rsidRPr="00532E47" w:rsidRDefault="008F475D">
            <w:pPr>
              <w:spacing w:line="276" w:lineRule="auto"/>
              <w:ind w:hanging="55"/>
              <w:jc w:val="center"/>
              <w:rPr>
                <w:sz w:val="18"/>
                <w:szCs w:val="14"/>
              </w:rPr>
            </w:pPr>
            <w:r w:rsidRPr="00532E47">
              <w:rPr>
                <w:sz w:val="18"/>
                <w:szCs w:val="14"/>
              </w:rPr>
              <w:t>10</w:t>
            </w:r>
          </w:p>
        </w:tc>
        <w:tc>
          <w:tcPr>
            <w:tcW w:w="567" w:type="pct"/>
            <w:tcMar>
              <w:left w:w="28" w:type="dxa"/>
              <w:right w:w="28" w:type="dxa"/>
            </w:tcMar>
            <w:vAlign w:val="center"/>
          </w:tcPr>
          <w:p w14:paraId="1855935E" w14:textId="77777777" w:rsidR="008F475D" w:rsidRPr="00532E47" w:rsidRDefault="008F475D">
            <w:pPr>
              <w:spacing w:line="276" w:lineRule="auto"/>
              <w:ind w:hanging="55"/>
              <w:jc w:val="center"/>
              <w:rPr>
                <w:sz w:val="18"/>
                <w:szCs w:val="14"/>
              </w:rPr>
            </w:pPr>
            <w:r w:rsidRPr="00532E47">
              <w:rPr>
                <w:sz w:val="18"/>
                <w:szCs w:val="14"/>
              </w:rPr>
              <w:t>11=10/9*100</w:t>
            </w:r>
          </w:p>
        </w:tc>
      </w:tr>
      <w:tr w:rsidR="008F475D" w:rsidRPr="00532E47" w14:paraId="7A3B3FF6" w14:textId="77777777" w:rsidTr="00113939">
        <w:trPr>
          <w:trHeight w:val="190"/>
        </w:trPr>
        <w:tc>
          <w:tcPr>
            <w:tcW w:w="1134" w:type="pct"/>
            <w:shd w:val="clear" w:color="auto" w:fill="auto"/>
            <w:vAlign w:val="center"/>
          </w:tcPr>
          <w:p w14:paraId="63677C0E" w14:textId="77777777" w:rsidR="008F475D" w:rsidRPr="00532E47" w:rsidRDefault="008F475D">
            <w:pPr>
              <w:spacing w:line="276" w:lineRule="auto"/>
              <w:rPr>
                <w:sz w:val="18"/>
                <w:szCs w:val="18"/>
              </w:rPr>
            </w:pPr>
            <w:r w:rsidRPr="00532E47">
              <w:rPr>
                <w:sz w:val="18"/>
                <w:szCs w:val="18"/>
              </w:rPr>
              <w:t>ВСЕГО</w:t>
            </w:r>
          </w:p>
        </w:tc>
        <w:tc>
          <w:tcPr>
            <w:tcW w:w="394" w:type="pct"/>
            <w:shd w:val="clear" w:color="auto" w:fill="auto"/>
            <w:tcMar>
              <w:left w:w="57" w:type="dxa"/>
              <w:right w:w="57" w:type="dxa"/>
            </w:tcMar>
            <w:vAlign w:val="center"/>
          </w:tcPr>
          <w:p w14:paraId="140F06B8" w14:textId="77777777" w:rsidR="008F475D" w:rsidRPr="00532E47" w:rsidRDefault="008F475D">
            <w:pPr>
              <w:spacing w:line="276" w:lineRule="auto"/>
              <w:jc w:val="center"/>
              <w:rPr>
                <w:sz w:val="18"/>
                <w:szCs w:val="16"/>
              </w:rPr>
            </w:pPr>
            <w:r w:rsidRPr="00532E47">
              <w:rPr>
                <w:b/>
                <w:bCs/>
                <w:sz w:val="18"/>
                <w:szCs w:val="14"/>
              </w:rPr>
              <w:t>27 614 091,0</w:t>
            </w:r>
          </w:p>
        </w:tc>
        <w:tc>
          <w:tcPr>
            <w:tcW w:w="301" w:type="pct"/>
            <w:shd w:val="clear" w:color="auto" w:fill="auto"/>
            <w:tcMar>
              <w:left w:w="57" w:type="dxa"/>
              <w:right w:w="57" w:type="dxa"/>
            </w:tcMar>
            <w:vAlign w:val="center"/>
          </w:tcPr>
          <w:p w14:paraId="1F818E52" w14:textId="77777777" w:rsidR="008F475D" w:rsidRPr="00532E47" w:rsidRDefault="008F475D">
            <w:pPr>
              <w:spacing w:line="276" w:lineRule="auto"/>
              <w:jc w:val="center"/>
              <w:rPr>
                <w:sz w:val="18"/>
                <w:szCs w:val="16"/>
              </w:rPr>
            </w:pPr>
            <w:r w:rsidRPr="00532E47">
              <w:rPr>
                <w:b/>
                <w:bCs/>
                <w:sz w:val="18"/>
                <w:szCs w:val="14"/>
              </w:rPr>
              <w:t>25 241 076,0</w:t>
            </w:r>
          </w:p>
        </w:tc>
        <w:tc>
          <w:tcPr>
            <w:tcW w:w="317" w:type="pct"/>
            <w:shd w:val="clear" w:color="auto" w:fill="auto"/>
            <w:tcMar>
              <w:left w:w="57" w:type="dxa"/>
              <w:right w:w="57" w:type="dxa"/>
            </w:tcMar>
            <w:vAlign w:val="center"/>
          </w:tcPr>
          <w:p w14:paraId="483DB296" w14:textId="77777777" w:rsidR="008F475D" w:rsidRPr="00532E47" w:rsidRDefault="008F475D">
            <w:pPr>
              <w:spacing w:line="276" w:lineRule="auto"/>
              <w:jc w:val="center"/>
              <w:rPr>
                <w:sz w:val="18"/>
                <w:szCs w:val="16"/>
              </w:rPr>
            </w:pPr>
            <w:r w:rsidRPr="00532E47">
              <w:rPr>
                <w:b/>
                <w:bCs/>
                <w:sz w:val="18"/>
                <w:szCs w:val="14"/>
              </w:rPr>
              <w:t>29 055 564,3</w:t>
            </w:r>
          </w:p>
        </w:tc>
        <w:tc>
          <w:tcPr>
            <w:tcW w:w="448" w:type="pct"/>
            <w:tcMar>
              <w:left w:w="57" w:type="dxa"/>
              <w:right w:w="57" w:type="dxa"/>
            </w:tcMar>
            <w:vAlign w:val="center"/>
          </w:tcPr>
          <w:p w14:paraId="01F8F352" w14:textId="77777777" w:rsidR="008F475D" w:rsidRPr="00532E47" w:rsidRDefault="008F475D">
            <w:pPr>
              <w:spacing w:line="276" w:lineRule="auto"/>
              <w:jc w:val="center"/>
              <w:rPr>
                <w:sz w:val="18"/>
                <w:szCs w:val="16"/>
              </w:rPr>
            </w:pPr>
            <w:r w:rsidRPr="00532E47">
              <w:rPr>
                <w:b/>
                <w:bCs/>
                <w:i/>
                <w:iCs/>
                <w:sz w:val="18"/>
                <w:szCs w:val="14"/>
              </w:rPr>
              <w:t>115,1</w:t>
            </w:r>
          </w:p>
        </w:tc>
        <w:tc>
          <w:tcPr>
            <w:tcW w:w="301" w:type="pct"/>
            <w:tcMar>
              <w:left w:w="57" w:type="dxa"/>
              <w:right w:w="57" w:type="dxa"/>
            </w:tcMar>
            <w:vAlign w:val="center"/>
          </w:tcPr>
          <w:p w14:paraId="469B4790" w14:textId="77777777" w:rsidR="008F475D" w:rsidRPr="00532E47" w:rsidRDefault="008F475D">
            <w:pPr>
              <w:spacing w:line="276" w:lineRule="auto"/>
              <w:jc w:val="center"/>
              <w:rPr>
                <w:sz w:val="18"/>
                <w:szCs w:val="16"/>
              </w:rPr>
            </w:pPr>
            <w:r w:rsidRPr="00532E47">
              <w:rPr>
                <w:b/>
                <w:bCs/>
                <w:sz w:val="18"/>
                <w:szCs w:val="14"/>
              </w:rPr>
              <w:t>26 354 401,3</w:t>
            </w:r>
          </w:p>
        </w:tc>
        <w:tc>
          <w:tcPr>
            <w:tcW w:w="317" w:type="pct"/>
            <w:shd w:val="clear" w:color="auto" w:fill="auto"/>
            <w:tcMar>
              <w:left w:w="57" w:type="dxa"/>
              <w:right w:w="57" w:type="dxa"/>
            </w:tcMar>
            <w:vAlign w:val="center"/>
          </w:tcPr>
          <w:p w14:paraId="4E1530B0" w14:textId="77777777" w:rsidR="008F475D" w:rsidRPr="00532E47" w:rsidRDefault="008F475D">
            <w:pPr>
              <w:spacing w:line="276" w:lineRule="auto"/>
              <w:jc w:val="center"/>
              <w:rPr>
                <w:sz w:val="18"/>
                <w:szCs w:val="16"/>
              </w:rPr>
            </w:pPr>
            <w:r w:rsidRPr="00532E47">
              <w:rPr>
                <w:b/>
                <w:bCs/>
                <w:sz w:val="18"/>
                <w:szCs w:val="14"/>
              </w:rPr>
              <w:t>29 432 476,4</w:t>
            </w:r>
          </w:p>
        </w:tc>
        <w:tc>
          <w:tcPr>
            <w:tcW w:w="419" w:type="pct"/>
            <w:tcMar>
              <w:left w:w="57" w:type="dxa"/>
              <w:right w:w="57" w:type="dxa"/>
            </w:tcMar>
            <w:vAlign w:val="center"/>
          </w:tcPr>
          <w:p w14:paraId="1DF9A476" w14:textId="77777777" w:rsidR="008F475D" w:rsidRPr="00532E47" w:rsidRDefault="008F475D">
            <w:pPr>
              <w:spacing w:line="276" w:lineRule="auto"/>
              <w:jc w:val="center"/>
              <w:rPr>
                <w:sz w:val="18"/>
                <w:szCs w:val="16"/>
              </w:rPr>
            </w:pPr>
            <w:r w:rsidRPr="00532E47">
              <w:rPr>
                <w:b/>
                <w:bCs/>
                <w:i/>
                <w:iCs/>
                <w:sz w:val="18"/>
                <w:szCs w:val="14"/>
              </w:rPr>
              <w:t>111,7</w:t>
            </w:r>
          </w:p>
        </w:tc>
        <w:tc>
          <w:tcPr>
            <w:tcW w:w="485" w:type="pct"/>
            <w:tcMar>
              <w:left w:w="57" w:type="dxa"/>
              <w:right w:w="57" w:type="dxa"/>
            </w:tcMar>
            <w:vAlign w:val="center"/>
          </w:tcPr>
          <w:p w14:paraId="0D26F226" w14:textId="77777777" w:rsidR="008F475D" w:rsidRPr="00532E47" w:rsidRDefault="008F475D">
            <w:pPr>
              <w:spacing w:line="276" w:lineRule="auto"/>
              <w:jc w:val="center"/>
              <w:rPr>
                <w:sz w:val="18"/>
                <w:szCs w:val="14"/>
              </w:rPr>
            </w:pPr>
            <w:r w:rsidRPr="00532E47">
              <w:rPr>
                <w:b/>
                <w:bCs/>
                <w:sz w:val="18"/>
                <w:szCs w:val="14"/>
              </w:rPr>
              <w:t>26 040 016,2</w:t>
            </w:r>
          </w:p>
        </w:tc>
        <w:tc>
          <w:tcPr>
            <w:tcW w:w="317" w:type="pct"/>
            <w:shd w:val="clear" w:color="auto" w:fill="auto"/>
            <w:tcMar>
              <w:left w:w="57" w:type="dxa"/>
              <w:right w:w="57" w:type="dxa"/>
            </w:tcMar>
            <w:vAlign w:val="center"/>
          </w:tcPr>
          <w:p w14:paraId="2A2466E2" w14:textId="77777777" w:rsidR="008F475D" w:rsidRPr="00532E47" w:rsidRDefault="008F475D">
            <w:pPr>
              <w:spacing w:line="276" w:lineRule="auto"/>
              <w:jc w:val="center"/>
              <w:rPr>
                <w:sz w:val="18"/>
                <w:szCs w:val="16"/>
              </w:rPr>
            </w:pPr>
            <w:r w:rsidRPr="00532E47">
              <w:rPr>
                <w:b/>
                <w:bCs/>
                <w:sz w:val="18"/>
                <w:szCs w:val="14"/>
              </w:rPr>
              <w:t>29 243 748,6</w:t>
            </w:r>
          </w:p>
        </w:tc>
        <w:tc>
          <w:tcPr>
            <w:tcW w:w="567" w:type="pct"/>
            <w:tcMar>
              <w:left w:w="57" w:type="dxa"/>
              <w:right w:w="57" w:type="dxa"/>
            </w:tcMar>
            <w:vAlign w:val="center"/>
          </w:tcPr>
          <w:p w14:paraId="518BC617" w14:textId="77777777" w:rsidR="008F475D" w:rsidRPr="00532E47" w:rsidRDefault="008F475D">
            <w:pPr>
              <w:spacing w:line="276" w:lineRule="auto"/>
              <w:jc w:val="center"/>
              <w:rPr>
                <w:sz w:val="18"/>
                <w:szCs w:val="16"/>
              </w:rPr>
            </w:pPr>
            <w:r w:rsidRPr="00532E47">
              <w:rPr>
                <w:b/>
                <w:bCs/>
                <w:i/>
                <w:iCs/>
                <w:sz w:val="18"/>
                <w:szCs w:val="14"/>
              </w:rPr>
              <w:t>112,3</w:t>
            </w:r>
          </w:p>
        </w:tc>
      </w:tr>
      <w:tr w:rsidR="008F475D" w:rsidRPr="00532E47" w14:paraId="219EDEA8" w14:textId="77777777" w:rsidTr="00113939">
        <w:trPr>
          <w:trHeight w:val="190"/>
        </w:trPr>
        <w:tc>
          <w:tcPr>
            <w:tcW w:w="1134" w:type="pct"/>
            <w:shd w:val="clear" w:color="auto" w:fill="auto"/>
            <w:vAlign w:val="center"/>
          </w:tcPr>
          <w:p w14:paraId="4E11B7E1" w14:textId="77777777" w:rsidR="008F475D" w:rsidRPr="00532E47" w:rsidRDefault="008F475D">
            <w:pPr>
              <w:spacing w:line="276" w:lineRule="auto"/>
              <w:rPr>
                <w:b/>
                <w:i/>
                <w:sz w:val="18"/>
                <w:szCs w:val="18"/>
              </w:rPr>
            </w:pPr>
            <w:r w:rsidRPr="00532E47">
              <w:rPr>
                <w:b/>
                <w:i/>
                <w:sz w:val="18"/>
                <w:szCs w:val="18"/>
              </w:rPr>
              <w:t>Условно утвержденные</w:t>
            </w:r>
          </w:p>
        </w:tc>
        <w:tc>
          <w:tcPr>
            <w:tcW w:w="394" w:type="pct"/>
            <w:shd w:val="clear" w:color="auto" w:fill="auto"/>
            <w:tcMar>
              <w:left w:w="57" w:type="dxa"/>
              <w:right w:w="57" w:type="dxa"/>
            </w:tcMar>
            <w:vAlign w:val="center"/>
          </w:tcPr>
          <w:p w14:paraId="18C801CA" w14:textId="77777777" w:rsidR="008F475D" w:rsidRPr="00532E47" w:rsidRDefault="008F475D">
            <w:pPr>
              <w:spacing w:line="276" w:lineRule="auto"/>
              <w:jc w:val="center"/>
              <w:rPr>
                <w:sz w:val="18"/>
                <w:szCs w:val="16"/>
              </w:rPr>
            </w:pPr>
            <w:r w:rsidRPr="00532E47">
              <w:rPr>
                <w:b/>
                <w:bCs/>
                <w:i/>
                <w:iCs/>
                <w:sz w:val="18"/>
                <w:szCs w:val="14"/>
              </w:rPr>
              <w:t> </w:t>
            </w:r>
          </w:p>
        </w:tc>
        <w:tc>
          <w:tcPr>
            <w:tcW w:w="301" w:type="pct"/>
            <w:shd w:val="clear" w:color="auto" w:fill="auto"/>
            <w:tcMar>
              <w:left w:w="57" w:type="dxa"/>
              <w:right w:w="57" w:type="dxa"/>
            </w:tcMar>
            <w:vAlign w:val="center"/>
          </w:tcPr>
          <w:p w14:paraId="4BF96E0F" w14:textId="77777777" w:rsidR="008F475D" w:rsidRPr="00532E47" w:rsidRDefault="008F475D">
            <w:pPr>
              <w:spacing w:line="276" w:lineRule="auto"/>
              <w:jc w:val="center"/>
              <w:rPr>
                <w:sz w:val="18"/>
                <w:szCs w:val="16"/>
              </w:rPr>
            </w:pPr>
            <w:r w:rsidRPr="00532E47">
              <w:rPr>
                <w:b/>
                <w:bCs/>
                <w:i/>
                <w:iCs/>
                <w:sz w:val="18"/>
                <w:szCs w:val="14"/>
              </w:rPr>
              <w:t>631 026,9</w:t>
            </w:r>
          </w:p>
        </w:tc>
        <w:tc>
          <w:tcPr>
            <w:tcW w:w="317" w:type="pct"/>
            <w:shd w:val="clear" w:color="auto" w:fill="auto"/>
            <w:tcMar>
              <w:left w:w="57" w:type="dxa"/>
              <w:right w:w="57" w:type="dxa"/>
            </w:tcMar>
            <w:vAlign w:val="center"/>
          </w:tcPr>
          <w:p w14:paraId="3B0020D2" w14:textId="77777777" w:rsidR="008F475D" w:rsidRPr="00532E47" w:rsidRDefault="008F475D">
            <w:pPr>
              <w:spacing w:line="276" w:lineRule="auto"/>
              <w:jc w:val="center"/>
              <w:rPr>
                <w:sz w:val="18"/>
                <w:szCs w:val="16"/>
              </w:rPr>
            </w:pPr>
            <w:r w:rsidRPr="00532E47">
              <w:rPr>
                <w:b/>
                <w:bCs/>
                <w:i/>
                <w:iCs/>
                <w:sz w:val="18"/>
                <w:szCs w:val="14"/>
              </w:rPr>
              <w:t> </w:t>
            </w:r>
          </w:p>
        </w:tc>
        <w:tc>
          <w:tcPr>
            <w:tcW w:w="448" w:type="pct"/>
            <w:tcMar>
              <w:left w:w="57" w:type="dxa"/>
              <w:right w:w="57" w:type="dxa"/>
            </w:tcMar>
            <w:vAlign w:val="center"/>
          </w:tcPr>
          <w:p w14:paraId="0EF7FD4C" w14:textId="77777777" w:rsidR="008F475D" w:rsidRPr="00532E47" w:rsidRDefault="008F475D">
            <w:pPr>
              <w:spacing w:line="276" w:lineRule="auto"/>
              <w:jc w:val="center"/>
              <w:rPr>
                <w:sz w:val="18"/>
                <w:szCs w:val="16"/>
              </w:rPr>
            </w:pPr>
            <w:r w:rsidRPr="00532E47">
              <w:rPr>
                <w:b/>
                <w:bCs/>
                <w:i/>
                <w:iCs/>
                <w:sz w:val="18"/>
                <w:szCs w:val="14"/>
              </w:rPr>
              <w:t> </w:t>
            </w:r>
          </w:p>
        </w:tc>
        <w:tc>
          <w:tcPr>
            <w:tcW w:w="301" w:type="pct"/>
            <w:tcMar>
              <w:left w:w="57" w:type="dxa"/>
              <w:right w:w="57" w:type="dxa"/>
            </w:tcMar>
            <w:vAlign w:val="center"/>
          </w:tcPr>
          <w:p w14:paraId="5ABCFA64" w14:textId="77777777" w:rsidR="008F475D" w:rsidRPr="00532E47" w:rsidRDefault="008F475D">
            <w:pPr>
              <w:spacing w:line="276" w:lineRule="auto"/>
              <w:jc w:val="center"/>
              <w:rPr>
                <w:sz w:val="18"/>
                <w:szCs w:val="16"/>
              </w:rPr>
            </w:pPr>
            <w:r w:rsidRPr="00532E47">
              <w:rPr>
                <w:b/>
                <w:bCs/>
                <w:i/>
                <w:iCs/>
                <w:sz w:val="18"/>
                <w:szCs w:val="14"/>
              </w:rPr>
              <w:t>1 317 720,1</w:t>
            </w:r>
          </w:p>
        </w:tc>
        <w:tc>
          <w:tcPr>
            <w:tcW w:w="317" w:type="pct"/>
            <w:shd w:val="clear" w:color="auto" w:fill="auto"/>
            <w:tcMar>
              <w:left w:w="57" w:type="dxa"/>
              <w:right w:w="57" w:type="dxa"/>
            </w:tcMar>
            <w:vAlign w:val="center"/>
          </w:tcPr>
          <w:p w14:paraId="1EDEA77F" w14:textId="77777777" w:rsidR="008F475D" w:rsidRPr="00532E47" w:rsidRDefault="008F475D">
            <w:pPr>
              <w:spacing w:line="276" w:lineRule="auto"/>
              <w:jc w:val="center"/>
              <w:rPr>
                <w:sz w:val="18"/>
                <w:szCs w:val="16"/>
              </w:rPr>
            </w:pPr>
            <w:r w:rsidRPr="00532E47">
              <w:rPr>
                <w:b/>
                <w:bCs/>
                <w:i/>
                <w:iCs/>
                <w:sz w:val="18"/>
                <w:szCs w:val="14"/>
              </w:rPr>
              <w:t>735 811,9</w:t>
            </w:r>
          </w:p>
        </w:tc>
        <w:tc>
          <w:tcPr>
            <w:tcW w:w="419" w:type="pct"/>
            <w:tcMar>
              <w:left w:w="57" w:type="dxa"/>
              <w:right w:w="57" w:type="dxa"/>
            </w:tcMar>
            <w:vAlign w:val="center"/>
          </w:tcPr>
          <w:p w14:paraId="5ECC6C75" w14:textId="77777777" w:rsidR="008F475D" w:rsidRPr="00532E47" w:rsidRDefault="008F475D">
            <w:pPr>
              <w:spacing w:line="276" w:lineRule="auto"/>
              <w:jc w:val="center"/>
              <w:rPr>
                <w:sz w:val="18"/>
                <w:szCs w:val="16"/>
              </w:rPr>
            </w:pPr>
            <w:r w:rsidRPr="00532E47">
              <w:rPr>
                <w:b/>
                <w:bCs/>
                <w:i/>
                <w:iCs/>
                <w:sz w:val="18"/>
                <w:szCs w:val="14"/>
              </w:rPr>
              <w:t> </w:t>
            </w:r>
          </w:p>
        </w:tc>
        <w:tc>
          <w:tcPr>
            <w:tcW w:w="485" w:type="pct"/>
            <w:tcMar>
              <w:left w:w="57" w:type="dxa"/>
              <w:right w:w="57" w:type="dxa"/>
            </w:tcMar>
            <w:vAlign w:val="center"/>
          </w:tcPr>
          <w:p w14:paraId="63699C9E" w14:textId="77777777" w:rsidR="008F475D" w:rsidRPr="00532E47" w:rsidRDefault="008F475D">
            <w:pPr>
              <w:spacing w:line="276" w:lineRule="auto"/>
              <w:jc w:val="center"/>
              <w:rPr>
                <w:sz w:val="18"/>
                <w:szCs w:val="14"/>
              </w:rPr>
            </w:pPr>
            <w:r w:rsidRPr="00532E47">
              <w:rPr>
                <w:b/>
                <w:bCs/>
                <w:i/>
                <w:iCs/>
                <w:sz w:val="18"/>
                <w:szCs w:val="14"/>
              </w:rPr>
              <w:t> </w:t>
            </w:r>
          </w:p>
        </w:tc>
        <w:tc>
          <w:tcPr>
            <w:tcW w:w="317" w:type="pct"/>
            <w:shd w:val="clear" w:color="auto" w:fill="auto"/>
            <w:tcMar>
              <w:left w:w="57" w:type="dxa"/>
              <w:right w:w="57" w:type="dxa"/>
            </w:tcMar>
            <w:vAlign w:val="center"/>
          </w:tcPr>
          <w:p w14:paraId="65AA4A9D" w14:textId="77777777" w:rsidR="008F475D" w:rsidRPr="00532E47" w:rsidRDefault="008F475D">
            <w:pPr>
              <w:spacing w:line="276" w:lineRule="auto"/>
              <w:jc w:val="center"/>
              <w:rPr>
                <w:sz w:val="18"/>
                <w:szCs w:val="16"/>
              </w:rPr>
            </w:pPr>
            <w:r w:rsidRPr="00532E47">
              <w:rPr>
                <w:b/>
                <w:bCs/>
                <w:i/>
                <w:iCs/>
                <w:sz w:val="18"/>
                <w:szCs w:val="14"/>
              </w:rPr>
              <w:t>1 462 187,4</w:t>
            </w:r>
          </w:p>
        </w:tc>
        <w:tc>
          <w:tcPr>
            <w:tcW w:w="567" w:type="pct"/>
            <w:tcMar>
              <w:left w:w="57" w:type="dxa"/>
              <w:right w:w="57" w:type="dxa"/>
            </w:tcMar>
            <w:vAlign w:val="center"/>
          </w:tcPr>
          <w:p w14:paraId="50FD547B" w14:textId="77777777" w:rsidR="008F475D" w:rsidRPr="00532E47" w:rsidRDefault="008F475D">
            <w:pPr>
              <w:spacing w:line="276" w:lineRule="auto"/>
              <w:jc w:val="center"/>
              <w:rPr>
                <w:sz w:val="18"/>
                <w:szCs w:val="16"/>
              </w:rPr>
            </w:pPr>
            <w:r w:rsidRPr="00532E47">
              <w:rPr>
                <w:b/>
                <w:bCs/>
                <w:i/>
                <w:iCs/>
                <w:sz w:val="18"/>
                <w:szCs w:val="14"/>
              </w:rPr>
              <w:t> </w:t>
            </w:r>
          </w:p>
        </w:tc>
      </w:tr>
      <w:tr w:rsidR="008F475D" w:rsidRPr="00532E47" w14:paraId="629DAF65" w14:textId="77777777" w:rsidTr="00113939">
        <w:trPr>
          <w:trHeight w:val="190"/>
        </w:trPr>
        <w:tc>
          <w:tcPr>
            <w:tcW w:w="1134" w:type="pct"/>
            <w:shd w:val="clear" w:color="auto" w:fill="auto"/>
            <w:vAlign w:val="center"/>
          </w:tcPr>
          <w:p w14:paraId="66D0A30D" w14:textId="77777777" w:rsidR="008F475D" w:rsidRPr="00532E47" w:rsidRDefault="008F475D">
            <w:pPr>
              <w:kinsoku w:val="0"/>
              <w:overflowPunct w:val="0"/>
              <w:spacing w:line="276" w:lineRule="auto"/>
              <w:textAlignment w:val="baseline"/>
              <w:rPr>
                <w:i/>
                <w:sz w:val="18"/>
                <w:szCs w:val="18"/>
              </w:rPr>
            </w:pPr>
            <w:r w:rsidRPr="00532E47">
              <w:rPr>
                <w:i/>
                <w:kern w:val="24"/>
                <w:sz w:val="18"/>
                <w:szCs w:val="18"/>
              </w:rPr>
              <w:t>%% к общему объему расходов</w:t>
            </w:r>
          </w:p>
        </w:tc>
        <w:tc>
          <w:tcPr>
            <w:tcW w:w="394" w:type="pct"/>
            <w:shd w:val="clear" w:color="auto" w:fill="auto"/>
            <w:tcMar>
              <w:left w:w="57" w:type="dxa"/>
              <w:right w:w="57" w:type="dxa"/>
            </w:tcMar>
            <w:vAlign w:val="center"/>
          </w:tcPr>
          <w:p w14:paraId="6D0C299F" w14:textId="77777777" w:rsidR="008F475D" w:rsidRPr="00532E47" w:rsidRDefault="008F475D">
            <w:pPr>
              <w:spacing w:line="276" w:lineRule="auto"/>
              <w:jc w:val="center"/>
              <w:rPr>
                <w:sz w:val="18"/>
                <w:szCs w:val="16"/>
              </w:rPr>
            </w:pPr>
            <w:r w:rsidRPr="00532E47">
              <w:rPr>
                <w:b/>
                <w:bCs/>
                <w:i/>
                <w:iCs/>
                <w:sz w:val="18"/>
                <w:szCs w:val="14"/>
              </w:rPr>
              <w:t> </w:t>
            </w:r>
          </w:p>
        </w:tc>
        <w:tc>
          <w:tcPr>
            <w:tcW w:w="301" w:type="pct"/>
            <w:shd w:val="clear" w:color="auto" w:fill="auto"/>
            <w:tcMar>
              <w:left w:w="57" w:type="dxa"/>
              <w:right w:w="57" w:type="dxa"/>
            </w:tcMar>
            <w:vAlign w:val="center"/>
          </w:tcPr>
          <w:p w14:paraId="06A5BB4A" w14:textId="77777777" w:rsidR="008F475D" w:rsidRPr="00532E47" w:rsidRDefault="008F475D">
            <w:pPr>
              <w:spacing w:line="276" w:lineRule="auto"/>
              <w:jc w:val="center"/>
              <w:rPr>
                <w:sz w:val="18"/>
                <w:szCs w:val="16"/>
              </w:rPr>
            </w:pPr>
            <w:r w:rsidRPr="00532E47">
              <w:rPr>
                <w:b/>
                <w:bCs/>
                <w:i/>
                <w:iCs/>
                <w:sz w:val="18"/>
                <w:szCs w:val="14"/>
              </w:rPr>
              <w:t>2,5</w:t>
            </w:r>
          </w:p>
        </w:tc>
        <w:tc>
          <w:tcPr>
            <w:tcW w:w="317" w:type="pct"/>
            <w:shd w:val="clear" w:color="auto" w:fill="auto"/>
            <w:tcMar>
              <w:left w:w="57" w:type="dxa"/>
              <w:right w:w="57" w:type="dxa"/>
            </w:tcMar>
            <w:vAlign w:val="center"/>
          </w:tcPr>
          <w:p w14:paraId="1F0EC98C" w14:textId="77777777" w:rsidR="008F475D" w:rsidRPr="00532E47" w:rsidRDefault="008F475D">
            <w:pPr>
              <w:spacing w:line="276" w:lineRule="auto"/>
              <w:jc w:val="center"/>
              <w:rPr>
                <w:sz w:val="18"/>
                <w:szCs w:val="16"/>
              </w:rPr>
            </w:pPr>
            <w:r w:rsidRPr="00532E47">
              <w:rPr>
                <w:b/>
                <w:bCs/>
                <w:i/>
                <w:iCs/>
                <w:sz w:val="18"/>
                <w:szCs w:val="14"/>
              </w:rPr>
              <w:t> </w:t>
            </w:r>
          </w:p>
        </w:tc>
        <w:tc>
          <w:tcPr>
            <w:tcW w:w="448" w:type="pct"/>
            <w:tcMar>
              <w:left w:w="57" w:type="dxa"/>
              <w:right w:w="57" w:type="dxa"/>
            </w:tcMar>
            <w:vAlign w:val="center"/>
          </w:tcPr>
          <w:p w14:paraId="1556B42A" w14:textId="77777777" w:rsidR="008F475D" w:rsidRPr="00532E47" w:rsidRDefault="008F475D">
            <w:pPr>
              <w:spacing w:line="276" w:lineRule="auto"/>
              <w:jc w:val="center"/>
              <w:rPr>
                <w:sz w:val="18"/>
                <w:szCs w:val="16"/>
              </w:rPr>
            </w:pPr>
            <w:r w:rsidRPr="00532E47">
              <w:rPr>
                <w:b/>
                <w:bCs/>
                <w:i/>
                <w:iCs/>
                <w:sz w:val="18"/>
                <w:szCs w:val="14"/>
              </w:rPr>
              <w:t> </w:t>
            </w:r>
          </w:p>
        </w:tc>
        <w:tc>
          <w:tcPr>
            <w:tcW w:w="301" w:type="pct"/>
            <w:tcMar>
              <w:left w:w="57" w:type="dxa"/>
              <w:right w:w="57" w:type="dxa"/>
            </w:tcMar>
            <w:vAlign w:val="center"/>
          </w:tcPr>
          <w:p w14:paraId="3A4A5A7E" w14:textId="77777777" w:rsidR="008F475D" w:rsidRPr="00532E47" w:rsidRDefault="008F475D">
            <w:pPr>
              <w:spacing w:line="276" w:lineRule="auto"/>
              <w:jc w:val="center"/>
              <w:rPr>
                <w:sz w:val="18"/>
                <w:szCs w:val="16"/>
              </w:rPr>
            </w:pPr>
            <w:r w:rsidRPr="00532E47">
              <w:rPr>
                <w:b/>
                <w:bCs/>
                <w:i/>
                <w:iCs/>
                <w:sz w:val="18"/>
                <w:szCs w:val="14"/>
              </w:rPr>
              <w:t>5,0</w:t>
            </w:r>
          </w:p>
        </w:tc>
        <w:tc>
          <w:tcPr>
            <w:tcW w:w="317" w:type="pct"/>
            <w:shd w:val="clear" w:color="auto" w:fill="auto"/>
            <w:tcMar>
              <w:left w:w="57" w:type="dxa"/>
              <w:right w:w="57" w:type="dxa"/>
            </w:tcMar>
            <w:vAlign w:val="center"/>
          </w:tcPr>
          <w:p w14:paraId="517E6632" w14:textId="77777777" w:rsidR="008F475D" w:rsidRPr="00532E47" w:rsidRDefault="008F475D">
            <w:pPr>
              <w:spacing w:line="276" w:lineRule="auto"/>
              <w:jc w:val="center"/>
              <w:rPr>
                <w:sz w:val="18"/>
                <w:szCs w:val="16"/>
              </w:rPr>
            </w:pPr>
            <w:r w:rsidRPr="00532E47">
              <w:rPr>
                <w:b/>
                <w:bCs/>
                <w:i/>
                <w:iCs/>
                <w:sz w:val="18"/>
                <w:szCs w:val="14"/>
              </w:rPr>
              <w:t>2,5</w:t>
            </w:r>
          </w:p>
        </w:tc>
        <w:tc>
          <w:tcPr>
            <w:tcW w:w="419" w:type="pct"/>
            <w:tcMar>
              <w:left w:w="57" w:type="dxa"/>
              <w:right w:w="57" w:type="dxa"/>
            </w:tcMar>
            <w:vAlign w:val="center"/>
          </w:tcPr>
          <w:p w14:paraId="79235E82" w14:textId="77777777" w:rsidR="008F475D" w:rsidRPr="00532E47" w:rsidRDefault="008F475D">
            <w:pPr>
              <w:spacing w:line="276" w:lineRule="auto"/>
              <w:jc w:val="center"/>
              <w:rPr>
                <w:sz w:val="18"/>
                <w:szCs w:val="16"/>
              </w:rPr>
            </w:pPr>
            <w:r w:rsidRPr="00532E47">
              <w:rPr>
                <w:b/>
                <w:bCs/>
                <w:i/>
                <w:iCs/>
                <w:sz w:val="18"/>
                <w:szCs w:val="14"/>
              </w:rPr>
              <w:t> </w:t>
            </w:r>
          </w:p>
        </w:tc>
        <w:tc>
          <w:tcPr>
            <w:tcW w:w="485" w:type="pct"/>
            <w:tcMar>
              <w:left w:w="57" w:type="dxa"/>
              <w:right w:w="57" w:type="dxa"/>
            </w:tcMar>
            <w:vAlign w:val="center"/>
          </w:tcPr>
          <w:p w14:paraId="5CED92F7" w14:textId="77777777" w:rsidR="008F475D" w:rsidRPr="00532E47" w:rsidRDefault="008F475D">
            <w:pPr>
              <w:spacing w:line="276" w:lineRule="auto"/>
              <w:jc w:val="center"/>
              <w:rPr>
                <w:sz w:val="18"/>
                <w:szCs w:val="14"/>
              </w:rPr>
            </w:pPr>
            <w:r w:rsidRPr="00532E47">
              <w:rPr>
                <w:b/>
                <w:bCs/>
                <w:i/>
                <w:iCs/>
                <w:sz w:val="18"/>
                <w:szCs w:val="14"/>
              </w:rPr>
              <w:t> </w:t>
            </w:r>
          </w:p>
        </w:tc>
        <w:tc>
          <w:tcPr>
            <w:tcW w:w="317" w:type="pct"/>
            <w:shd w:val="clear" w:color="auto" w:fill="auto"/>
            <w:tcMar>
              <w:left w:w="57" w:type="dxa"/>
              <w:right w:w="57" w:type="dxa"/>
            </w:tcMar>
            <w:vAlign w:val="center"/>
          </w:tcPr>
          <w:p w14:paraId="212C03BF" w14:textId="77777777" w:rsidR="008F475D" w:rsidRPr="00532E47" w:rsidRDefault="008F475D">
            <w:pPr>
              <w:spacing w:line="276" w:lineRule="auto"/>
              <w:jc w:val="center"/>
              <w:rPr>
                <w:sz w:val="18"/>
                <w:szCs w:val="16"/>
              </w:rPr>
            </w:pPr>
            <w:r w:rsidRPr="00532E47">
              <w:rPr>
                <w:b/>
                <w:bCs/>
                <w:i/>
                <w:iCs/>
                <w:sz w:val="18"/>
                <w:szCs w:val="14"/>
              </w:rPr>
              <w:t>5,0</w:t>
            </w:r>
          </w:p>
        </w:tc>
        <w:tc>
          <w:tcPr>
            <w:tcW w:w="567" w:type="pct"/>
            <w:tcMar>
              <w:left w:w="57" w:type="dxa"/>
              <w:right w:w="57" w:type="dxa"/>
            </w:tcMar>
            <w:vAlign w:val="center"/>
          </w:tcPr>
          <w:p w14:paraId="30986D16" w14:textId="77777777" w:rsidR="008F475D" w:rsidRPr="00532E47" w:rsidRDefault="008F475D">
            <w:pPr>
              <w:spacing w:line="276" w:lineRule="auto"/>
              <w:jc w:val="center"/>
              <w:rPr>
                <w:sz w:val="18"/>
                <w:szCs w:val="16"/>
              </w:rPr>
            </w:pPr>
            <w:r w:rsidRPr="00532E47">
              <w:rPr>
                <w:b/>
                <w:bCs/>
                <w:i/>
                <w:iCs/>
                <w:sz w:val="18"/>
                <w:szCs w:val="14"/>
              </w:rPr>
              <w:t> </w:t>
            </w:r>
          </w:p>
        </w:tc>
      </w:tr>
      <w:tr w:rsidR="008F475D" w:rsidRPr="00532E47" w14:paraId="2A11961F" w14:textId="77777777" w:rsidTr="00113939">
        <w:trPr>
          <w:trHeight w:val="190"/>
        </w:trPr>
        <w:tc>
          <w:tcPr>
            <w:tcW w:w="1134" w:type="pct"/>
            <w:shd w:val="clear" w:color="auto" w:fill="auto"/>
            <w:vAlign w:val="center"/>
          </w:tcPr>
          <w:p w14:paraId="565E9DB1" w14:textId="77777777" w:rsidR="008F475D" w:rsidRPr="00532E47" w:rsidRDefault="008F475D">
            <w:pPr>
              <w:spacing w:line="276" w:lineRule="auto"/>
              <w:rPr>
                <w:sz w:val="18"/>
                <w:szCs w:val="18"/>
              </w:rPr>
            </w:pPr>
            <w:r w:rsidRPr="00532E47">
              <w:rPr>
                <w:sz w:val="18"/>
                <w:szCs w:val="18"/>
              </w:rPr>
              <w:t xml:space="preserve">ВСЕГО (без учета условно </w:t>
            </w:r>
            <w:proofErr w:type="gramStart"/>
            <w:r w:rsidRPr="00532E47">
              <w:rPr>
                <w:sz w:val="18"/>
                <w:szCs w:val="18"/>
              </w:rPr>
              <w:t>утвержденных</w:t>
            </w:r>
            <w:proofErr w:type="gramEnd"/>
            <w:r w:rsidRPr="00532E47">
              <w:rPr>
                <w:sz w:val="18"/>
                <w:szCs w:val="18"/>
              </w:rPr>
              <w:t>)</w:t>
            </w:r>
          </w:p>
        </w:tc>
        <w:tc>
          <w:tcPr>
            <w:tcW w:w="394" w:type="pct"/>
            <w:shd w:val="clear" w:color="auto" w:fill="auto"/>
            <w:tcMar>
              <w:left w:w="57" w:type="dxa"/>
              <w:right w:w="57" w:type="dxa"/>
            </w:tcMar>
            <w:vAlign w:val="center"/>
          </w:tcPr>
          <w:p w14:paraId="06D46DA4" w14:textId="77777777" w:rsidR="008F475D" w:rsidRPr="00532E47" w:rsidRDefault="008F475D">
            <w:pPr>
              <w:spacing w:line="276" w:lineRule="auto"/>
              <w:jc w:val="center"/>
              <w:rPr>
                <w:sz w:val="18"/>
                <w:szCs w:val="16"/>
              </w:rPr>
            </w:pPr>
            <w:r w:rsidRPr="00532E47">
              <w:rPr>
                <w:sz w:val="18"/>
                <w:szCs w:val="14"/>
              </w:rPr>
              <w:t>27 614 091,0</w:t>
            </w:r>
          </w:p>
        </w:tc>
        <w:tc>
          <w:tcPr>
            <w:tcW w:w="301" w:type="pct"/>
            <w:shd w:val="clear" w:color="auto" w:fill="auto"/>
            <w:tcMar>
              <w:left w:w="57" w:type="dxa"/>
              <w:right w:w="57" w:type="dxa"/>
            </w:tcMar>
            <w:vAlign w:val="center"/>
          </w:tcPr>
          <w:p w14:paraId="1E7ED3FE" w14:textId="77777777" w:rsidR="008F475D" w:rsidRPr="00532E47" w:rsidRDefault="008F475D">
            <w:pPr>
              <w:spacing w:line="276" w:lineRule="auto"/>
              <w:jc w:val="center"/>
              <w:rPr>
                <w:sz w:val="18"/>
                <w:szCs w:val="16"/>
              </w:rPr>
            </w:pPr>
            <w:r w:rsidRPr="00532E47">
              <w:rPr>
                <w:sz w:val="18"/>
                <w:szCs w:val="14"/>
              </w:rPr>
              <w:t>24 610 049,1</w:t>
            </w:r>
          </w:p>
        </w:tc>
        <w:tc>
          <w:tcPr>
            <w:tcW w:w="317" w:type="pct"/>
            <w:shd w:val="clear" w:color="auto" w:fill="auto"/>
            <w:tcMar>
              <w:left w:w="57" w:type="dxa"/>
              <w:right w:w="57" w:type="dxa"/>
            </w:tcMar>
            <w:vAlign w:val="center"/>
          </w:tcPr>
          <w:p w14:paraId="02977F95" w14:textId="77777777" w:rsidR="008F475D" w:rsidRPr="00532E47" w:rsidRDefault="008F475D">
            <w:pPr>
              <w:spacing w:line="276" w:lineRule="auto"/>
              <w:jc w:val="center"/>
              <w:rPr>
                <w:sz w:val="18"/>
                <w:szCs w:val="16"/>
              </w:rPr>
            </w:pPr>
            <w:r w:rsidRPr="00532E47">
              <w:rPr>
                <w:sz w:val="18"/>
                <w:szCs w:val="14"/>
              </w:rPr>
              <w:t>29 055 564,3</w:t>
            </w:r>
          </w:p>
        </w:tc>
        <w:tc>
          <w:tcPr>
            <w:tcW w:w="448" w:type="pct"/>
            <w:tcMar>
              <w:left w:w="57" w:type="dxa"/>
              <w:right w:w="57" w:type="dxa"/>
            </w:tcMar>
            <w:vAlign w:val="center"/>
          </w:tcPr>
          <w:p w14:paraId="09063579" w14:textId="77777777" w:rsidR="008F475D" w:rsidRPr="00532E47" w:rsidRDefault="008F475D">
            <w:pPr>
              <w:spacing w:line="276" w:lineRule="auto"/>
              <w:jc w:val="center"/>
              <w:rPr>
                <w:sz w:val="18"/>
                <w:szCs w:val="16"/>
              </w:rPr>
            </w:pPr>
            <w:r w:rsidRPr="00532E47">
              <w:rPr>
                <w:i/>
                <w:iCs/>
                <w:sz w:val="18"/>
                <w:szCs w:val="14"/>
              </w:rPr>
              <w:t>118,1</w:t>
            </w:r>
          </w:p>
        </w:tc>
        <w:tc>
          <w:tcPr>
            <w:tcW w:w="301" w:type="pct"/>
            <w:tcMar>
              <w:left w:w="57" w:type="dxa"/>
              <w:right w:w="57" w:type="dxa"/>
            </w:tcMar>
            <w:vAlign w:val="center"/>
          </w:tcPr>
          <w:p w14:paraId="4E3E1B3B" w14:textId="77777777" w:rsidR="008F475D" w:rsidRPr="00532E47" w:rsidRDefault="008F475D">
            <w:pPr>
              <w:spacing w:line="276" w:lineRule="auto"/>
              <w:jc w:val="center"/>
              <w:rPr>
                <w:sz w:val="18"/>
                <w:szCs w:val="16"/>
              </w:rPr>
            </w:pPr>
            <w:r w:rsidRPr="00532E47">
              <w:rPr>
                <w:sz w:val="18"/>
                <w:szCs w:val="14"/>
              </w:rPr>
              <w:t>25 036 681,3</w:t>
            </w:r>
          </w:p>
        </w:tc>
        <w:tc>
          <w:tcPr>
            <w:tcW w:w="317" w:type="pct"/>
            <w:shd w:val="clear" w:color="auto" w:fill="auto"/>
            <w:tcMar>
              <w:left w:w="57" w:type="dxa"/>
              <w:right w:w="57" w:type="dxa"/>
            </w:tcMar>
            <w:vAlign w:val="center"/>
          </w:tcPr>
          <w:p w14:paraId="3FA780B7" w14:textId="77777777" w:rsidR="008F475D" w:rsidRPr="00532E47" w:rsidRDefault="008F475D">
            <w:pPr>
              <w:spacing w:line="276" w:lineRule="auto"/>
              <w:jc w:val="center"/>
              <w:rPr>
                <w:sz w:val="18"/>
                <w:szCs w:val="16"/>
              </w:rPr>
            </w:pPr>
            <w:r w:rsidRPr="00532E47">
              <w:rPr>
                <w:sz w:val="18"/>
                <w:szCs w:val="14"/>
              </w:rPr>
              <w:t>28 696 664,5</w:t>
            </w:r>
          </w:p>
        </w:tc>
        <w:tc>
          <w:tcPr>
            <w:tcW w:w="419" w:type="pct"/>
            <w:tcMar>
              <w:left w:w="57" w:type="dxa"/>
              <w:right w:w="57" w:type="dxa"/>
            </w:tcMar>
            <w:vAlign w:val="center"/>
          </w:tcPr>
          <w:p w14:paraId="1801B251" w14:textId="77777777" w:rsidR="008F475D" w:rsidRPr="00532E47" w:rsidRDefault="008F475D">
            <w:pPr>
              <w:spacing w:line="276" w:lineRule="auto"/>
              <w:jc w:val="center"/>
              <w:rPr>
                <w:sz w:val="18"/>
                <w:szCs w:val="16"/>
              </w:rPr>
            </w:pPr>
            <w:r w:rsidRPr="00532E47">
              <w:rPr>
                <w:i/>
                <w:iCs/>
                <w:sz w:val="18"/>
                <w:szCs w:val="14"/>
              </w:rPr>
              <w:t>114,6</w:t>
            </w:r>
          </w:p>
        </w:tc>
        <w:tc>
          <w:tcPr>
            <w:tcW w:w="485" w:type="pct"/>
            <w:tcMar>
              <w:left w:w="57" w:type="dxa"/>
              <w:right w:w="57" w:type="dxa"/>
            </w:tcMar>
            <w:vAlign w:val="center"/>
          </w:tcPr>
          <w:p w14:paraId="14228BFE" w14:textId="77777777" w:rsidR="008F475D" w:rsidRPr="00532E47" w:rsidRDefault="008F475D">
            <w:pPr>
              <w:spacing w:line="276" w:lineRule="auto"/>
              <w:jc w:val="center"/>
              <w:rPr>
                <w:sz w:val="18"/>
                <w:szCs w:val="14"/>
              </w:rPr>
            </w:pPr>
            <w:r w:rsidRPr="00532E47">
              <w:rPr>
                <w:sz w:val="18"/>
                <w:szCs w:val="14"/>
              </w:rPr>
              <w:t>26 040 016,2</w:t>
            </w:r>
          </w:p>
        </w:tc>
        <w:tc>
          <w:tcPr>
            <w:tcW w:w="317" w:type="pct"/>
            <w:shd w:val="clear" w:color="auto" w:fill="auto"/>
            <w:tcMar>
              <w:left w:w="57" w:type="dxa"/>
              <w:right w:w="57" w:type="dxa"/>
            </w:tcMar>
            <w:vAlign w:val="center"/>
          </w:tcPr>
          <w:p w14:paraId="0C615C74" w14:textId="77777777" w:rsidR="008F475D" w:rsidRPr="00532E47" w:rsidRDefault="008F475D">
            <w:pPr>
              <w:spacing w:line="276" w:lineRule="auto"/>
              <w:jc w:val="center"/>
              <w:rPr>
                <w:sz w:val="18"/>
                <w:szCs w:val="16"/>
              </w:rPr>
            </w:pPr>
            <w:r w:rsidRPr="00532E47">
              <w:rPr>
                <w:sz w:val="18"/>
                <w:szCs w:val="14"/>
              </w:rPr>
              <w:t>27 781 561,1</w:t>
            </w:r>
          </w:p>
        </w:tc>
        <w:tc>
          <w:tcPr>
            <w:tcW w:w="567" w:type="pct"/>
            <w:tcMar>
              <w:left w:w="57" w:type="dxa"/>
              <w:right w:w="57" w:type="dxa"/>
            </w:tcMar>
            <w:vAlign w:val="center"/>
          </w:tcPr>
          <w:p w14:paraId="0E248511" w14:textId="77777777" w:rsidR="008F475D" w:rsidRPr="00532E47" w:rsidRDefault="008F475D">
            <w:pPr>
              <w:spacing w:line="276" w:lineRule="auto"/>
              <w:jc w:val="center"/>
              <w:rPr>
                <w:sz w:val="18"/>
                <w:szCs w:val="16"/>
              </w:rPr>
            </w:pPr>
            <w:r w:rsidRPr="00532E47">
              <w:rPr>
                <w:i/>
                <w:iCs/>
                <w:sz w:val="18"/>
                <w:szCs w:val="14"/>
              </w:rPr>
              <w:t>106,7</w:t>
            </w:r>
          </w:p>
        </w:tc>
      </w:tr>
      <w:tr w:rsidR="008F475D" w:rsidRPr="00532E47" w14:paraId="4BAC97B0" w14:textId="77777777" w:rsidTr="00113939">
        <w:trPr>
          <w:trHeight w:val="190"/>
        </w:trPr>
        <w:tc>
          <w:tcPr>
            <w:tcW w:w="1134" w:type="pct"/>
            <w:shd w:val="clear" w:color="auto" w:fill="auto"/>
            <w:vAlign w:val="center"/>
          </w:tcPr>
          <w:p w14:paraId="7FB8FEE5" w14:textId="77777777" w:rsidR="008F475D" w:rsidRPr="00532E47" w:rsidRDefault="008F475D">
            <w:pPr>
              <w:kinsoku w:val="0"/>
              <w:overflowPunct w:val="0"/>
              <w:spacing w:line="276" w:lineRule="auto"/>
              <w:textAlignment w:val="baseline"/>
              <w:rPr>
                <w:i/>
                <w:kern w:val="24"/>
                <w:sz w:val="18"/>
                <w:szCs w:val="18"/>
              </w:rPr>
            </w:pPr>
            <w:r w:rsidRPr="00532E47">
              <w:rPr>
                <w:i/>
                <w:kern w:val="24"/>
                <w:sz w:val="18"/>
                <w:szCs w:val="18"/>
              </w:rPr>
              <w:t>в том числе:</w:t>
            </w:r>
          </w:p>
        </w:tc>
        <w:tc>
          <w:tcPr>
            <w:tcW w:w="394" w:type="pct"/>
            <w:shd w:val="clear" w:color="auto" w:fill="auto"/>
            <w:tcMar>
              <w:left w:w="57" w:type="dxa"/>
              <w:right w:w="57" w:type="dxa"/>
            </w:tcMar>
            <w:vAlign w:val="center"/>
          </w:tcPr>
          <w:p w14:paraId="77179D03" w14:textId="77777777" w:rsidR="008F475D" w:rsidRPr="00532E47" w:rsidRDefault="008F475D">
            <w:pPr>
              <w:spacing w:line="276" w:lineRule="auto"/>
              <w:jc w:val="center"/>
              <w:rPr>
                <w:sz w:val="18"/>
                <w:szCs w:val="16"/>
              </w:rPr>
            </w:pPr>
            <w:r w:rsidRPr="00532E47">
              <w:rPr>
                <w:sz w:val="18"/>
                <w:szCs w:val="14"/>
              </w:rPr>
              <w:t> </w:t>
            </w:r>
          </w:p>
        </w:tc>
        <w:tc>
          <w:tcPr>
            <w:tcW w:w="301" w:type="pct"/>
            <w:shd w:val="clear" w:color="auto" w:fill="auto"/>
            <w:tcMar>
              <w:left w:w="57" w:type="dxa"/>
              <w:right w:w="57" w:type="dxa"/>
            </w:tcMar>
            <w:vAlign w:val="center"/>
          </w:tcPr>
          <w:p w14:paraId="5FEF65D0" w14:textId="77777777" w:rsidR="008F475D" w:rsidRPr="00532E47" w:rsidRDefault="008F475D">
            <w:pPr>
              <w:spacing w:line="276" w:lineRule="auto"/>
              <w:jc w:val="center"/>
              <w:rPr>
                <w:sz w:val="18"/>
                <w:szCs w:val="16"/>
              </w:rPr>
            </w:pPr>
            <w:r w:rsidRPr="00532E47">
              <w:rPr>
                <w:sz w:val="18"/>
                <w:szCs w:val="14"/>
              </w:rPr>
              <w:t> </w:t>
            </w:r>
          </w:p>
        </w:tc>
        <w:tc>
          <w:tcPr>
            <w:tcW w:w="317" w:type="pct"/>
            <w:shd w:val="clear" w:color="auto" w:fill="auto"/>
            <w:tcMar>
              <w:left w:w="57" w:type="dxa"/>
              <w:right w:w="57" w:type="dxa"/>
            </w:tcMar>
            <w:vAlign w:val="center"/>
          </w:tcPr>
          <w:p w14:paraId="7E21C1CA" w14:textId="77777777" w:rsidR="008F475D" w:rsidRPr="00532E47" w:rsidRDefault="008F475D">
            <w:pPr>
              <w:spacing w:line="276" w:lineRule="auto"/>
              <w:jc w:val="center"/>
              <w:rPr>
                <w:sz w:val="18"/>
                <w:szCs w:val="16"/>
              </w:rPr>
            </w:pPr>
            <w:r w:rsidRPr="00532E47">
              <w:rPr>
                <w:sz w:val="18"/>
                <w:szCs w:val="14"/>
              </w:rPr>
              <w:t> </w:t>
            </w:r>
          </w:p>
        </w:tc>
        <w:tc>
          <w:tcPr>
            <w:tcW w:w="448" w:type="pct"/>
            <w:tcMar>
              <w:left w:w="57" w:type="dxa"/>
              <w:right w:w="57" w:type="dxa"/>
            </w:tcMar>
            <w:vAlign w:val="center"/>
          </w:tcPr>
          <w:p w14:paraId="70144B6E" w14:textId="77777777" w:rsidR="008F475D" w:rsidRPr="00532E47" w:rsidRDefault="008F475D">
            <w:pPr>
              <w:spacing w:line="276" w:lineRule="auto"/>
              <w:jc w:val="center"/>
              <w:rPr>
                <w:sz w:val="18"/>
                <w:szCs w:val="16"/>
              </w:rPr>
            </w:pPr>
            <w:r w:rsidRPr="00532E47">
              <w:rPr>
                <w:i/>
                <w:iCs/>
                <w:sz w:val="18"/>
                <w:szCs w:val="14"/>
              </w:rPr>
              <w:t> </w:t>
            </w:r>
          </w:p>
        </w:tc>
        <w:tc>
          <w:tcPr>
            <w:tcW w:w="301" w:type="pct"/>
            <w:tcMar>
              <w:left w:w="57" w:type="dxa"/>
              <w:right w:w="57" w:type="dxa"/>
            </w:tcMar>
            <w:vAlign w:val="center"/>
          </w:tcPr>
          <w:p w14:paraId="559EAE46" w14:textId="77777777" w:rsidR="008F475D" w:rsidRPr="00532E47" w:rsidRDefault="008F475D">
            <w:pPr>
              <w:spacing w:line="276" w:lineRule="auto"/>
              <w:jc w:val="center"/>
              <w:rPr>
                <w:sz w:val="18"/>
                <w:szCs w:val="16"/>
              </w:rPr>
            </w:pPr>
            <w:r w:rsidRPr="00532E47">
              <w:rPr>
                <w:sz w:val="18"/>
                <w:szCs w:val="14"/>
              </w:rPr>
              <w:t> </w:t>
            </w:r>
          </w:p>
        </w:tc>
        <w:tc>
          <w:tcPr>
            <w:tcW w:w="317" w:type="pct"/>
            <w:shd w:val="clear" w:color="auto" w:fill="auto"/>
            <w:tcMar>
              <w:left w:w="57" w:type="dxa"/>
              <w:right w:w="57" w:type="dxa"/>
            </w:tcMar>
            <w:vAlign w:val="center"/>
          </w:tcPr>
          <w:p w14:paraId="4390A240" w14:textId="77777777" w:rsidR="008F475D" w:rsidRPr="00532E47" w:rsidRDefault="008F475D">
            <w:pPr>
              <w:spacing w:line="276" w:lineRule="auto"/>
              <w:jc w:val="center"/>
              <w:rPr>
                <w:sz w:val="18"/>
                <w:szCs w:val="16"/>
              </w:rPr>
            </w:pPr>
            <w:r w:rsidRPr="00532E47">
              <w:rPr>
                <w:sz w:val="18"/>
                <w:szCs w:val="14"/>
              </w:rPr>
              <w:t> </w:t>
            </w:r>
          </w:p>
        </w:tc>
        <w:tc>
          <w:tcPr>
            <w:tcW w:w="419" w:type="pct"/>
            <w:tcMar>
              <w:left w:w="57" w:type="dxa"/>
              <w:right w:w="57" w:type="dxa"/>
            </w:tcMar>
            <w:vAlign w:val="center"/>
          </w:tcPr>
          <w:p w14:paraId="1EAD3D88" w14:textId="77777777" w:rsidR="008F475D" w:rsidRPr="00532E47" w:rsidRDefault="008F475D">
            <w:pPr>
              <w:spacing w:line="276" w:lineRule="auto"/>
              <w:jc w:val="center"/>
              <w:rPr>
                <w:sz w:val="18"/>
                <w:szCs w:val="16"/>
              </w:rPr>
            </w:pPr>
            <w:r w:rsidRPr="00532E47">
              <w:rPr>
                <w:i/>
                <w:iCs/>
                <w:sz w:val="18"/>
                <w:szCs w:val="14"/>
              </w:rPr>
              <w:t> </w:t>
            </w:r>
          </w:p>
        </w:tc>
        <w:tc>
          <w:tcPr>
            <w:tcW w:w="485" w:type="pct"/>
            <w:tcMar>
              <w:left w:w="57" w:type="dxa"/>
              <w:right w:w="57" w:type="dxa"/>
            </w:tcMar>
            <w:vAlign w:val="center"/>
          </w:tcPr>
          <w:p w14:paraId="771E3A6F" w14:textId="77777777" w:rsidR="008F475D" w:rsidRPr="00532E47" w:rsidRDefault="008F475D">
            <w:pPr>
              <w:spacing w:line="276" w:lineRule="auto"/>
              <w:jc w:val="center"/>
              <w:rPr>
                <w:sz w:val="18"/>
                <w:szCs w:val="14"/>
              </w:rPr>
            </w:pPr>
            <w:r w:rsidRPr="00532E47">
              <w:rPr>
                <w:sz w:val="18"/>
                <w:szCs w:val="14"/>
              </w:rPr>
              <w:t> </w:t>
            </w:r>
          </w:p>
        </w:tc>
        <w:tc>
          <w:tcPr>
            <w:tcW w:w="317" w:type="pct"/>
            <w:shd w:val="clear" w:color="auto" w:fill="auto"/>
            <w:tcMar>
              <w:left w:w="57" w:type="dxa"/>
              <w:right w:w="57" w:type="dxa"/>
            </w:tcMar>
            <w:vAlign w:val="center"/>
          </w:tcPr>
          <w:p w14:paraId="5DB49EB9" w14:textId="77777777" w:rsidR="008F475D" w:rsidRPr="00532E47" w:rsidRDefault="008F475D">
            <w:pPr>
              <w:spacing w:line="276" w:lineRule="auto"/>
              <w:jc w:val="center"/>
              <w:rPr>
                <w:sz w:val="18"/>
                <w:szCs w:val="16"/>
              </w:rPr>
            </w:pPr>
            <w:r w:rsidRPr="00532E47">
              <w:rPr>
                <w:i/>
                <w:iCs/>
                <w:sz w:val="18"/>
                <w:szCs w:val="14"/>
              </w:rPr>
              <w:t> </w:t>
            </w:r>
          </w:p>
        </w:tc>
        <w:tc>
          <w:tcPr>
            <w:tcW w:w="567" w:type="pct"/>
            <w:tcMar>
              <w:left w:w="57" w:type="dxa"/>
              <w:right w:w="57" w:type="dxa"/>
            </w:tcMar>
            <w:vAlign w:val="center"/>
          </w:tcPr>
          <w:p w14:paraId="7539F659" w14:textId="77777777" w:rsidR="008F475D" w:rsidRPr="00532E47" w:rsidRDefault="008F475D">
            <w:pPr>
              <w:spacing w:line="276" w:lineRule="auto"/>
              <w:jc w:val="center"/>
              <w:rPr>
                <w:sz w:val="18"/>
                <w:szCs w:val="16"/>
              </w:rPr>
            </w:pPr>
            <w:r w:rsidRPr="00532E47">
              <w:rPr>
                <w:i/>
                <w:iCs/>
                <w:sz w:val="18"/>
                <w:szCs w:val="14"/>
              </w:rPr>
              <w:t> </w:t>
            </w:r>
          </w:p>
        </w:tc>
      </w:tr>
      <w:tr w:rsidR="008F475D" w:rsidRPr="00532E47" w14:paraId="669D4A44" w14:textId="77777777" w:rsidTr="00113939">
        <w:trPr>
          <w:trHeight w:val="190"/>
        </w:trPr>
        <w:tc>
          <w:tcPr>
            <w:tcW w:w="1134" w:type="pct"/>
            <w:shd w:val="clear" w:color="auto" w:fill="auto"/>
            <w:vAlign w:val="center"/>
          </w:tcPr>
          <w:p w14:paraId="37440F62" w14:textId="77777777" w:rsidR="008F475D" w:rsidRPr="00532E47" w:rsidRDefault="008F475D">
            <w:pPr>
              <w:kinsoku w:val="0"/>
              <w:overflowPunct w:val="0"/>
              <w:spacing w:line="276" w:lineRule="auto"/>
              <w:textAlignment w:val="baseline"/>
              <w:rPr>
                <w:kern w:val="24"/>
                <w:sz w:val="18"/>
                <w:szCs w:val="18"/>
              </w:rPr>
            </w:pPr>
            <w:r w:rsidRPr="00532E47">
              <w:rPr>
                <w:kern w:val="24"/>
                <w:sz w:val="18"/>
                <w:szCs w:val="18"/>
              </w:rPr>
              <w:t>Национальная оборона</w:t>
            </w:r>
          </w:p>
        </w:tc>
        <w:tc>
          <w:tcPr>
            <w:tcW w:w="394" w:type="pct"/>
            <w:shd w:val="clear" w:color="auto" w:fill="auto"/>
            <w:tcMar>
              <w:left w:w="57" w:type="dxa"/>
              <w:right w:w="57" w:type="dxa"/>
            </w:tcMar>
            <w:vAlign w:val="center"/>
          </w:tcPr>
          <w:p w14:paraId="490EF147" w14:textId="77777777" w:rsidR="008F475D" w:rsidRPr="00532E47" w:rsidRDefault="008F475D">
            <w:pPr>
              <w:spacing w:line="276" w:lineRule="auto"/>
              <w:jc w:val="center"/>
              <w:rPr>
                <w:sz w:val="18"/>
                <w:szCs w:val="16"/>
              </w:rPr>
            </w:pPr>
            <w:r w:rsidRPr="00532E47">
              <w:rPr>
                <w:b/>
                <w:bCs/>
                <w:sz w:val="18"/>
                <w:szCs w:val="14"/>
              </w:rPr>
              <w:t>4 678 654,8</w:t>
            </w:r>
          </w:p>
        </w:tc>
        <w:tc>
          <w:tcPr>
            <w:tcW w:w="301" w:type="pct"/>
            <w:shd w:val="clear" w:color="auto" w:fill="auto"/>
            <w:tcMar>
              <w:left w:w="57" w:type="dxa"/>
              <w:right w:w="57" w:type="dxa"/>
            </w:tcMar>
            <w:vAlign w:val="center"/>
          </w:tcPr>
          <w:p w14:paraId="5D4AFFFE" w14:textId="77777777" w:rsidR="008F475D" w:rsidRPr="00532E47" w:rsidRDefault="008F475D">
            <w:pPr>
              <w:spacing w:line="276" w:lineRule="auto"/>
              <w:jc w:val="center"/>
              <w:rPr>
                <w:sz w:val="18"/>
                <w:szCs w:val="16"/>
              </w:rPr>
            </w:pPr>
            <w:r w:rsidRPr="00532E47">
              <w:rPr>
                <w:b/>
                <w:bCs/>
                <w:sz w:val="18"/>
                <w:szCs w:val="14"/>
              </w:rPr>
              <w:t>3 472 764,9</w:t>
            </w:r>
          </w:p>
        </w:tc>
        <w:tc>
          <w:tcPr>
            <w:tcW w:w="317" w:type="pct"/>
            <w:shd w:val="clear" w:color="auto" w:fill="auto"/>
            <w:tcMar>
              <w:left w:w="57" w:type="dxa"/>
              <w:right w:w="57" w:type="dxa"/>
            </w:tcMar>
            <w:vAlign w:val="center"/>
          </w:tcPr>
          <w:p w14:paraId="214B8CE4" w14:textId="77777777" w:rsidR="008F475D" w:rsidRPr="00532E47" w:rsidRDefault="008F475D">
            <w:pPr>
              <w:spacing w:line="276" w:lineRule="auto"/>
              <w:jc w:val="center"/>
              <w:rPr>
                <w:sz w:val="18"/>
                <w:szCs w:val="16"/>
              </w:rPr>
            </w:pPr>
            <w:r w:rsidRPr="00532E47">
              <w:rPr>
                <w:b/>
                <w:bCs/>
                <w:sz w:val="18"/>
                <w:szCs w:val="14"/>
              </w:rPr>
              <w:t>4 981 606,2</w:t>
            </w:r>
          </w:p>
        </w:tc>
        <w:tc>
          <w:tcPr>
            <w:tcW w:w="448" w:type="pct"/>
            <w:tcMar>
              <w:left w:w="57" w:type="dxa"/>
              <w:right w:w="57" w:type="dxa"/>
            </w:tcMar>
            <w:vAlign w:val="center"/>
          </w:tcPr>
          <w:p w14:paraId="6A68C398" w14:textId="77777777" w:rsidR="008F475D" w:rsidRPr="00532E47" w:rsidRDefault="008F475D">
            <w:pPr>
              <w:spacing w:line="276" w:lineRule="auto"/>
              <w:jc w:val="center"/>
              <w:rPr>
                <w:sz w:val="18"/>
                <w:szCs w:val="16"/>
              </w:rPr>
            </w:pPr>
            <w:r w:rsidRPr="00532E47">
              <w:rPr>
                <w:b/>
                <w:bCs/>
                <w:i/>
                <w:iCs/>
                <w:sz w:val="18"/>
                <w:szCs w:val="14"/>
              </w:rPr>
              <w:t>143,4</w:t>
            </w:r>
          </w:p>
        </w:tc>
        <w:tc>
          <w:tcPr>
            <w:tcW w:w="301" w:type="pct"/>
            <w:tcMar>
              <w:left w:w="57" w:type="dxa"/>
              <w:right w:w="57" w:type="dxa"/>
            </w:tcMar>
            <w:vAlign w:val="center"/>
          </w:tcPr>
          <w:p w14:paraId="502483F9" w14:textId="77777777" w:rsidR="008F475D" w:rsidRPr="00532E47" w:rsidRDefault="008F475D">
            <w:pPr>
              <w:spacing w:line="276" w:lineRule="auto"/>
              <w:jc w:val="center"/>
              <w:rPr>
                <w:sz w:val="18"/>
                <w:szCs w:val="16"/>
              </w:rPr>
            </w:pPr>
            <w:r w:rsidRPr="00532E47">
              <w:rPr>
                <w:b/>
                <w:bCs/>
                <w:sz w:val="18"/>
                <w:szCs w:val="14"/>
              </w:rPr>
              <w:t>3 611 085,9</w:t>
            </w:r>
          </w:p>
        </w:tc>
        <w:tc>
          <w:tcPr>
            <w:tcW w:w="317" w:type="pct"/>
            <w:shd w:val="clear" w:color="auto" w:fill="auto"/>
            <w:tcMar>
              <w:left w:w="57" w:type="dxa"/>
              <w:right w:w="57" w:type="dxa"/>
            </w:tcMar>
            <w:vAlign w:val="center"/>
          </w:tcPr>
          <w:p w14:paraId="23E7B48F" w14:textId="77777777" w:rsidR="008F475D" w:rsidRPr="00532E47" w:rsidRDefault="008F475D">
            <w:pPr>
              <w:spacing w:line="276" w:lineRule="auto"/>
              <w:jc w:val="center"/>
              <w:rPr>
                <w:sz w:val="18"/>
                <w:szCs w:val="16"/>
              </w:rPr>
            </w:pPr>
            <w:r w:rsidRPr="00532E47">
              <w:rPr>
                <w:b/>
                <w:bCs/>
                <w:sz w:val="18"/>
                <w:szCs w:val="14"/>
              </w:rPr>
              <w:t>4 648 845,0</w:t>
            </w:r>
          </w:p>
        </w:tc>
        <w:tc>
          <w:tcPr>
            <w:tcW w:w="419" w:type="pct"/>
            <w:tcMar>
              <w:left w:w="57" w:type="dxa"/>
              <w:right w:w="57" w:type="dxa"/>
            </w:tcMar>
            <w:vAlign w:val="center"/>
          </w:tcPr>
          <w:p w14:paraId="0B06A845" w14:textId="77777777" w:rsidR="008F475D" w:rsidRPr="00532E47" w:rsidRDefault="008F475D">
            <w:pPr>
              <w:spacing w:line="276" w:lineRule="auto"/>
              <w:jc w:val="center"/>
              <w:rPr>
                <w:sz w:val="18"/>
                <w:szCs w:val="16"/>
              </w:rPr>
            </w:pPr>
            <w:r w:rsidRPr="00532E47">
              <w:rPr>
                <w:b/>
                <w:bCs/>
                <w:i/>
                <w:iCs/>
                <w:sz w:val="18"/>
                <w:szCs w:val="14"/>
              </w:rPr>
              <w:t>128,7</w:t>
            </w:r>
          </w:p>
        </w:tc>
        <w:tc>
          <w:tcPr>
            <w:tcW w:w="485" w:type="pct"/>
            <w:tcMar>
              <w:left w:w="57" w:type="dxa"/>
              <w:right w:w="57" w:type="dxa"/>
            </w:tcMar>
            <w:vAlign w:val="center"/>
          </w:tcPr>
          <w:p w14:paraId="19721C23" w14:textId="77777777" w:rsidR="008F475D" w:rsidRPr="00532E47" w:rsidRDefault="008F475D">
            <w:pPr>
              <w:spacing w:line="276" w:lineRule="auto"/>
              <w:jc w:val="center"/>
              <w:rPr>
                <w:sz w:val="18"/>
                <w:szCs w:val="14"/>
              </w:rPr>
            </w:pPr>
            <w:r w:rsidRPr="00532E47">
              <w:rPr>
                <w:b/>
                <w:bCs/>
                <w:sz w:val="18"/>
                <w:szCs w:val="14"/>
              </w:rPr>
              <w:t>4 197 360,0</w:t>
            </w:r>
          </w:p>
        </w:tc>
        <w:tc>
          <w:tcPr>
            <w:tcW w:w="317" w:type="pct"/>
            <w:shd w:val="clear" w:color="auto" w:fill="auto"/>
            <w:tcMar>
              <w:left w:w="57" w:type="dxa"/>
              <w:right w:w="57" w:type="dxa"/>
            </w:tcMar>
            <w:vAlign w:val="center"/>
          </w:tcPr>
          <w:p w14:paraId="49AE1F9D" w14:textId="77777777" w:rsidR="008F475D" w:rsidRPr="00532E47" w:rsidRDefault="008F475D">
            <w:pPr>
              <w:spacing w:line="276" w:lineRule="auto"/>
              <w:jc w:val="center"/>
              <w:rPr>
                <w:sz w:val="18"/>
                <w:szCs w:val="16"/>
              </w:rPr>
            </w:pPr>
            <w:r w:rsidRPr="00532E47">
              <w:rPr>
                <w:b/>
                <w:bCs/>
                <w:sz w:val="18"/>
                <w:szCs w:val="14"/>
              </w:rPr>
              <w:t>4 208 364,9</w:t>
            </w:r>
          </w:p>
        </w:tc>
        <w:tc>
          <w:tcPr>
            <w:tcW w:w="567" w:type="pct"/>
            <w:tcMar>
              <w:left w:w="57" w:type="dxa"/>
              <w:right w:w="57" w:type="dxa"/>
            </w:tcMar>
            <w:vAlign w:val="center"/>
          </w:tcPr>
          <w:p w14:paraId="37FFAD04" w14:textId="77777777" w:rsidR="008F475D" w:rsidRPr="00532E47" w:rsidRDefault="008F475D">
            <w:pPr>
              <w:spacing w:line="276" w:lineRule="auto"/>
              <w:jc w:val="center"/>
              <w:rPr>
                <w:sz w:val="18"/>
                <w:szCs w:val="16"/>
              </w:rPr>
            </w:pPr>
            <w:r w:rsidRPr="00532E47">
              <w:rPr>
                <w:b/>
                <w:bCs/>
                <w:i/>
                <w:iCs/>
                <w:sz w:val="18"/>
                <w:szCs w:val="14"/>
              </w:rPr>
              <w:t>100,3</w:t>
            </w:r>
          </w:p>
        </w:tc>
      </w:tr>
      <w:tr w:rsidR="008F475D" w:rsidRPr="00532E47" w14:paraId="0BAC0F5E" w14:textId="77777777" w:rsidTr="00113939">
        <w:trPr>
          <w:trHeight w:val="190"/>
        </w:trPr>
        <w:tc>
          <w:tcPr>
            <w:tcW w:w="1134" w:type="pct"/>
            <w:shd w:val="clear" w:color="auto" w:fill="auto"/>
            <w:vAlign w:val="center"/>
          </w:tcPr>
          <w:p w14:paraId="3B370E69" w14:textId="77777777" w:rsidR="008F475D" w:rsidRPr="00532E47" w:rsidRDefault="008F475D">
            <w:pPr>
              <w:kinsoku w:val="0"/>
              <w:overflowPunct w:val="0"/>
              <w:spacing w:line="276" w:lineRule="auto"/>
              <w:textAlignment w:val="baseline"/>
              <w:rPr>
                <w:i/>
                <w:kern w:val="24"/>
                <w:sz w:val="18"/>
                <w:szCs w:val="18"/>
              </w:rPr>
            </w:pPr>
            <w:r w:rsidRPr="00532E47">
              <w:rPr>
                <w:i/>
                <w:kern w:val="24"/>
                <w:sz w:val="18"/>
                <w:szCs w:val="18"/>
              </w:rPr>
              <w:t>%% к ВВП</w:t>
            </w:r>
          </w:p>
        </w:tc>
        <w:tc>
          <w:tcPr>
            <w:tcW w:w="394" w:type="pct"/>
            <w:shd w:val="clear" w:color="auto" w:fill="auto"/>
            <w:tcMar>
              <w:left w:w="57" w:type="dxa"/>
              <w:right w:w="57" w:type="dxa"/>
            </w:tcMar>
            <w:vAlign w:val="center"/>
          </w:tcPr>
          <w:p w14:paraId="4A30A7B6" w14:textId="77777777" w:rsidR="008F475D" w:rsidRPr="00532E47" w:rsidRDefault="008F475D">
            <w:pPr>
              <w:spacing w:line="276" w:lineRule="auto"/>
              <w:jc w:val="center"/>
              <w:rPr>
                <w:sz w:val="18"/>
                <w:szCs w:val="16"/>
              </w:rPr>
            </w:pPr>
            <w:r w:rsidRPr="00532E47">
              <w:rPr>
                <w:i/>
                <w:iCs/>
                <w:sz w:val="18"/>
                <w:szCs w:val="14"/>
              </w:rPr>
              <w:t>3,2</w:t>
            </w:r>
          </w:p>
        </w:tc>
        <w:tc>
          <w:tcPr>
            <w:tcW w:w="301" w:type="pct"/>
            <w:shd w:val="clear" w:color="auto" w:fill="auto"/>
            <w:tcMar>
              <w:left w:w="57" w:type="dxa"/>
              <w:right w:w="57" w:type="dxa"/>
            </w:tcMar>
            <w:vAlign w:val="center"/>
          </w:tcPr>
          <w:p w14:paraId="479EDB97" w14:textId="77777777" w:rsidR="008F475D" w:rsidRPr="00532E47" w:rsidRDefault="008F475D">
            <w:pPr>
              <w:spacing w:line="276" w:lineRule="auto"/>
              <w:jc w:val="center"/>
              <w:rPr>
                <w:sz w:val="18"/>
                <w:szCs w:val="16"/>
              </w:rPr>
            </w:pPr>
            <w:r w:rsidRPr="00532E47">
              <w:rPr>
                <w:i/>
                <w:iCs/>
                <w:sz w:val="18"/>
                <w:szCs w:val="14"/>
              </w:rPr>
              <w:t>2,4</w:t>
            </w:r>
          </w:p>
        </w:tc>
        <w:tc>
          <w:tcPr>
            <w:tcW w:w="317" w:type="pct"/>
            <w:shd w:val="clear" w:color="auto" w:fill="auto"/>
            <w:tcMar>
              <w:left w:w="57" w:type="dxa"/>
              <w:right w:w="57" w:type="dxa"/>
            </w:tcMar>
            <w:vAlign w:val="center"/>
          </w:tcPr>
          <w:p w14:paraId="345B0DF7" w14:textId="77777777" w:rsidR="008F475D" w:rsidRPr="00532E47" w:rsidRDefault="008F475D">
            <w:pPr>
              <w:spacing w:line="276" w:lineRule="auto"/>
              <w:jc w:val="center"/>
              <w:rPr>
                <w:sz w:val="18"/>
                <w:szCs w:val="16"/>
              </w:rPr>
            </w:pPr>
            <w:r w:rsidRPr="00532E47">
              <w:rPr>
                <w:i/>
                <w:iCs/>
                <w:sz w:val="18"/>
                <w:szCs w:val="14"/>
              </w:rPr>
              <w:t>3,3</w:t>
            </w:r>
          </w:p>
        </w:tc>
        <w:tc>
          <w:tcPr>
            <w:tcW w:w="448" w:type="pct"/>
            <w:tcMar>
              <w:left w:w="57" w:type="dxa"/>
              <w:right w:w="57" w:type="dxa"/>
            </w:tcMar>
            <w:vAlign w:val="center"/>
          </w:tcPr>
          <w:p w14:paraId="24339BF7" w14:textId="77777777" w:rsidR="008F475D" w:rsidRPr="00532E47" w:rsidRDefault="008F475D">
            <w:pPr>
              <w:spacing w:line="276" w:lineRule="auto"/>
              <w:jc w:val="center"/>
              <w:rPr>
                <w:sz w:val="18"/>
                <w:szCs w:val="16"/>
              </w:rPr>
            </w:pPr>
            <w:r w:rsidRPr="00532E47">
              <w:rPr>
                <w:i/>
                <w:iCs/>
                <w:sz w:val="18"/>
                <w:szCs w:val="14"/>
              </w:rPr>
              <w:t> </w:t>
            </w:r>
          </w:p>
        </w:tc>
        <w:tc>
          <w:tcPr>
            <w:tcW w:w="301" w:type="pct"/>
            <w:tcMar>
              <w:left w:w="57" w:type="dxa"/>
              <w:right w:w="57" w:type="dxa"/>
            </w:tcMar>
            <w:vAlign w:val="center"/>
          </w:tcPr>
          <w:p w14:paraId="6AF32766" w14:textId="77777777" w:rsidR="008F475D" w:rsidRPr="00532E47" w:rsidRDefault="008F475D">
            <w:pPr>
              <w:spacing w:line="276" w:lineRule="auto"/>
              <w:jc w:val="center"/>
              <w:rPr>
                <w:sz w:val="18"/>
                <w:szCs w:val="16"/>
              </w:rPr>
            </w:pPr>
            <w:r w:rsidRPr="00532E47">
              <w:rPr>
                <w:i/>
                <w:iCs/>
                <w:sz w:val="18"/>
                <w:szCs w:val="14"/>
              </w:rPr>
              <w:t>2,4</w:t>
            </w:r>
          </w:p>
        </w:tc>
        <w:tc>
          <w:tcPr>
            <w:tcW w:w="317" w:type="pct"/>
            <w:shd w:val="clear" w:color="auto" w:fill="auto"/>
            <w:tcMar>
              <w:left w:w="57" w:type="dxa"/>
              <w:right w:w="57" w:type="dxa"/>
            </w:tcMar>
            <w:vAlign w:val="center"/>
          </w:tcPr>
          <w:p w14:paraId="0D3B57A3" w14:textId="77777777" w:rsidR="008F475D" w:rsidRPr="00532E47" w:rsidRDefault="008F475D">
            <w:pPr>
              <w:spacing w:line="276" w:lineRule="auto"/>
              <w:jc w:val="center"/>
              <w:rPr>
                <w:sz w:val="18"/>
                <w:szCs w:val="16"/>
              </w:rPr>
            </w:pPr>
            <w:r w:rsidRPr="00532E47">
              <w:rPr>
                <w:i/>
                <w:iCs/>
                <w:sz w:val="18"/>
                <w:szCs w:val="14"/>
              </w:rPr>
              <w:t>2,9</w:t>
            </w:r>
          </w:p>
        </w:tc>
        <w:tc>
          <w:tcPr>
            <w:tcW w:w="419" w:type="pct"/>
            <w:tcMar>
              <w:left w:w="57" w:type="dxa"/>
              <w:right w:w="57" w:type="dxa"/>
            </w:tcMar>
            <w:vAlign w:val="center"/>
          </w:tcPr>
          <w:p w14:paraId="389DCB20" w14:textId="77777777" w:rsidR="008F475D" w:rsidRPr="00532E47" w:rsidRDefault="008F475D">
            <w:pPr>
              <w:spacing w:line="276" w:lineRule="auto"/>
              <w:jc w:val="center"/>
              <w:rPr>
                <w:sz w:val="18"/>
                <w:szCs w:val="16"/>
              </w:rPr>
            </w:pPr>
            <w:r w:rsidRPr="00532E47">
              <w:rPr>
                <w:i/>
                <w:iCs/>
                <w:sz w:val="18"/>
                <w:szCs w:val="14"/>
              </w:rPr>
              <w:t> </w:t>
            </w:r>
          </w:p>
        </w:tc>
        <w:tc>
          <w:tcPr>
            <w:tcW w:w="485" w:type="pct"/>
            <w:tcMar>
              <w:left w:w="57" w:type="dxa"/>
              <w:right w:w="57" w:type="dxa"/>
            </w:tcMar>
            <w:vAlign w:val="center"/>
          </w:tcPr>
          <w:p w14:paraId="18866C56" w14:textId="77777777" w:rsidR="008F475D" w:rsidRPr="00532E47" w:rsidRDefault="008F475D">
            <w:pPr>
              <w:spacing w:line="276" w:lineRule="auto"/>
              <w:jc w:val="center"/>
              <w:rPr>
                <w:sz w:val="18"/>
                <w:szCs w:val="14"/>
              </w:rPr>
            </w:pPr>
            <w:r w:rsidRPr="00532E47">
              <w:rPr>
                <w:i/>
                <w:iCs/>
                <w:sz w:val="18"/>
                <w:szCs w:val="14"/>
              </w:rPr>
              <w:t>2,6</w:t>
            </w:r>
          </w:p>
        </w:tc>
        <w:tc>
          <w:tcPr>
            <w:tcW w:w="317" w:type="pct"/>
            <w:shd w:val="clear" w:color="auto" w:fill="auto"/>
            <w:tcMar>
              <w:left w:w="57" w:type="dxa"/>
              <w:right w:w="57" w:type="dxa"/>
            </w:tcMar>
            <w:vAlign w:val="center"/>
          </w:tcPr>
          <w:p w14:paraId="77F6CD52" w14:textId="77777777" w:rsidR="008F475D" w:rsidRPr="00532E47" w:rsidRDefault="008F475D">
            <w:pPr>
              <w:spacing w:line="276" w:lineRule="auto"/>
              <w:jc w:val="center"/>
              <w:rPr>
                <w:sz w:val="18"/>
                <w:szCs w:val="16"/>
              </w:rPr>
            </w:pPr>
            <w:r w:rsidRPr="00532E47">
              <w:rPr>
                <w:i/>
                <w:iCs/>
                <w:sz w:val="18"/>
                <w:szCs w:val="14"/>
              </w:rPr>
              <w:t>2,5</w:t>
            </w:r>
          </w:p>
        </w:tc>
        <w:tc>
          <w:tcPr>
            <w:tcW w:w="567" w:type="pct"/>
            <w:tcMar>
              <w:left w:w="57" w:type="dxa"/>
              <w:right w:w="57" w:type="dxa"/>
            </w:tcMar>
            <w:vAlign w:val="center"/>
          </w:tcPr>
          <w:p w14:paraId="522FB7D4" w14:textId="77777777" w:rsidR="008F475D" w:rsidRPr="00532E47" w:rsidRDefault="008F475D">
            <w:pPr>
              <w:spacing w:line="276" w:lineRule="auto"/>
              <w:jc w:val="center"/>
              <w:rPr>
                <w:sz w:val="18"/>
                <w:szCs w:val="16"/>
              </w:rPr>
            </w:pPr>
            <w:r w:rsidRPr="00532E47">
              <w:rPr>
                <w:i/>
                <w:iCs/>
                <w:sz w:val="18"/>
                <w:szCs w:val="14"/>
              </w:rPr>
              <w:t> </w:t>
            </w:r>
          </w:p>
        </w:tc>
      </w:tr>
      <w:tr w:rsidR="008F475D" w:rsidRPr="00532E47" w14:paraId="0AF3D7D9" w14:textId="77777777" w:rsidTr="00113939">
        <w:trPr>
          <w:trHeight w:val="190"/>
        </w:trPr>
        <w:tc>
          <w:tcPr>
            <w:tcW w:w="1134" w:type="pct"/>
            <w:shd w:val="clear" w:color="auto" w:fill="auto"/>
            <w:vAlign w:val="center"/>
          </w:tcPr>
          <w:p w14:paraId="62D64A56" w14:textId="77777777" w:rsidR="008F475D" w:rsidRPr="00532E47" w:rsidRDefault="008F475D">
            <w:pPr>
              <w:kinsoku w:val="0"/>
              <w:overflowPunct w:val="0"/>
              <w:spacing w:line="276" w:lineRule="auto"/>
              <w:textAlignment w:val="baseline"/>
              <w:rPr>
                <w:i/>
                <w:kern w:val="24"/>
                <w:sz w:val="18"/>
                <w:szCs w:val="18"/>
              </w:rPr>
            </w:pPr>
            <w:r w:rsidRPr="00532E47">
              <w:rPr>
                <w:i/>
                <w:sz w:val="18"/>
                <w:szCs w:val="18"/>
              </w:rPr>
              <w:t>доля в общем объеме расходов, % (без учета условно утвержденных)</w:t>
            </w:r>
          </w:p>
        </w:tc>
        <w:tc>
          <w:tcPr>
            <w:tcW w:w="394" w:type="pct"/>
            <w:shd w:val="clear" w:color="auto" w:fill="auto"/>
            <w:tcMar>
              <w:left w:w="57" w:type="dxa"/>
              <w:right w:w="57" w:type="dxa"/>
            </w:tcMar>
            <w:vAlign w:val="center"/>
          </w:tcPr>
          <w:p w14:paraId="51EEA021" w14:textId="77777777" w:rsidR="008F475D" w:rsidRPr="00532E47" w:rsidRDefault="008F475D">
            <w:pPr>
              <w:spacing w:line="276" w:lineRule="auto"/>
              <w:jc w:val="center"/>
              <w:rPr>
                <w:sz w:val="18"/>
                <w:szCs w:val="16"/>
              </w:rPr>
            </w:pPr>
            <w:r w:rsidRPr="00532E47">
              <w:rPr>
                <w:i/>
                <w:iCs/>
                <w:sz w:val="18"/>
                <w:szCs w:val="14"/>
              </w:rPr>
              <w:t>16,9</w:t>
            </w:r>
          </w:p>
        </w:tc>
        <w:tc>
          <w:tcPr>
            <w:tcW w:w="301" w:type="pct"/>
            <w:shd w:val="clear" w:color="auto" w:fill="auto"/>
            <w:tcMar>
              <w:left w:w="57" w:type="dxa"/>
              <w:right w:w="57" w:type="dxa"/>
            </w:tcMar>
            <w:vAlign w:val="center"/>
          </w:tcPr>
          <w:p w14:paraId="4A81F87D" w14:textId="77777777" w:rsidR="008F475D" w:rsidRPr="00532E47" w:rsidRDefault="008F475D">
            <w:pPr>
              <w:spacing w:line="276" w:lineRule="auto"/>
              <w:jc w:val="center"/>
              <w:rPr>
                <w:sz w:val="18"/>
                <w:szCs w:val="16"/>
              </w:rPr>
            </w:pPr>
            <w:r w:rsidRPr="00532E47">
              <w:rPr>
                <w:i/>
                <w:iCs/>
                <w:sz w:val="18"/>
                <w:szCs w:val="14"/>
              </w:rPr>
              <w:t>14,1</w:t>
            </w:r>
          </w:p>
        </w:tc>
        <w:tc>
          <w:tcPr>
            <w:tcW w:w="317" w:type="pct"/>
            <w:shd w:val="clear" w:color="auto" w:fill="auto"/>
            <w:tcMar>
              <w:left w:w="57" w:type="dxa"/>
              <w:right w:w="57" w:type="dxa"/>
            </w:tcMar>
            <w:vAlign w:val="center"/>
          </w:tcPr>
          <w:p w14:paraId="7726BFD4" w14:textId="77777777" w:rsidR="008F475D" w:rsidRPr="00532E47" w:rsidRDefault="008F475D">
            <w:pPr>
              <w:spacing w:line="276" w:lineRule="auto"/>
              <w:jc w:val="center"/>
              <w:rPr>
                <w:sz w:val="18"/>
                <w:szCs w:val="16"/>
              </w:rPr>
            </w:pPr>
            <w:r w:rsidRPr="00532E47">
              <w:rPr>
                <w:i/>
                <w:iCs/>
                <w:sz w:val="18"/>
                <w:szCs w:val="14"/>
              </w:rPr>
              <w:t>17,1</w:t>
            </w:r>
          </w:p>
        </w:tc>
        <w:tc>
          <w:tcPr>
            <w:tcW w:w="448" w:type="pct"/>
            <w:tcMar>
              <w:left w:w="57" w:type="dxa"/>
              <w:right w:w="57" w:type="dxa"/>
            </w:tcMar>
            <w:vAlign w:val="center"/>
          </w:tcPr>
          <w:p w14:paraId="249A21DA" w14:textId="77777777" w:rsidR="008F475D" w:rsidRPr="00532E47" w:rsidRDefault="008F475D">
            <w:pPr>
              <w:spacing w:line="276" w:lineRule="auto"/>
              <w:jc w:val="center"/>
              <w:rPr>
                <w:sz w:val="18"/>
                <w:szCs w:val="16"/>
              </w:rPr>
            </w:pPr>
            <w:r w:rsidRPr="00532E47">
              <w:rPr>
                <w:i/>
                <w:iCs/>
                <w:sz w:val="18"/>
                <w:szCs w:val="14"/>
              </w:rPr>
              <w:t> </w:t>
            </w:r>
          </w:p>
        </w:tc>
        <w:tc>
          <w:tcPr>
            <w:tcW w:w="301" w:type="pct"/>
            <w:tcMar>
              <w:left w:w="57" w:type="dxa"/>
              <w:right w:w="57" w:type="dxa"/>
            </w:tcMar>
            <w:vAlign w:val="center"/>
          </w:tcPr>
          <w:p w14:paraId="48116928" w14:textId="77777777" w:rsidR="008F475D" w:rsidRPr="00532E47" w:rsidRDefault="008F475D">
            <w:pPr>
              <w:spacing w:line="276" w:lineRule="auto"/>
              <w:jc w:val="center"/>
              <w:rPr>
                <w:sz w:val="18"/>
                <w:szCs w:val="16"/>
              </w:rPr>
            </w:pPr>
            <w:r w:rsidRPr="00532E47">
              <w:rPr>
                <w:i/>
                <w:iCs/>
                <w:sz w:val="18"/>
                <w:szCs w:val="14"/>
              </w:rPr>
              <w:t>14,4</w:t>
            </w:r>
          </w:p>
        </w:tc>
        <w:tc>
          <w:tcPr>
            <w:tcW w:w="317" w:type="pct"/>
            <w:shd w:val="clear" w:color="auto" w:fill="auto"/>
            <w:tcMar>
              <w:left w:w="57" w:type="dxa"/>
              <w:right w:w="57" w:type="dxa"/>
            </w:tcMar>
            <w:vAlign w:val="center"/>
          </w:tcPr>
          <w:p w14:paraId="5EFC0FE0" w14:textId="77777777" w:rsidR="008F475D" w:rsidRPr="00532E47" w:rsidRDefault="008F475D">
            <w:pPr>
              <w:spacing w:line="276" w:lineRule="auto"/>
              <w:jc w:val="center"/>
              <w:rPr>
                <w:sz w:val="18"/>
                <w:szCs w:val="16"/>
              </w:rPr>
            </w:pPr>
            <w:r w:rsidRPr="00532E47">
              <w:rPr>
                <w:i/>
                <w:iCs/>
                <w:sz w:val="18"/>
                <w:szCs w:val="14"/>
              </w:rPr>
              <w:t>16,2</w:t>
            </w:r>
          </w:p>
        </w:tc>
        <w:tc>
          <w:tcPr>
            <w:tcW w:w="419" w:type="pct"/>
            <w:tcMar>
              <w:left w:w="57" w:type="dxa"/>
              <w:right w:w="57" w:type="dxa"/>
            </w:tcMar>
            <w:vAlign w:val="center"/>
          </w:tcPr>
          <w:p w14:paraId="06F9F73E" w14:textId="77777777" w:rsidR="008F475D" w:rsidRPr="00532E47" w:rsidRDefault="008F475D">
            <w:pPr>
              <w:spacing w:line="276" w:lineRule="auto"/>
              <w:jc w:val="center"/>
              <w:rPr>
                <w:sz w:val="18"/>
                <w:szCs w:val="16"/>
              </w:rPr>
            </w:pPr>
            <w:r w:rsidRPr="00532E47">
              <w:rPr>
                <w:i/>
                <w:iCs/>
                <w:sz w:val="18"/>
                <w:szCs w:val="14"/>
              </w:rPr>
              <w:t> </w:t>
            </w:r>
          </w:p>
        </w:tc>
        <w:tc>
          <w:tcPr>
            <w:tcW w:w="485" w:type="pct"/>
            <w:tcMar>
              <w:left w:w="57" w:type="dxa"/>
              <w:right w:w="57" w:type="dxa"/>
            </w:tcMar>
            <w:vAlign w:val="center"/>
          </w:tcPr>
          <w:p w14:paraId="3E8ECA75" w14:textId="77777777" w:rsidR="008F475D" w:rsidRPr="00532E47" w:rsidRDefault="008F475D">
            <w:pPr>
              <w:spacing w:line="276" w:lineRule="auto"/>
              <w:jc w:val="center"/>
              <w:rPr>
                <w:sz w:val="18"/>
                <w:szCs w:val="14"/>
              </w:rPr>
            </w:pPr>
            <w:r w:rsidRPr="00532E47">
              <w:rPr>
                <w:i/>
                <w:iCs/>
                <w:sz w:val="18"/>
                <w:szCs w:val="14"/>
              </w:rPr>
              <w:t>16,1</w:t>
            </w:r>
          </w:p>
        </w:tc>
        <w:tc>
          <w:tcPr>
            <w:tcW w:w="317" w:type="pct"/>
            <w:shd w:val="clear" w:color="auto" w:fill="auto"/>
            <w:tcMar>
              <w:left w:w="57" w:type="dxa"/>
              <w:right w:w="57" w:type="dxa"/>
            </w:tcMar>
            <w:vAlign w:val="center"/>
          </w:tcPr>
          <w:p w14:paraId="06F9C88B" w14:textId="77777777" w:rsidR="008F475D" w:rsidRPr="00532E47" w:rsidRDefault="008F475D">
            <w:pPr>
              <w:spacing w:line="276" w:lineRule="auto"/>
              <w:jc w:val="center"/>
              <w:rPr>
                <w:sz w:val="18"/>
                <w:szCs w:val="16"/>
              </w:rPr>
            </w:pPr>
            <w:r w:rsidRPr="00532E47">
              <w:rPr>
                <w:i/>
                <w:iCs/>
                <w:sz w:val="18"/>
                <w:szCs w:val="14"/>
              </w:rPr>
              <w:t>15,1</w:t>
            </w:r>
          </w:p>
        </w:tc>
        <w:tc>
          <w:tcPr>
            <w:tcW w:w="567" w:type="pct"/>
            <w:tcMar>
              <w:left w:w="57" w:type="dxa"/>
              <w:right w:w="57" w:type="dxa"/>
            </w:tcMar>
            <w:vAlign w:val="center"/>
          </w:tcPr>
          <w:p w14:paraId="378F2E66" w14:textId="77777777" w:rsidR="008F475D" w:rsidRPr="00532E47" w:rsidRDefault="008F475D">
            <w:pPr>
              <w:spacing w:line="276" w:lineRule="auto"/>
              <w:jc w:val="center"/>
              <w:rPr>
                <w:sz w:val="18"/>
                <w:szCs w:val="16"/>
              </w:rPr>
            </w:pPr>
            <w:r w:rsidRPr="00532E47">
              <w:rPr>
                <w:i/>
                <w:iCs/>
                <w:sz w:val="18"/>
                <w:szCs w:val="14"/>
              </w:rPr>
              <w:t> </w:t>
            </w:r>
          </w:p>
        </w:tc>
      </w:tr>
    </w:tbl>
    <w:p w14:paraId="38769B59" w14:textId="77777777" w:rsidR="00113939" w:rsidRPr="0083643C" w:rsidRDefault="00113939" w:rsidP="00113939">
      <w:pPr>
        <w:autoSpaceDE w:val="0"/>
        <w:autoSpaceDN w:val="0"/>
        <w:adjustRightInd w:val="0"/>
        <w:spacing w:line="276" w:lineRule="auto"/>
        <w:ind w:firstLine="709"/>
        <w:contextualSpacing/>
        <w:jc w:val="both"/>
        <w:rPr>
          <w:sz w:val="20"/>
          <w:szCs w:val="20"/>
        </w:rPr>
      </w:pPr>
      <w:r w:rsidRPr="0083643C">
        <w:rPr>
          <w:rFonts w:eastAsia="Calibri"/>
          <w:i/>
          <w:sz w:val="20"/>
          <w:szCs w:val="20"/>
        </w:rPr>
        <w:t>Источник</w:t>
      </w:r>
      <w:r w:rsidRPr="0083643C">
        <w:rPr>
          <w:rFonts w:eastAsia="Calibri"/>
          <w:sz w:val="20"/>
          <w:szCs w:val="20"/>
        </w:rPr>
        <w:t xml:space="preserve">: </w:t>
      </w:r>
      <w:r>
        <w:rPr>
          <w:rFonts w:eastAsia="Calibri"/>
          <w:sz w:val="20"/>
          <w:szCs w:val="20"/>
        </w:rPr>
        <w:t>Пояснительная записка</w:t>
      </w:r>
    </w:p>
    <w:p w14:paraId="3932786E" w14:textId="77777777" w:rsidR="00113939" w:rsidRDefault="00113939" w:rsidP="00113939">
      <w:pPr>
        <w:ind w:firstLine="567"/>
      </w:pPr>
      <w:r>
        <w:rPr>
          <w:sz w:val="20"/>
          <w:szCs w:val="20"/>
        </w:rPr>
        <w:t>_______________</w:t>
      </w:r>
    </w:p>
    <w:p w14:paraId="6042D84B" w14:textId="1FF3E536" w:rsidR="00113939" w:rsidRPr="0083643C" w:rsidRDefault="00113939" w:rsidP="00113939">
      <w:pPr>
        <w:autoSpaceDE w:val="0"/>
        <w:autoSpaceDN w:val="0"/>
        <w:adjustRightInd w:val="0"/>
        <w:ind w:firstLine="709"/>
        <w:contextualSpacing/>
        <w:jc w:val="both"/>
        <w:rPr>
          <w:sz w:val="20"/>
          <w:szCs w:val="20"/>
        </w:rPr>
      </w:pPr>
      <w:r>
        <w:rPr>
          <w:sz w:val="20"/>
          <w:szCs w:val="20"/>
        </w:rPr>
        <w:t>Примечания:</w:t>
      </w:r>
    </w:p>
    <w:p w14:paraId="47AC5CAC" w14:textId="4B7451CF" w:rsidR="008F475D" w:rsidRPr="00113939" w:rsidRDefault="008F475D" w:rsidP="00113939">
      <w:pPr>
        <w:spacing w:line="276" w:lineRule="auto"/>
        <w:ind w:left="709"/>
        <w:jc w:val="both"/>
        <w:rPr>
          <w:sz w:val="20"/>
          <w:szCs w:val="20"/>
        </w:rPr>
      </w:pPr>
      <w:r w:rsidRPr="00113939">
        <w:rPr>
          <w:sz w:val="20"/>
          <w:szCs w:val="20"/>
        </w:rPr>
        <w:t>* - показатели сводной бюджетной росписи по состоянию на 1 сентября 2022 г.</w:t>
      </w:r>
    </w:p>
    <w:p w14:paraId="3A6C1F35" w14:textId="77777777" w:rsidR="008F475D" w:rsidRPr="00113939" w:rsidRDefault="008F475D" w:rsidP="00113939">
      <w:pPr>
        <w:spacing w:line="276" w:lineRule="auto"/>
        <w:ind w:left="709"/>
        <w:jc w:val="both"/>
        <w:rPr>
          <w:sz w:val="20"/>
          <w:szCs w:val="20"/>
        </w:rPr>
      </w:pPr>
      <w:r w:rsidRPr="00113939">
        <w:rPr>
          <w:sz w:val="20"/>
          <w:szCs w:val="20"/>
        </w:rPr>
        <w:t>** - в части базовых бюджетных ассигнований, распределенных по госпрограммам и непрограммным направлениям деятельности</w:t>
      </w:r>
    </w:p>
    <w:p w14:paraId="60F5FD3B" w14:textId="77777777" w:rsidR="008F475D" w:rsidRPr="00532E47" w:rsidRDefault="008F475D" w:rsidP="008F475D">
      <w:pPr>
        <w:spacing w:line="276" w:lineRule="auto"/>
        <w:ind w:firstLine="567"/>
        <w:jc w:val="both"/>
        <w:rPr>
          <w:sz w:val="28"/>
          <w:szCs w:val="28"/>
        </w:rPr>
      </w:pPr>
    </w:p>
    <w:p w14:paraId="5800BD7D" w14:textId="54DC4A62" w:rsidR="008F475D" w:rsidRPr="00532E47" w:rsidRDefault="00113939" w:rsidP="00113939">
      <w:pPr>
        <w:spacing w:line="360" w:lineRule="auto"/>
        <w:ind w:firstLine="567"/>
        <w:jc w:val="both"/>
        <w:rPr>
          <w:sz w:val="28"/>
          <w:szCs w:val="28"/>
        </w:rPr>
      </w:pPr>
      <w:r>
        <w:rPr>
          <w:sz w:val="28"/>
          <w:szCs w:val="28"/>
        </w:rPr>
        <w:t>П</w:t>
      </w:r>
      <w:r w:rsidRPr="00532E47">
        <w:rPr>
          <w:sz w:val="28"/>
          <w:szCs w:val="28"/>
        </w:rPr>
        <w:t>о оценке</w:t>
      </w:r>
      <w:r>
        <w:rPr>
          <w:sz w:val="28"/>
          <w:szCs w:val="28"/>
        </w:rPr>
        <w:t>,</w:t>
      </w:r>
      <w:r w:rsidRPr="00532E47">
        <w:rPr>
          <w:sz w:val="28"/>
          <w:szCs w:val="28"/>
        </w:rPr>
        <w:t xml:space="preserve"> расход</w:t>
      </w:r>
      <w:r>
        <w:rPr>
          <w:sz w:val="28"/>
          <w:szCs w:val="28"/>
        </w:rPr>
        <w:t>ы</w:t>
      </w:r>
      <w:r w:rsidR="008F475D" w:rsidRPr="00532E47">
        <w:rPr>
          <w:sz w:val="28"/>
          <w:szCs w:val="28"/>
        </w:rPr>
        <w:t xml:space="preserve"> бюджета за 2022 год по разделу «Национальной обороны» составят более 4,5 </w:t>
      </w:r>
      <w:proofErr w:type="gramStart"/>
      <w:r w:rsidR="008F475D" w:rsidRPr="00532E47">
        <w:rPr>
          <w:sz w:val="28"/>
          <w:szCs w:val="28"/>
        </w:rPr>
        <w:t>трлн</w:t>
      </w:r>
      <w:proofErr w:type="gramEnd"/>
      <w:r w:rsidR="008F475D" w:rsidRPr="00532E47">
        <w:rPr>
          <w:sz w:val="28"/>
          <w:szCs w:val="28"/>
        </w:rPr>
        <w:t xml:space="preserve"> рублей или 3,2% ВВП, что на 1 трлн рублей или 0,6% больше, чем принятые в прошлогоднем проекте бюджета показатели. Необходимость такого увеличения обусловлена внешними факторами, а его возможность – обусловлена увеличением общего объема расходной части бюджета на 4 </w:t>
      </w:r>
      <w:proofErr w:type="gramStart"/>
      <w:r w:rsidR="008F475D" w:rsidRPr="00532E47">
        <w:rPr>
          <w:sz w:val="28"/>
          <w:szCs w:val="28"/>
        </w:rPr>
        <w:t>трлн</w:t>
      </w:r>
      <w:proofErr w:type="gramEnd"/>
      <w:r w:rsidR="008F475D" w:rsidRPr="00532E47">
        <w:rPr>
          <w:sz w:val="28"/>
          <w:szCs w:val="28"/>
        </w:rPr>
        <w:t xml:space="preserve"> рублей. Таким образом, доля оборонных расходов в общем объеме бюджета составит почти 17% </w:t>
      </w:r>
      <w:proofErr w:type="gramStart"/>
      <w:r w:rsidR="008F475D" w:rsidRPr="00532E47">
        <w:rPr>
          <w:sz w:val="28"/>
          <w:szCs w:val="28"/>
        </w:rPr>
        <w:t>против</w:t>
      </w:r>
      <w:proofErr w:type="gramEnd"/>
      <w:r w:rsidR="008F475D" w:rsidRPr="00532E47">
        <w:rPr>
          <w:sz w:val="28"/>
          <w:szCs w:val="28"/>
        </w:rPr>
        <w:t xml:space="preserve"> запланированных на нынешний год 15%.</w:t>
      </w:r>
    </w:p>
    <w:p w14:paraId="2F724452" w14:textId="77777777" w:rsidR="008F475D" w:rsidRPr="00532E47" w:rsidRDefault="008F475D" w:rsidP="00113939">
      <w:pPr>
        <w:spacing w:line="360" w:lineRule="auto"/>
        <w:ind w:firstLine="567"/>
        <w:jc w:val="both"/>
        <w:rPr>
          <w:sz w:val="28"/>
          <w:szCs w:val="28"/>
        </w:rPr>
      </w:pPr>
      <w:r w:rsidRPr="00532E47">
        <w:rPr>
          <w:sz w:val="28"/>
          <w:szCs w:val="28"/>
        </w:rPr>
        <w:t xml:space="preserve">Что касается 2023 и 2024 годов, то здесь стоит отметить, что в сравнении с плановыми показателями на указанные года, расходы на национальную оборону увеличились на 1,5 </w:t>
      </w:r>
      <w:proofErr w:type="gramStart"/>
      <w:r w:rsidRPr="00532E47">
        <w:rPr>
          <w:sz w:val="28"/>
          <w:szCs w:val="28"/>
        </w:rPr>
        <w:t>трлн</w:t>
      </w:r>
      <w:proofErr w:type="gramEnd"/>
      <w:r w:rsidRPr="00532E47">
        <w:rPr>
          <w:sz w:val="28"/>
          <w:szCs w:val="28"/>
        </w:rPr>
        <w:t xml:space="preserve"> и 1 трлн рублей соответственно. </w:t>
      </w:r>
    </w:p>
    <w:p w14:paraId="4DB3C472" w14:textId="77777777" w:rsidR="008F475D" w:rsidRPr="00532E47" w:rsidRDefault="008F475D" w:rsidP="00113939">
      <w:pPr>
        <w:spacing w:line="360" w:lineRule="auto"/>
        <w:ind w:firstLine="567"/>
        <w:jc w:val="both"/>
        <w:rPr>
          <w:sz w:val="28"/>
          <w:szCs w:val="28"/>
        </w:rPr>
      </w:pPr>
      <w:r w:rsidRPr="00532E47">
        <w:rPr>
          <w:sz w:val="28"/>
          <w:szCs w:val="28"/>
        </w:rPr>
        <w:t xml:space="preserve">На следующий, 2023 год в проекте бюджета запланировано почти 5 </w:t>
      </w:r>
      <w:proofErr w:type="gramStart"/>
      <w:r w:rsidRPr="00532E47">
        <w:rPr>
          <w:sz w:val="28"/>
          <w:szCs w:val="28"/>
        </w:rPr>
        <w:t>трлн</w:t>
      </w:r>
      <w:proofErr w:type="gramEnd"/>
      <w:r w:rsidRPr="00532E47">
        <w:rPr>
          <w:sz w:val="28"/>
          <w:szCs w:val="28"/>
        </w:rPr>
        <w:t xml:space="preserve"> рублей, что составляет 3,3% ВВП и порядка 17% от общих расходов бюджета. Однако на плановый период в данном законопроекте предусмотрено снижение расходов по данному разделу. Это </w:t>
      </w:r>
      <w:proofErr w:type="gramStart"/>
      <w:r w:rsidRPr="00532E47">
        <w:rPr>
          <w:sz w:val="28"/>
          <w:szCs w:val="28"/>
        </w:rPr>
        <w:t>происходит</w:t>
      </w:r>
      <w:proofErr w:type="gramEnd"/>
      <w:r w:rsidRPr="00532E47">
        <w:rPr>
          <w:sz w:val="28"/>
          <w:szCs w:val="28"/>
        </w:rPr>
        <w:t xml:space="preserve"> несмотря на увеличение общего объема бюджета на 2024 год по сравнению с 2023. Запланировано общее снижение расходов на оборонный сектор по 1 проценту от общих расходов бюджета в год, в то время как в показателях планового периода бюджета на 2022 год данный показатель имел тенденцию к росту.</w:t>
      </w:r>
    </w:p>
    <w:p w14:paraId="04842E46" w14:textId="77777777" w:rsidR="008F475D" w:rsidRPr="00532E47" w:rsidRDefault="008F475D" w:rsidP="00113939">
      <w:pPr>
        <w:spacing w:line="360" w:lineRule="auto"/>
        <w:ind w:firstLine="567"/>
        <w:jc w:val="both"/>
        <w:rPr>
          <w:sz w:val="28"/>
          <w:szCs w:val="28"/>
        </w:rPr>
      </w:pPr>
      <w:r w:rsidRPr="00532E47">
        <w:rPr>
          <w:sz w:val="28"/>
          <w:szCs w:val="28"/>
        </w:rPr>
        <w:t>Таким образом, существенное увеличение расходов бюджета по статье «Национальная оборона» в 2022 и 2023 годах полностью отвечает вызовам времени, однако сложно разделить оптимизм составителей бюджетной росписи на 2024-2025 года, когда уменьшение финансирования оборонных расходов сокращается как в абсолютном, так и относительном выражении, несмотря на разнонаправленные тенденции в отношении наполняемости бюджета.</w:t>
      </w:r>
    </w:p>
    <w:p w14:paraId="5DEFD346" w14:textId="77777777" w:rsidR="008F475D" w:rsidRPr="00532E47" w:rsidRDefault="008F475D" w:rsidP="00113939">
      <w:pPr>
        <w:spacing w:line="360" w:lineRule="auto"/>
        <w:ind w:firstLine="567"/>
        <w:jc w:val="both"/>
        <w:rPr>
          <w:sz w:val="28"/>
          <w:szCs w:val="28"/>
        </w:rPr>
      </w:pPr>
      <w:r w:rsidRPr="00532E47">
        <w:rPr>
          <w:sz w:val="28"/>
          <w:szCs w:val="28"/>
        </w:rPr>
        <w:t>В нынешней ситуации на повестку дня выходят вопросы не только восполнения запасов вооружения, расходование которых происходит в зоне проведения специальной военной операции, но и увеличение числа армии и вооружения в целях защиты вновь присоединенных к России территорий. Очевидно, что решение этих вопросов потребует продолжительного количества времени и дополнительного финансирования. Данные стратегические цели сложно коррелируются с началом сокращения оборонного бюджета уже через год, в 2024 году.</w:t>
      </w:r>
    </w:p>
    <w:p w14:paraId="548905D6" w14:textId="77777777" w:rsidR="008F475D" w:rsidRPr="00532E47" w:rsidRDefault="008F475D" w:rsidP="00113939">
      <w:pPr>
        <w:spacing w:line="360" w:lineRule="auto"/>
        <w:ind w:firstLine="567"/>
        <w:jc w:val="both"/>
        <w:rPr>
          <w:sz w:val="28"/>
          <w:szCs w:val="28"/>
        </w:rPr>
      </w:pPr>
      <w:r w:rsidRPr="00532E47">
        <w:rPr>
          <w:sz w:val="28"/>
          <w:szCs w:val="28"/>
        </w:rPr>
        <w:t xml:space="preserve">В </w:t>
      </w:r>
      <w:proofErr w:type="gramStart"/>
      <w:r w:rsidRPr="00532E47">
        <w:rPr>
          <w:sz w:val="28"/>
          <w:szCs w:val="28"/>
        </w:rPr>
        <w:t>соответствии</w:t>
      </w:r>
      <w:proofErr w:type="gramEnd"/>
      <w:r w:rsidRPr="00532E47">
        <w:rPr>
          <w:sz w:val="28"/>
          <w:szCs w:val="28"/>
        </w:rPr>
        <w:t xml:space="preserve"> с пунктом 3 статьи 217 Бюджетного кодекса Российской Федерации основанием для внесения в 2023 году изменений в показатели сводной бюджетной росписи является распределение зарезервированных в составе утвержденных статьей федерального бюджета. В статье 21 «Особенности исполнения федерального бюджета в 2023 году» проекта федерального бюджета на 2023 год и на плановый период 2024 и 2025 годов в части, касающейся подраздела «Другие вопросы в области национальной обороны» раздела «Национальная оборона», указан ряд пунктов. </w:t>
      </w:r>
    </w:p>
    <w:p w14:paraId="27B1C1AE" w14:textId="77777777" w:rsidR="008F475D" w:rsidRPr="00532E47" w:rsidRDefault="008F475D" w:rsidP="00113939">
      <w:pPr>
        <w:spacing w:line="360" w:lineRule="auto"/>
        <w:ind w:firstLine="567"/>
        <w:jc w:val="both"/>
        <w:rPr>
          <w:sz w:val="28"/>
          <w:szCs w:val="28"/>
        </w:rPr>
      </w:pPr>
      <w:proofErr w:type="gramStart"/>
      <w:r w:rsidRPr="00532E47">
        <w:rPr>
          <w:sz w:val="28"/>
          <w:szCs w:val="28"/>
        </w:rP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w:t>
      </w:r>
      <w:proofErr w:type="gramEnd"/>
      <w:r w:rsidRPr="00532E47">
        <w:rPr>
          <w:sz w:val="28"/>
          <w:szCs w:val="28"/>
        </w:rPr>
        <w:t xml:space="preserve"> подразделам классификации расходов бюджетов. Часть расходов данного подраздела, как и всего раздела «Национальная оборона» находятся в засекреченных приложениях к федеральному бюджету.</w:t>
      </w:r>
    </w:p>
    <w:p w14:paraId="695FE901" w14:textId="77777777" w:rsidR="008F475D" w:rsidRPr="00532E47" w:rsidRDefault="008F475D" w:rsidP="00113939">
      <w:pPr>
        <w:spacing w:line="360" w:lineRule="auto"/>
        <w:ind w:firstLine="567"/>
        <w:jc w:val="both"/>
        <w:rPr>
          <w:sz w:val="28"/>
          <w:szCs w:val="28"/>
        </w:rPr>
      </w:pPr>
      <w:proofErr w:type="gramStart"/>
      <w:r w:rsidRPr="00532E47">
        <w:rPr>
          <w:sz w:val="28"/>
          <w:szCs w:val="28"/>
        </w:rPr>
        <w:t>Так, в рамках бюджетных ассигнований на 2023 год и плановый период 2024 и 2025 годов в объеме согласно секретным приложениям к проекту бюджета выделяются средства по подразделу «Другие вопросы в области национальной обороны» раздела «Национальная оборона» на реализацию решений Президента и Правительства по обеспечению специального инфраструктурного проекта и отдельных мероприятий в сфере национальной обороны, национальной безопасности, развития оборонно-промышленного комплекса.</w:t>
      </w:r>
      <w:proofErr w:type="gramEnd"/>
      <w:r w:rsidRPr="00532E47">
        <w:rPr>
          <w:sz w:val="28"/>
          <w:szCs w:val="28"/>
        </w:rPr>
        <w:t xml:space="preserve"> Общий объём бюджетных средств, выделяемых на данное направление в разрезе нескольких бюджетных разделов, должен составить 100 </w:t>
      </w:r>
      <w:proofErr w:type="gramStart"/>
      <w:r w:rsidRPr="00532E47">
        <w:rPr>
          <w:sz w:val="28"/>
          <w:szCs w:val="28"/>
        </w:rPr>
        <w:t>млрд</w:t>
      </w:r>
      <w:proofErr w:type="gramEnd"/>
      <w:r w:rsidRPr="00532E47">
        <w:rPr>
          <w:sz w:val="28"/>
          <w:szCs w:val="28"/>
        </w:rPr>
        <w:t xml:space="preserve"> рублей в 2023 году и порядка 140 млрд рублей в 2024 и в 2025 годах.</w:t>
      </w:r>
    </w:p>
    <w:p w14:paraId="1F7ABF6E" w14:textId="77777777" w:rsidR="008F475D" w:rsidRPr="00532E47" w:rsidRDefault="008F475D" w:rsidP="00113939">
      <w:pPr>
        <w:spacing w:line="360" w:lineRule="auto"/>
        <w:ind w:firstLine="567"/>
        <w:jc w:val="both"/>
        <w:rPr>
          <w:sz w:val="28"/>
          <w:szCs w:val="28"/>
        </w:rPr>
      </w:pPr>
      <w:r w:rsidRPr="00532E47">
        <w:rPr>
          <w:sz w:val="28"/>
          <w:szCs w:val="28"/>
        </w:rPr>
        <w:t xml:space="preserve">Бюджетные ассигнования, предусмотренные по подразделу «Другие вопросы в области национальной обороны», также планируется выделить на выполнение обязательств, принятых по договорам военно-технического сотрудничества, на проведение мероприятий, связанных с восполнением продукции военного назначения, и ряд других мероприятий, на 2023-2025 годы в объёме более 4 </w:t>
      </w:r>
      <w:proofErr w:type="gramStart"/>
      <w:r w:rsidRPr="00532E47">
        <w:rPr>
          <w:sz w:val="28"/>
          <w:szCs w:val="28"/>
        </w:rPr>
        <w:t>млрд</w:t>
      </w:r>
      <w:proofErr w:type="gramEnd"/>
      <w:r w:rsidRPr="00532E47">
        <w:rPr>
          <w:sz w:val="28"/>
          <w:szCs w:val="28"/>
        </w:rPr>
        <w:t xml:space="preserve"> рублей в год в случае и в пределах поступления доходов федерального бюджета от оборонной сферы.</w:t>
      </w:r>
    </w:p>
    <w:p w14:paraId="430EA04C" w14:textId="77777777" w:rsidR="008F475D" w:rsidRPr="00532E47" w:rsidRDefault="008F475D" w:rsidP="00113939">
      <w:pPr>
        <w:spacing w:line="360" w:lineRule="auto"/>
        <w:ind w:firstLine="567"/>
        <w:jc w:val="both"/>
        <w:rPr>
          <w:sz w:val="28"/>
          <w:szCs w:val="28"/>
        </w:rPr>
      </w:pPr>
      <w:r w:rsidRPr="00532E47">
        <w:rPr>
          <w:sz w:val="28"/>
          <w:szCs w:val="28"/>
        </w:rPr>
        <w:t xml:space="preserve">Также бюджетных ассигнований по данному подразделу планируется выделить на осуществление расходов, связанных с содержанием военных представительств Министерства обороны, в размере 48,7 процента от объема поступивших доходов, но в пределах порядка 10,5 </w:t>
      </w:r>
      <w:proofErr w:type="gramStart"/>
      <w:r w:rsidRPr="00532E47">
        <w:rPr>
          <w:sz w:val="28"/>
          <w:szCs w:val="28"/>
        </w:rPr>
        <w:t>млрд</w:t>
      </w:r>
      <w:proofErr w:type="gramEnd"/>
      <w:r w:rsidRPr="00532E47">
        <w:rPr>
          <w:sz w:val="28"/>
          <w:szCs w:val="28"/>
        </w:rPr>
        <w:t xml:space="preserve"> рублей в год и на осуществление расходов, связанных с содержанием и оснащением Железнодорожных войск Министерства обороны, на 2023 год в объеме более 2 млрд рублей в объёме поступления соответствующих оборонных доходов.</w:t>
      </w:r>
    </w:p>
    <w:p w14:paraId="23286C70" w14:textId="77777777" w:rsidR="008F475D" w:rsidRPr="00532E47" w:rsidRDefault="008F475D" w:rsidP="00113939">
      <w:pPr>
        <w:spacing w:line="360" w:lineRule="auto"/>
        <w:ind w:firstLine="567"/>
        <w:jc w:val="both"/>
        <w:rPr>
          <w:sz w:val="28"/>
          <w:szCs w:val="28"/>
        </w:rPr>
      </w:pPr>
      <w:proofErr w:type="gramStart"/>
      <w:r w:rsidRPr="00532E47">
        <w:rPr>
          <w:sz w:val="28"/>
          <w:szCs w:val="28"/>
        </w:rPr>
        <w:t>Таким образом, предельные объемы денежных средств, предусмотренные в соответствующем финансовом году для исполнения бюджетных обязательств согласно секретным приложениям 13, 16 и 18, планируемые к выделению на реализацию специального инфраструктурного проекта и отдельных мероприятий в сфере национальной обороны и безопасности, не имеют привязки к доходам самой оборонной отрасли и в связи с этим имеют фиксированную сумму.</w:t>
      </w:r>
      <w:proofErr w:type="gramEnd"/>
      <w:r w:rsidRPr="00532E47">
        <w:rPr>
          <w:sz w:val="28"/>
          <w:szCs w:val="28"/>
        </w:rPr>
        <w:t xml:space="preserve"> Бюджетные ассигнования, которые планируется выделить на выполнение обязательств, принятых по договорам военно-технического сотрудничества, на проведение мероприятий, связанных с восполнением продукции военного назначения, а также на осуществление расходов, связанных с содержанием военных представительств Министерства обороны и содержанием и оснащением Железнодорожных войск Министерства обороны непосредственно зависят от доходов самой оборонной сферы. Подобные ассигнования фактически являются перераспределением средств внутри самой отрасли.</w:t>
      </w:r>
    </w:p>
    <w:p w14:paraId="60D4BC95" w14:textId="77777777" w:rsidR="008F475D" w:rsidRPr="00532E47" w:rsidRDefault="008F475D" w:rsidP="00113939">
      <w:pPr>
        <w:spacing w:line="360" w:lineRule="auto"/>
        <w:ind w:firstLine="567"/>
        <w:jc w:val="both"/>
        <w:rPr>
          <w:sz w:val="28"/>
          <w:szCs w:val="28"/>
        </w:rPr>
      </w:pPr>
      <w:r w:rsidRPr="00532E47">
        <w:rPr>
          <w:sz w:val="28"/>
          <w:szCs w:val="28"/>
        </w:rPr>
        <w:t xml:space="preserve">Говоря о финансировании оборонного сектора с точки зрения экономической безопасности, можно отметить, что данный вид расходов не только обеспечивает национальную безопасность страны, но и способствует поддержанию экономической безопасности. </w:t>
      </w:r>
      <w:proofErr w:type="gramStart"/>
      <w:r w:rsidRPr="00532E47">
        <w:rPr>
          <w:sz w:val="28"/>
          <w:szCs w:val="28"/>
        </w:rPr>
        <w:t xml:space="preserve">Увеличение финансирование раздела «Национальная оборона» способствует, с одной стороны, не только восполнению, но и увеличению собственных запасов новейших видов вооружение, а, с другой стороны, открывает возможность разработки новых передовых видов вооружения и усовершенствованию уже имеющихся, а успешная их апробация в рамках специальной военной операцию позволяет потенциальным покупателям оценить вооружение в рамках реальных боевых действий. </w:t>
      </w:r>
      <w:proofErr w:type="gramEnd"/>
    </w:p>
    <w:p w14:paraId="5C538D4C" w14:textId="51BF6183" w:rsidR="008F475D" w:rsidRDefault="008F475D" w:rsidP="00113939">
      <w:pPr>
        <w:spacing w:line="360" w:lineRule="auto"/>
        <w:ind w:firstLine="567"/>
        <w:jc w:val="both"/>
        <w:rPr>
          <w:sz w:val="28"/>
          <w:szCs w:val="28"/>
        </w:rPr>
      </w:pPr>
      <w:r w:rsidRPr="00532E47">
        <w:rPr>
          <w:sz w:val="28"/>
          <w:szCs w:val="28"/>
        </w:rPr>
        <w:t xml:space="preserve">В нынешней нестабильной ситуации на мировом энергетическом рынке, всё это способствует продвижения российского вооружения в мире и способно приносить стране ощутимый доход. В связи с этим сложно говорить о целесообразности существенного снижения финансирования данной области, запланированного на плановый период 2024-2025 годов. Ведь в столь турбулентной геополитической и геоэкономической </w:t>
      </w:r>
      <w:proofErr w:type="gramStart"/>
      <w:r w:rsidRPr="00532E47">
        <w:rPr>
          <w:sz w:val="28"/>
          <w:szCs w:val="28"/>
        </w:rPr>
        <w:t>ситуациях</w:t>
      </w:r>
      <w:proofErr w:type="gramEnd"/>
      <w:r w:rsidRPr="00532E47">
        <w:rPr>
          <w:sz w:val="28"/>
          <w:szCs w:val="28"/>
        </w:rPr>
        <w:t xml:space="preserve"> передовое вооружение может стать одной из стабильных «валют» на мировом рынке.</w:t>
      </w:r>
    </w:p>
    <w:p w14:paraId="360CAD6A" w14:textId="0BABB21B" w:rsidR="00113939" w:rsidRDefault="00113939" w:rsidP="00113939">
      <w:pPr>
        <w:spacing w:line="360" w:lineRule="auto"/>
        <w:ind w:firstLine="567"/>
        <w:jc w:val="both"/>
        <w:rPr>
          <w:sz w:val="28"/>
          <w:szCs w:val="28"/>
        </w:rPr>
      </w:pPr>
    </w:p>
    <w:p w14:paraId="54DC6CCE" w14:textId="4BA53012" w:rsidR="00113939" w:rsidRPr="0096730A" w:rsidRDefault="00113939" w:rsidP="0096730A">
      <w:pPr>
        <w:pStyle w:val="a4"/>
        <w:numPr>
          <w:ilvl w:val="0"/>
          <w:numId w:val="19"/>
        </w:numPr>
        <w:spacing w:after="160" w:line="259" w:lineRule="auto"/>
        <w:ind w:left="426"/>
        <w:jc w:val="both"/>
        <w:outlineLvl w:val="0"/>
        <w:rPr>
          <w:b/>
          <w:sz w:val="28"/>
          <w:szCs w:val="20"/>
        </w:rPr>
      </w:pPr>
      <w:bookmarkStart w:id="10" w:name="_Toc116561837"/>
      <w:r w:rsidRPr="0096730A">
        <w:rPr>
          <w:b/>
          <w:sz w:val="28"/>
          <w:szCs w:val="20"/>
        </w:rPr>
        <w:t>Межбюджетные отношения и межбюджетные трансферты в Проекте Федерального закона «О федеральном бюджете на 2023 год и плановый период 2024 и 2025 годов»</w:t>
      </w:r>
      <w:bookmarkEnd w:id="10"/>
    </w:p>
    <w:p w14:paraId="47B116A4" w14:textId="77777777" w:rsidR="00113939" w:rsidRDefault="00113939" w:rsidP="00113939">
      <w:pPr>
        <w:spacing w:line="360" w:lineRule="auto"/>
        <w:ind w:firstLine="709"/>
        <w:jc w:val="both"/>
        <w:rPr>
          <w:sz w:val="28"/>
          <w:szCs w:val="28"/>
        </w:rPr>
      </w:pPr>
    </w:p>
    <w:p w14:paraId="6E19915A" w14:textId="59B696E0" w:rsidR="00113939" w:rsidRDefault="00113939" w:rsidP="00113939">
      <w:pPr>
        <w:spacing w:line="360" w:lineRule="auto"/>
        <w:ind w:firstLine="709"/>
        <w:jc w:val="both"/>
        <w:rPr>
          <w:sz w:val="28"/>
          <w:szCs w:val="28"/>
        </w:rPr>
      </w:pPr>
      <w:r>
        <w:rPr>
          <w:sz w:val="28"/>
          <w:szCs w:val="28"/>
        </w:rPr>
        <w:t>Существенную проблему в современных условиях представляет снижение объемов общей суммы межбюджетных трансфертов бюджетам субъектов РФ в 2023 г</w:t>
      </w:r>
      <w:r w:rsidR="001B1E4A">
        <w:rPr>
          <w:sz w:val="28"/>
          <w:szCs w:val="28"/>
        </w:rPr>
        <w:t>оду</w:t>
      </w:r>
      <w:r>
        <w:rPr>
          <w:sz w:val="28"/>
          <w:szCs w:val="28"/>
        </w:rPr>
        <w:t xml:space="preserve"> по сравнению с оценкой исполнения бюджета 2022 г</w:t>
      </w:r>
      <w:r w:rsidR="001B1E4A">
        <w:rPr>
          <w:sz w:val="28"/>
          <w:szCs w:val="28"/>
        </w:rPr>
        <w:t>ода</w:t>
      </w:r>
      <w:r>
        <w:rPr>
          <w:sz w:val="28"/>
          <w:szCs w:val="28"/>
        </w:rPr>
        <w:t xml:space="preserve"> на 12,1% или на 443,3 </w:t>
      </w:r>
      <w:proofErr w:type="gramStart"/>
      <w:r>
        <w:rPr>
          <w:sz w:val="28"/>
          <w:szCs w:val="28"/>
        </w:rPr>
        <w:t>млрд</w:t>
      </w:r>
      <w:proofErr w:type="gramEnd"/>
      <w:r>
        <w:rPr>
          <w:sz w:val="28"/>
          <w:szCs w:val="28"/>
        </w:rPr>
        <w:t xml:space="preserve"> руб. При этом общая сумма доходов консолидированных бюджетов субъектов РФ, судя по данным прогноза будет увеличиваться в среднем на 4,9% в год, что не компенсирует их инфляционного обесценения. В реальном </w:t>
      </w:r>
      <w:proofErr w:type="gramStart"/>
      <w:r>
        <w:rPr>
          <w:sz w:val="28"/>
          <w:szCs w:val="28"/>
        </w:rPr>
        <w:t>исчислении</w:t>
      </w:r>
      <w:proofErr w:type="gramEnd"/>
      <w:r>
        <w:rPr>
          <w:sz w:val="28"/>
          <w:szCs w:val="28"/>
        </w:rPr>
        <w:t xml:space="preserve"> общая сумма трансфертов консолидированным бюджетам субъектов РФ будет сокращаться на 11–18% в год в рамках планового трехлетнего периода.</w:t>
      </w:r>
    </w:p>
    <w:p w14:paraId="65EA1D9B" w14:textId="191D5AEA" w:rsidR="00113939" w:rsidRDefault="00113939" w:rsidP="00113939">
      <w:pPr>
        <w:spacing w:line="360" w:lineRule="auto"/>
        <w:ind w:firstLine="709"/>
        <w:jc w:val="both"/>
        <w:rPr>
          <w:sz w:val="28"/>
          <w:szCs w:val="28"/>
        </w:rPr>
      </w:pPr>
      <w:proofErr w:type="gramStart"/>
      <w:r>
        <w:rPr>
          <w:sz w:val="28"/>
          <w:szCs w:val="28"/>
        </w:rPr>
        <w:t xml:space="preserve">Относительно ВВП общая сумма трансфертов бюджетам субъектам РФ будет снижаться (рисунок </w:t>
      </w:r>
      <w:r w:rsidR="001B1E4A">
        <w:rPr>
          <w:sz w:val="28"/>
          <w:szCs w:val="28"/>
        </w:rPr>
        <w:t>5</w:t>
      </w:r>
      <w:r>
        <w:rPr>
          <w:sz w:val="28"/>
          <w:szCs w:val="28"/>
        </w:rPr>
        <w:t>) с 2,8% в 2021 г</w:t>
      </w:r>
      <w:r w:rsidR="001B1E4A">
        <w:rPr>
          <w:sz w:val="28"/>
          <w:szCs w:val="28"/>
        </w:rPr>
        <w:t>оду</w:t>
      </w:r>
      <w:r>
        <w:rPr>
          <w:sz w:val="28"/>
          <w:szCs w:val="28"/>
        </w:rPr>
        <w:t xml:space="preserve"> и до 2,5% в 2022 г</w:t>
      </w:r>
      <w:r w:rsidR="001B1E4A">
        <w:rPr>
          <w:sz w:val="28"/>
          <w:szCs w:val="28"/>
        </w:rPr>
        <w:t>оду</w:t>
      </w:r>
      <w:r>
        <w:rPr>
          <w:sz w:val="28"/>
          <w:szCs w:val="28"/>
        </w:rPr>
        <w:t xml:space="preserve"> (по оценке)</w:t>
      </w:r>
      <w:r w:rsidR="001B1E4A">
        <w:rPr>
          <w:sz w:val="28"/>
          <w:szCs w:val="28"/>
        </w:rPr>
        <w:t>,</w:t>
      </w:r>
      <w:r>
        <w:rPr>
          <w:sz w:val="28"/>
          <w:szCs w:val="28"/>
        </w:rPr>
        <w:t xml:space="preserve"> до 2,1% в 2023</w:t>
      </w:r>
      <w:r w:rsidR="001B1E4A">
        <w:rPr>
          <w:sz w:val="28"/>
          <w:szCs w:val="28"/>
        </w:rPr>
        <w:t xml:space="preserve"> году</w:t>
      </w:r>
      <w:r>
        <w:rPr>
          <w:sz w:val="28"/>
          <w:szCs w:val="28"/>
        </w:rPr>
        <w:t xml:space="preserve"> и далее до 1,5% в 2025 </w:t>
      </w:r>
      <w:r w:rsidR="001B1E4A">
        <w:rPr>
          <w:sz w:val="28"/>
          <w:szCs w:val="28"/>
        </w:rPr>
        <w:t>году.</w:t>
      </w:r>
      <w:proofErr w:type="gramEnd"/>
      <w:r>
        <w:rPr>
          <w:sz w:val="28"/>
          <w:szCs w:val="28"/>
        </w:rPr>
        <w:t xml:space="preserve"> Эти показатели в целом оказываются ниже таковых в «</w:t>
      </w:r>
      <w:proofErr w:type="spellStart"/>
      <w:r>
        <w:rPr>
          <w:sz w:val="28"/>
          <w:szCs w:val="28"/>
        </w:rPr>
        <w:t>доковидную</w:t>
      </w:r>
      <w:proofErr w:type="spellEnd"/>
      <w:r>
        <w:rPr>
          <w:sz w:val="28"/>
          <w:szCs w:val="28"/>
        </w:rPr>
        <w:t xml:space="preserve"> эпоху» (1,9%–2,2% ВВП в 2017-2019 г</w:t>
      </w:r>
      <w:r w:rsidR="001B1E4A">
        <w:rPr>
          <w:sz w:val="28"/>
          <w:szCs w:val="28"/>
        </w:rPr>
        <w:t>одах</w:t>
      </w:r>
      <w:r>
        <w:rPr>
          <w:sz w:val="28"/>
          <w:szCs w:val="28"/>
        </w:rPr>
        <w:t>).</w:t>
      </w:r>
    </w:p>
    <w:p w14:paraId="1DB5D1B6" w14:textId="77777777" w:rsidR="001B1E4A" w:rsidRDefault="001B1E4A" w:rsidP="001B1E4A">
      <w:pPr>
        <w:jc w:val="center"/>
        <w:rPr>
          <w:sz w:val="28"/>
          <w:szCs w:val="28"/>
          <w:highlight w:val="lightGray"/>
        </w:rPr>
      </w:pPr>
      <w:r>
        <w:rPr>
          <w:noProof/>
        </w:rPr>
        <w:drawing>
          <wp:inline distT="0" distB="0" distL="0" distR="0" wp14:anchorId="52A6B10F" wp14:editId="5FE37546">
            <wp:extent cx="5266944" cy="3847795"/>
            <wp:effectExtent l="0" t="0" r="10160" b="6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3AEE29" w14:textId="77777777" w:rsidR="001B1E4A" w:rsidRDefault="001B1E4A" w:rsidP="001B1E4A">
      <w:pPr>
        <w:jc w:val="both"/>
        <w:rPr>
          <w:highlight w:val="lightGray"/>
        </w:rPr>
      </w:pPr>
    </w:p>
    <w:p w14:paraId="66CF79D4" w14:textId="77777777" w:rsidR="001B1E4A" w:rsidRDefault="001B1E4A" w:rsidP="001B1E4A">
      <w:pPr>
        <w:jc w:val="both"/>
        <w:rPr>
          <w:sz w:val="20"/>
          <w:szCs w:val="20"/>
        </w:rPr>
      </w:pPr>
      <w:r>
        <w:rPr>
          <w:sz w:val="20"/>
          <w:szCs w:val="20"/>
        </w:rPr>
        <w:t xml:space="preserve">Источник: Пояснительная записка к проекту Федерального Закона «О федеральном </w:t>
      </w:r>
      <w:proofErr w:type="gramStart"/>
      <w:r>
        <w:rPr>
          <w:sz w:val="20"/>
          <w:szCs w:val="20"/>
        </w:rPr>
        <w:t>бюджете</w:t>
      </w:r>
      <w:proofErr w:type="gramEnd"/>
      <w:r>
        <w:rPr>
          <w:sz w:val="20"/>
          <w:szCs w:val="20"/>
        </w:rPr>
        <w:t xml:space="preserve"> на 2023 год и на плановый период 2024 и 2025 годов»; Отчет об исполнении консолидированного бюджета Российской Федерации и бюджетов государственных внебюджетных фондов на 1.01.2020, на 1.01.2021, на 1.01.2022. (сайт Федерального казначейства </w:t>
      </w:r>
      <w:r>
        <w:rPr>
          <w:sz w:val="20"/>
          <w:szCs w:val="20"/>
          <w:lang w:val="en-US"/>
        </w:rPr>
        <w:t>www</w:t>
      </w:r>
      <w:r>
        <w:rPr>
          <w:sz w:val="20"/>
          <w:szCs w:val="20"/>
        </w:rPr>
        <w:t>.</w:t>
      </w:r>
      <w:proofErr w:type="spellStart"/>
      <w:r>
        <w:rPr>
          <w:sz w:val="20"/>
          <w:szCs w:val="20"/>
          <w:lang w:val="en-US"/>
        </w:rPr>
        <w:t>roskazna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 ФГСФ (</w:t>
      </w:r>
      <w:r>
        <w:rPr>
          <w:sz w:val="20"/>
          <w:szCs w:val="20"/>
          <w:lang w:val="en-US"/>
        </w:rPr>
        <w:t>https</w:t>
      </w:r>
      <w:r>
        <w:rPr>
          <w:sz w:val="20"/>
          <w:szCs w:val="20"/>
        </w:rPr>
        <w:t>://</w:t>
      </w:r>
      <w:proofErr w:type="spellStart"/>
      <w:r>
        <w:rPr>
          <w:sz w:val="20"/>
          <w:szCs w:val="20"/>
          <w:lang w:val="en-US"/>
        </w:rPr>
        <w:t>rosstat</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w:t>
      </w:r>
    </w:p>
    <w:p w14:paraId="4081992D" w14:textId="77777777" w:rsidR="001B1E4A" w:rsidRDefault="001B1E4A" w:rsidP="001B1E4A">
      <w:pPr>
        <w:jc w:val="both"/>
        <w:rPr>
          <w:sz w:val="20"/>
          <w:szCs w:val="20"/>
        </w:rPr>
      </w:pPr>
    </w:p>
    <w:p w14:paraId="46DE210C" w14:textId="1F214B24" w:rsidR="001B1E4A" w:rsidRDefault="001B1E4A" w:rsidP="001B1E4A">
      <w:pPr>
        <w:jc w:val="both"/>
        <w:rPr>
          <w:sz w:val="28"/>
          <w:szCs w:val="28"/>
        </w:rPr>
      </w:pPr>
      <w:r>
        <w:rPr>
          <w:sz w:val="28"/>
          <w:szCs w:val="28"/>
        </w:rPr>
        <w:t>Рисунок 5 - Трансферты бюджетам субъектов РФ в 2019–2025 г</w:t>
      </w:r>
      <w:r w:rsidR="00C571A0">
        <w:rPr>
          <w:sz w:val="28"/>
          <w:szCs w:val="28"/>
        </w:rPr>
        <w:t>одах</w:t>
      </w:r>
      <w:r>
        <w:rPr>
          <w:sz w:val="28"/>
          <w:szCs w:val="28"/>
        </w:rPr>
        <w:t xml:space="preserve"> (млн. руб., %% ВВП)</w:t>
      </w:r>
    </w:p>
    <w:p w14:paraId="16358180" w14:textId="77777777" w:rsidR="001B1E4A" w:rsidRDefault="001B1E4A" w:rsidP="00113939">
      <w:pPr>
        <w:spacing w:line="360" w:lineRule="auto"/>
        <w:ind w:firstLine="709"/>
        <w:jc w:val="both"/>
        <w:rPr>
          <w:sz w:val="28"/>
          <w:szCs w:val="28"/>
        </w:rPr>
      </w:pPr>
    </w:p>
    <w:p w14:paraId="617EC382" w14:textId="77777777" w:rsidR="00113939" w:rsidRDefault="00113939" w:rsidP="00113939">
      <w:pPr>
        <w:spacing w:line="360" w:lineRule="auto"/>
        <w:ind w:firstLine="709"/>
        <w:jc w:val="both"/>
        <w:rPr>
          <w:sz w:val="28"/>
          <w:szCs w:val="28"/>
        </w:rPr>
      </w:pPr>
      <w:r>
        <w:rPr>
          <w:sz w:val="28"/>
          <w:szCs w:val="28"/>
        </w:rPr>
        <w:t xml:space="preserve">Динамика различных видов трансфертов субфедеральным бюджетам в рамках планового периода будет различаться. Так, повышательная динамика запланирована для дотаций и субвенций, а субсидии и иные межбюджетные трансферты будут сокращаться даже по номинальным значениям. </w:t>
      </w:r>
    </w:p>
    <w:p w14:paraId="571F4A43" w14:textId="384F9158" w:rsidR="00113939" w:rsidRDefault="00113939" w:rsidP="00113939">
      <w:pPr>
        <w:spacing w:line="360" w:lineRule="auto"/>
        <w:ind w:firstLine="709"/>
        <w:jc w:val="both"/>
        <w:rPr>
          <w:bCs/>
          <w:iCs/>
          <w:color w:val="000000"/>
          <w:sz w:val="28"/>
          <w:szCs w:val="28"/>
        </w:rPr>
      </w:pPr>
      <w:r>
        <w:rPr>
          <w:sz w:val="28"/>
          <w:szCs w:val="28"/>
        </w:rPr>
        <w:t xml:space="preserve">Динамика дотаций будет отставать от темпов инфляции на 1-2 </w:t>
      </w:r>
      <w:proofErr w:type="spellStart"/>
      <w:r>
        <w:rPr>
          <w:sz w:val="28"/>
          <w:szCs w:val="28"/>
        </w:rPr>
        <w:t>п.п</w:t>
      </w:r>
      <w:proofErr w:type="spellEnd"/>
      <w:r>
        <w:rPr>
          <w:sz w:val="28"/>
          <w:szCs w:val="28"/>
        </w:rPr>
        <w:t>. Ситуация с субвенциями будет отличаться – после выраженного падения в 2023 г</w:t>
      </w:r>
      <w:r w:rsidR="001B1E4A">
        <w:rPr>
          <w:sz w:val="28"/>
          <w:szCs w:val="28"/>
        </w:rPr>
        <w:t>оду</w:t>
      </w:r>
      <w:r>
        <w:rPr>
          <w:sz w:val="28"/>
          <w:szCs w:val="28"/>
        </w:rPr>
        <w:t xml:space="preserve"> (на 34% в номинальном выражении) далее последует некоторый рост, который не компенсирует такого сокращения даже к концу планового периода (в 2025 г</w:t>
      </w:r>
      <w:r w:rsidR="001B1E4A">
        <w:rPr>
          <w:sz w:val="28"/>
          <w:szCs w:val="28"/>
        </w:rPr>
        <w:t>оду</w:t>
      </w:r>
      <w:r>
        <w:rPr>
          <w:sz w:val="28"/>
          <w:szCs w:val="28"/>
        </w:rPr>
        <w:t xml:space="preserve"> сумма субвенций составит всего 75% от прогнозируемого итога 2022 г</w:t>
      </w:r>
      <w:r w:rsidR="001B1E4A">
        <w:rPr>
          <w:sz w:val="28"/>
          <w:szCs w:val="28"/>
        </w:rPr>
        <w:t xml:space="preserve">ода </w:t>
      </w:r>
      <w:r>
        <w:rPr>
          <w:sz w:val="28"/>
          <w:szCs w:val="28"/>
        </w:rPr>
        <w:t>и будет ниже показателей 2019 г</w:t>
      </w:r>
      <w:r w:rsidR="001B1E4A">
        <w:rPr>
          <w:sz w:val="28"/>
          <w:szCs w:val="28"/>
        </w:rPr>
        <w:t>ода</w:t>
      </w:r>
      <w:r>
        <w:rPr>
          <w:sz w:val="28"/>
          <w:szCs w:val="28"/>
        </w:rPr>
        <w:t>).  Из текста Пояснительной записки не ясно, с чем именно связано столь существенное сокращение субвенций в 2023 г</w:t>
      </w:r>
      <w:r w:rsidR="001B1E4A">
        <w:rPr>
          <w:sz w:val="28"/>
          <w:szCs w:val="28"/>
        </w:rPr>
        <w:t>оду.</w:t>
      </w:r>
      <w:r>
        <w:rPr>
          <w:sz w:val="28"/>
          <w:szCs w:val="28"/>
        </w:rPr>
        <w:t xml:space="preserve"> Указание на сокращени</w:t>
      </w:r>
      <w:r w:rsidR="001B1E4A">
        <w:rPr>
          <w:sz w:val="28"/>
          <w:szCs w:val="28"/>
        </w:rPr>
        <w:t>е</w:t>
      </w:r>
      <w:r>
        <w:rPr>
          <w:sz w:val="28"/>
          <w:szCs w:val="28"/>
        </w:rPr>
        <w:t xml:space="preserve"> субвенций Калининградской области в связи с изменением ряда показателей функционирования ОЭЗ, а также сокращение субвенций в рамках </w:t>
      </w:r>
      <w:r>
        <w:rPr>
          <w:bCs/>
          <w:iCs/>
          <w:color w:val="000000"/>
          <w:sz w:val="28"/>
          <w:szCs w:val="28"/>
        </w:rPr>
        <w:t>национального проекта «Экология» не объясняют столь существенного падения поступлений данного вида федеральных трансфертов в первом году трехлетнего периода.</w:t>
      </w:r>
    </w:p>
    <w:p w14:paraId="6670C5BA" w14:textId="38B50B05" w:rsidR="00113939" w:rsidRDefault="00113939" w:rsidP="00113939">
      <w:pPr>
        <w:spacing w:line="360" w:lineRule="auto"/>
        <w:ind w:firstLine="709"/>
        <w:jc w:val="both"/>
        <w:rPr>
          <w:bCs/>
          <w:iCs/>
          <w:color w:val="000000"/>
          <w:sz w:val="28"/>
          <w:szCs w:val="28"/>
        </w:rPr>
      </w:pPr>
      <w:r>
        <w:rPr>
          <w:bCs/>
          <w:iCs/>
          <w:color w:val="000000"/>
          <w:sz w:val="28"/>
          <w:szCs w:val="28"/>
        </w:rPr>
        <w:t>Поступления субсидий в 2023–2025 г</w:t>
      </w:r>
      <w:r w:rsidR="001B1E4A">
        <w:rPr>
          <w:bCs/>
          <w:iCs/>
          <w:color w:val="000000"/>
          <w:sz w:val="28"/>
          <w:szCs w:val="28"/>
        </w:rPr>
        <w:t>одах</w:t>
      </w:r>
      <w:r>
        <w:rPr>
          <w:bCs/>
          <w:iCs/>
          <w:color w:val="000000"/>
          <w:sz w:val="28"/>
          <w:szCs w:val="28"/>
        </w:rPr>
        <w:t xml:space="preserve"> будут устойчиво сокращаться </w:t>
      </w:r>
      <w:proofErr w:type="gramStart"/>
      <w:r>
        <w:rPr>
          <w:bCs/>
          <w:iCs/>
          <w:color w:val="000000"/>
          <w:sz w:val="28"/>
          <w:szCs w:val="28"/>
        </w:rPr>
        <w:t>-н</w:t>
      </w:r>
      <w:proofErr w:type="gramEnd"/>
      <w:r>
        <w:rPr>
          <w:bCs/>
          <w:iCs/>
          <w:color w:val="000000"/>
          <w:sz w:val="28"/>
          <w:szCs w:val="28"/>
        </w:rPr>
        <w:t>а 3,9% и 2,3% в первые два года, соответственно, и на 30,9% в 2025 г</w:t>
      </w:r>
      <w:r w:rsidR="001B1E4A">
        <w:rPr>
          <w:bCs/>
          <w:iCs/>
          <w:color w:val="000000"/>
          <w:sz w:val="28"/>
          <w:szCs w:val="28"/>
        </w:rPr>
        <w:t>оду</w:t>
      </w:r>
      <w:r>
        <w:rPr>
          <w:bCs/>
          <w:iCs/>
          <w:color w:val="000000"/>
          <w:sz w:val="28"/>
          <w:szCs w:val="28"/>
        </w:rPr>
        <w:t xml:space="preserve"> (оценка год к году). В </w:t>
      </w:r>
      <w:proofErr w:type="gramStart"/>
      <w:r>
        <w:rPr>
          <w:bCs/>
          <w:iCs/>
          <w:color w:val="000000"/>
          <w:sz w:val="28"/>
          <w:szCs w:val="28"/>
        </w:rPr>
        <w:t>результате</w:t>
      </w:r>
      <w:proofErr w:type="gramEnd"/>
      <w:r>
        <w:rPr>
          <w:bCs/>
          <w:iCs/>
          <w:color w:val="000000"/>
          <w:sz w:val="28"/>
          <w:szCs w:val="28"/>
        </w:rPr>
        <w:t xml:space="preserve"> поступления субсидий в 2025 г</w:t>
      </w:r>
      <w:r w:rsidR="001B1E4A">
        <w:rPr>
          <w:bCs/>
          <w:iCs/>
          <w:color w:val="000000"/>
          <w:sz w:val="28"/>
          <w:szCs w:val="28"/>
        </w:rPr>
        <w:t>оду</w:t>
      </w:r>
      <w:r>
        <w:rPr>
          <w:bCs/>
          <w:iCs/>
          <w:color w:val="000000"/>
          <w:sz w:val="28"/>
          <w:szCs w:val="28"/>
        </w:rPr>
        <w:t xml:space="preserve"> планируется на уровне 65% от показателей текущего года. </w:t>
      </w:r>
    </w:p>
    <w:p w14:paraId="0F5E6529" w14:textId="77777777" w:rsidR="00113939" w:rsidRDefault="00113939" w:rsidP="00113939">
      <w:pPr>
        <w:spacing w:line="360" w:lineRule="auto"/>
        <w:ind w:firstLine="709"/>
        <w:jc w:val="both"/>
        <w:rPr>
          <w:bCs/>
          <w:iCs/>
          <w:color w:val="000000"/>
          <w:sz w:val="28"/>
          <w:szCs w:val="28"/>
        </w:rPr>
      </w:pPr>
      <w:r>
        <w:rPr>
          <w:bCs/>
          <w:iCs/>
          <w:color w:val="000000"/>
          <w:sz w:val="28"/>
          <w:szCs w:val="28"/>
        </w:rPr>
        <w:t>Доходы консолидированных бюджетов субъектов РФ от «иных межбюджетных трансфертов» будут сокращаться в первые два года трехлетнего периода до уровня 73% от значения текущего (по оценке) года. Отчасти данное сокращение объясняется переводом отдельных видов трансфертов в категорию субсидий. В этих условиях сокращение субсидий выглядит довольно странным.</w:t>
      </w:r>
    </w:p>
    <w:p w14:paraId="362D9E49" w14:textId="289F82DD" w:rsidR="00113939" w:rsidRDefault="00113939" w:rsidP="00113939">
      <w:pPr>
        <w:spacing w:line="360" w:lineRule="auto"/>
        <w:ind w:firstLine="709"/>
        <w:jc w:val="both"/>
        <w:rPr>
          <w:sz w:val="28"/>
          <w:szCs w:val="28"/>
        </w:rPr>
      </w:pPr>
      <w:r>
        <w:rPr>
          <w:sz w:val="28"/>
          <w:szCs w:val="28"/>
        </w:rPr>
        <w:t xml:space="preserve">Различная динамика четырех видов трансфертов приводит к существенному изменению общей структуры федеральной финансовой помощи. Так, дотации, доля которых в структуре федеральных трансфертов в последние годы </w:t>
      </w:r>
      <w:proofErr w:type="gramStart"/>
      <w:r>
        <w:rPr>
          <w:sz w:val="28"/>
          <w:szCs w:val="28"/>
        </w:rPr>
        <w:t>выражено</w:t>
      </w:r>
      <w:proofErr w:type="gramEnd"/>
      <w:r>
        <w:rPr>
          <w:sz w:val="28"/>
          <w:szCs w:val="28"/>
        </w:rPr>
        <w:t xml:space="preserve"> снижалась (с 37,7% в 2019 г</w:t>
      </w:r>
      <w:r w:rsidR="001B1E4A">
        <w:rPr>
          <w:sz w:val="28"/>
          <w:szCs w:val="28"/>
        </w:rPr>
        <w:t>оду</w:t>
      </w:r>
      <w:r>
        <w:rPr>
          <w:sz w:val="28"/>
          <w:szCs w:val="28"/>
        </w:rPr>
        <w:t xml:space="preserve"> до 26,6% в текущем году) в плановом периоде вновь могут стать основным видом финансовой помощи. Их доля возрастает до 31,3% в 2023 г</w:t>
      </w:r>
      <w:r w:rsidR="001B1E4A">
        <w:rPr>
          <w:sz w:val="28"/>
          <w:szCs w:val="28"/>
        </w:rPr>
        <w:t>оду</w:t>
      </w:r>
      <w:r>
        <w:rPr>
          <w:sz w:val="28"/>
          <w:szCs w:val="28"/>
        </w:rPr>
        <w:t xml:space="preserve"> и до 42,0% в 2025 г</w:t>
      </w:r>
      <w:r w:rsidR="001B1E4A">
        <w:rPr>
          <w:sz w:val="28"/>
          <w:szCs w:val="28"/>
        </w:rPr>
        <w:t>оду.</w:t>
      </w:r>
      <w:r>
        <w:rPr>
          <w:sz w:val="28"/>
          <w:szCs w:val="28"/>
        </w:rPr>
        <w:t xml:space="preserve">  </w:t>
      </w:r>
    </w:p>
    <w:p w14:paraId="0F1E27AC" w14:textId="2AB897EB" w:rsidR="00113939" w:rsidRDefault="00113939" w:rsidP="00113939">
      <w:pPr>
        <w:spacing w:line="360" w:lineRule="auto"/>
        <w:ind w:firstLine="709"/>
        <w:jc w:val="both"/>
        <w:rPr>
          <w:sz w:val="28"/>
          <w:szCs w:val="28"/>
        </w:rPr>
      </w:pPr>
      <w:proofErr w:type="gramStart"/>
      <w:r>
        <w:rPr>
          <w:sz w:val="28"/>
          <w:szCs w:val="28"/>
        </w:rPr>
        <w:t>Доля субсидий увеличивается в первые два года рассматриваемого трехлетнего периода с 43,6% в 2022 г</w:t>
      </w:r>
      <w:r w:rsidR="001B1E4A">
        <w:rPr>
          <w:sz w:val="28"/>
          <w:szCs w:val="28"/>
        </w:rPr>
        <w:t>оду</w:t>
      </w:r>
      <w:r>
        <w:rPr>
          <w:sz w:val="28"/>
          <w:szCs w:val="28"/>
        </w:rPr>
        <w:t xml:space="preserve"> (оценка) до 47,7% в 2023 г</w:t>
      </w:r>
      <w:r w:rsidR="001B1E4A">
        <w:rPr>
          <w:sz w:val="28"/>
          <w:szCs w:val="28"/>
        </w:rPr>
        <w:t>оду</w:t>
      </w:r>
      <w:r>
        <w:rPr>
          <w:sz w:val="28"/>
          <w:szCs w:val="28"/>
        </w:rPr>
        <w:t xml:space="preserve"> и 50,3% в 2024 г</w:t>
      </w:r>
      <w:r w:rsidR="001B1E4A">
        <w:rPr>
          <w:sz w:val="28"/>
          <w:szCs w:val="28"/>
        </w:rPr>
        <w:t>оду</w:t>
      </w:r>
      <w:r>
        <w:rPr>
          <w:sz w:val="28"/>
          <w:szCs w:val="28"/>
        </w:rPr>
        <w:t xml:space="preserve"> и снижается в 2025 г</w:t>
      </w:r>
      <w:r w:rsidR="001B1E4A">
        <w:rPr>
          <w:sz w:val="28"/>
          <w:szCs w:val="28"/>
        </w:rPr>
        <w:t>оду</w:t>
      </w:r>
      <w:r>
        <w:rPr>
          <w:sz w:val="28"/>
          <w:szCs w:val="28"/>
        </w:rPr>
        <w:t xml:space="preserve"> до 40,4%. Динамика доли субвенций будет иной  - после некоторого сокращения в 2023 г</w:t>
      </w:r>
      <w:r w:rsidR="001B1E4A">
        <w:rPr>
          <w:sz w:val="28"/>
          <w:szCs w:val="28"/>
        </w:rPr>
        <w:t>оду</w:t>
      </w:r>
      <w:r>
        <w:rPr>
          <w:sz w:val="28"/>
          <w:szCs w:val="28"/>
        </w:rPr>
        <w:t xml:space="preserve"> до 9,4% с 12,4% в текущем году будет иметь место некоторый рост до 13,3% в 2025</w:t>
      </w:r>
      <w:proofErr w:type="gramEnd"/>
      <w:r>
        <w:rPr>
          <w:sz w:val="28"/>
          <w:szCs w:val="28"/>
        </w:rPr>
        <w:t xml:space="preserve"> г</w:t>
      </w:r>
      <w:r w:rsidR="001B1E4A">
        <w:rPr>
          <w:sz w:val="28"/>
          <w:szCs w:val="28"/>
        </w:rPr>
        <w:t>оду.</w:t>
      </w:r>
      <w:r>
        <w:rPr>
          <w:sz w:val="28"/>
          <w:szCs w:val="28"/>
        </w:rPr>
        <w:t xml:space="preserve"> Изменение долей субсидий и субвенций в значительной мере связано с запланированной перегруппировкой иных видов межбюджетных трансфертов – переводом некоторых их видов из группы «иные» в группу «субсидии». Эта перегруппировка отчасти носит характер упорядочения всей системы федеральных трансфертов в результате отработки моделей их предоставления. Итогом становится выраженное сокращение доли иных межбюджетных трансфертов с 17,4% в текущем году (по оценке) до 4,3% в 2025 г</w:t>
      </w:r>
      <w:r w:rsidR="001B1E4A">
        <w:rPr>
          <w:sz w:val="28"/>
          <w:szCs w:val="28"/>
        </w:rPr>
        <w:t>оду.</w:t>
      </w:r>
    </w:p>
    <w:p w14:paraId="12E49A19" w14:textId="15CBCFB6" w:rsidR="00113939" w:rsidRDefault="00113939" w:rsidP="00113939">
      <w:pPr>
        <w:spacing w:line="360" w:lineRule="auto"/>
        <w:ind w:firstLine="709"/>
        <w:jc w:val="both"/>
        <w:rPr>
          <w:sz w:val="28"/>
          <w:szCs w:val="28"/>
        </w:rPr>
      </w:pPr>
      <w:proofErr w:type="gramStart"/>
      <w:r>
        <w:rPr>
          <w:sz w:val="28"/>
          <w:szCs w:val="28"/>
        </w:rPr>
        <w:t xml:space="preserve">В результате просматривается определенное смещение акцентов с целевых видов финансовой поддержки субфедеральных бюджетов на нецелевые (рисунок </w:t>
      </w:r>
      <w:r w:rsidR="001B1E4A">
        <w:rPr>
          <w:sz w:val="28"/>
          <w:szCs w:val="28"/>
        </w:rPr>
        <w:t>6</w:t>
      </w:r>
      <w:r>
        <w:rPr>
          <w:sz w:val="28"/>
          <w:szCs w:val="28"/>
        </w:rPr>
        <w:t xml:space="preserve">). </w:t>
      </w:r>
      <w:proofErr w:type="gramEnd"/>
    </w:p>
    <w:p w14:paraId="66F875CA" w14:textId="77777777" w:rsidR="00113939" w:rsidRDefault="00113939" w:rsidP="00113939">
      <w:pPr>
        <w:jc w:val="both"/>
        <w:rPr>
          <w:sz w:val="28"/>
          <w:szCs w:val="28"/>
        </w:rPr>
      </w:pPr>
      <w:r>
        <w:rPr>
          <w:noProof/>
        </w:rPr>
        <w:drawing>
          <wp:inline distT="0" distB="0" distL="0" distR="0" wp14:anchorId="2D958350" wp14:editId="5BDB70C9">
            <wp:extent cx="5940425" cy="419862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756F76" w14:textId="77777777" w:rsidR="00113939" w:rsidRDefault="00113939" w:rsidP="001B1E4A">
      <w:pPr>
        <w:jc w:val="both"/>
        <w:rPr>
          <w:sz w:val="20"/>
          <w:szCs w:val="20"/>
        </w:rPr>
      </w:pPr>
      <w:r>
        <w:rPr>
          <w:sz w:val="20"/>
          <w:szCs w:val="20"/>
        </w:rPr>
        <w:t xml:space="preserve">Источник: Пояснительная записка к проекту Федерального Закона «О федеральном </w:t>
      </w:r>
      <w:proofErr w:type="gramStart"/>
      <w:r>
        <w:rPr>
          <w:sz w:val="20"/>
          <w:szCs w:val="20"/>
        </w:rPr>
        <w:t>бюджете</w:t>
      </w:r>
      <w:proofErr w:type="gramEnd"/>
      <w:r>
        <w:rPr>
          <w:sz w:val="20"/>
          <w:szCs w:val="20"/>
        </w:rPr>
        <w:t xml:space="preserve"> на 2023 год и на плановый период 2024 и 2025 годов»; Отчет об исполнении консолидированного бюджета Российской Федерации и бюджетов государственных внебюджетных фондов на 1.01.2020, на 1.01.2021, на 1.01.2022. (сайт Федерального казначейства </w:t>
      </w:r>
      <w:r>
        <w:rPr>
          <w:sz w:val="20"/>
          <w:szCs w:val="20"/>
          <w:lang w:val="en-US"/>
        </w:rPr>
        <w:t>www</w:t>
      </w:r>
      <w:r>
        <w:rPr>
          <w:sz w:val="20"/>
          <w:szCs w:val="20"/>
        </w:rPr>
        <w:t>.</w:t>
      </w:r>
      <w:proofErr w:type="spellStart"/>
      <w:r>
        <w:rPr>
          <w:sz w:val="20"/>
          <w:szCs w:val="20"/>
          <w:lang w:val="en-US"/>
        </w:rPr>
        <w:t>roskazna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 ФГСФ (</w:t>
      </w:r>
      <w:r>
        <w:rPr>
          <w:sz w:val="20"/>
          <w:szCs w:val="20"/>
          <w:lang w:val="en-US"/>
        </w:rPr>
        <w:t>https</w:t>
      </w:r>
      <w:r>
        <w:rPr>
          <w:sz w:val="20"/>
          <w:szCs w:val="20"/>
        </w:rPr>
        <w:t>://</w:t>
      </w:r>
      <w:proofErr w:type="spellStart"/>
      <w:r>
        <w:rPr>
          <w:sz w:val="20"/>
          <w:szCs w:val="20"/>
          <w:lang w:val="en-US"/>
        </w:rPr>
        <w:t>rosstat</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w:t>
      </w:r>
    </w:p>
    <w:p w14:paraId="4F41EDB0" w14:textId="09E112F4" w:rsidR="00113939" w:rsidRDefault="00113939" w:rsidP="00113939">
      <w:pPr>
        <w:ind w:firstLine="709"/>
        <w:jc w:val="both"/>
        <w:rPr>
          <w:sz w:val="28"/>
          <w:szCs w:val="28"/>
        </w:rPr>
      </w:pPr>
    </w:p>
    <w:p w14:paraId="24AE967B" w14:textId="6A628B75" w:rsidR="001B1E4A" w:rsidRDefault="001B1E4A" w:rsidP="001B1E4A">
      <w:pPr>
        <w:jc w:val="both"/>
        <w:rPr>
          <w:sz w:val="28"/>
          <w:szCs w:val="28"/>
        </w:rPr>
      </w:pPr>
      <w:r>
        <w:rPr>
          <w:sz w:val="28"/>
          <w:szCs w:val="28"/>
        </w:rPr>
        <w:t xml:space="preserve">Рисунок 6 - Соотношение целевых и нецелевых видов трансфертов из федерального бюджета субъектам федерации в 2019–2025  годах, </w:t>
      </w:r>
      <w:proofErr w:type="gramStart"/>
      <w:r>
        <w:rPr>
          <w:sz w:val="28"/>
          <w:szCs w:val="28"/>
        </w:rPr>
        <w:t>млрд</w:t>
      </w:r>
      <w:proofErr w:type="gramEnd"/>
      <w:r>
        <w:rPr>
          <w:sz w:val="28"/>
          <w:szCs w:val="28"/>
        </w:rPr>
        <w:t xml:space="preserve"> руб.</w:t>
      </w:r>
    </w:p>
    <w:p w14:paraId="58CFA7E0" w14:textId="77777777" w:rsidR="001B1E4A" w:rsidRDefault="001B1E4A" w:rsidP="001B1E4A">
      <w:pPr>
        <w:jc w:val="both"/>
        <w:rPr>
          <w:sz w:val="28"/>
          <w:szCs w:val="28"/>
        </w:rPr>
      </w:pPr>
    </w:p>
    <w:p w14:paraId="1AA0C4E7" w14:textId="77777777" w:rsidR="001B1E4A" w:rsidRDefault="001B1E4A" w:rsidP="00113939">
      <w:pPr>
        <w:ind w:firstLine="709"/>
        <w:jc w:val="both"/>
        <w:rPr>
          <w:sz w:val="28"/>
          <w:szCs w:val="28"/>
        </w:rPr>
      </w:pPr>
    </w:p>
    <w:p w14:paraId="2F486164" w14:textId="12E12443" w:rsidR="00113939" w:rsidRDefault="00113939" w:rsidP="00113939">
      <w:pPr>
        <w:spacing w:line="360" w:lineRule="auto"/>
        <w:ind w:firstLine="709"/>
        <w:jc w:val="both"/>
        <w:rPr>
          <w:sz w:val="28"/>
          <w:szCs w:val="28"/>
        </w:rPr>
      </w:pPr>
      <w:r>
        <w:rPr>
          <w:sz w:val="28"/>
          <w:szCs w:val="28"/>
        </w:rPr>
        <w:t xml:space="preserve">Таким образом, в рамках 2023–2025 </w:t>
      </w:r>
      <w:r w:rsidR="001B1E4A">
        <w:rPr>
          <w:sz w:val="28"/>
          <w:szCs w:val="28"/>
        </w:rPr>
        <w:t>годов</w:t>
      </w:r>
      <w:r>
        <w:rPr>
          <w:sz w:val="28"/>
          <w:szCs w:val="28"/>
        </w:rPr>
        <w:t xml:space="preserve"> просматривается смещение акцентов с целевых видов финансовой помощи (субсидии, субвенции, иные трансферты) на нецелевые (дотации). Это можно было бы расценивать как возвращение к региональным приоритетам, расширение возможности субъектов РФ осуществлять финансирование тех целей, задач и приоритетов, которые определяются ими самостоятельно. Отчасти об этом свидетельствует и данные о сокращении доли финансирования национальных проектов (федеральные цели) в структуре целевых видов трансфертов (таблица </w:t>
      </w:r>
      <w:r w:rsidR="001B1E4A">
        <w:rPr>
          <w:sz w:val="28"/>
          <w:szCs w:val="28"/>
        </w:rPr>
        <w:t>2</w:t>
      </w:r>
      <w:r w:rsidR="00901ACF">
        <w:rPr>
          <w:sz w:val="28"/>
          <w:szCs w:val="28"/>
        </w:rPr>
        <w:t>3</w:t>
      </w:r>
      <w:r>
        <w:rPr>
          <w:sz w:val="28"/>
          <w:szCs w:val="28"/>
        </w:rPr>
        <w:t>). Если в 2022 г</w:t>
      </w:r>
      <w:r w:rsidR="001B1E4A">
        <w:rPr>
          <w:sz w:val="28"/>
          <w:szCs w:val="28"/>
        </w:rPr>
        <w:t xml:space="preserve">оду </w:t>
      </w:r>
      <w:r>
        <w:rPr>
          <w:sz w:val="28"/>
          <w:szCs w:val="28"/>
        </w:rPr>
        <w:t>эта доля составляла 39,4%, то после ее повышения до 40,6% в 2023 г</w:t>
      </w:r>
      <w:r w:rsidR="001B1E4A">
        <w:rPr>
          <w:sz w:val="28"/>
          <w:szCs w:val="28"/>
        </w:rPr>
        <w:t>оду</w:t>
      </w:r>
      <w:r>
        <w:rPr>
          <w:sz w:val="28"/>
          <w:szCs w:val="28"/>
        </w:rPr>
        <w:t xml:space="preserve"> начинается ее снижение до 32,4% в 2025 г</w:t>
      </w:r>
      <w:r w:rsidR="001B1E4A">
        <w:rPr>
          <w:sz w:val="28"/>
          <w:szCs w:val="28"/>
        </w:rPr>
        <w:t>оду</w:t>
      </w:r>
      <w:r>
        <w:rPr>
          <w:sz w:val="28"/>
          <w:szCs w:val="28"/>
        </w:rPr>
        <w:t xml:space="preserve">. </w:t>
      </w:r>
    </w:p>
    <w:p w14:paraId="77F50AD9" w14:textId="77777777" w:rsidR="001B1E4A" w:rsidRDefault="001B1E4A" w:rsidP="001B1E4A">
      <w:pPr>
        <w:jc w:val="both"/>
        <w:rPr>
          <w:sz w:val="28"/>
          <w:szCs w:val="28"/>
        </w:rPr>
      </w:pPr>
    </w:p>
    <w:p w14:paraId="7FD61ECC" w14:textId="3B207637" w:rsidR="00113939" w:rsidRDefault="00113939" w:rsidP="001B1E4A">
      <w:pPr>
        <w:jc w:val="both"/>
        <w:rPr>
          <w:sz w:val="28"/>
          <w:szCs w:val="28"/>
        </w:rPr>
      </w:pPr>
      <w:r>
        <w:rPr>
          <w:sz w:val="28"/>
          <w:szCs w:val="28"/>
        </w:rPr>
        <w:t xml:space="preserve">Таблица </w:t>
      </w:r>
      <w:r w:rsidR="001B1E4A">
        <w:rPr>
          <w:sz w:val="28"/>
          <w:szCs w:val="28"/>
        </w:rPr>
        <w:t>2</w:t>
      </w:r>
      <w:r w:rsidR="00901ACF">
        <w:rPr>
          <w:sz w:val="28"/>
          <w:szCs w:val="28"/>
        </w:rPr>
        <w:t>3</w:t>
      </w:r>
      <w:r>
        <w:rPr>
          <w:sz w:val="28"/>
          <w:szCs w:val="28"/>
        </w:rPr>
        <w:t xml:space="preserve"> - Доля трансфертов на реализацию национальных проектов в различных видах финансовой помощи субъектам РФ, 2021–2024 г</w:t>
      </w:r>
      <w:r w:rsidR="001B1E4A">
        <w:rPr>
          <w:sz w:val="28"/>
          <w:szCs w:val="28"/>
        </w:rPr>
        <w:t>оды</w:t>
      </w:r>
    </w:p>
    <w:p w14:paraId="4B612F06" w14:textId="77777777" w:rsidR="001B1E4A" w:rsidRDefault="001B1E4A" w:rsidP="00113939">
      <w:pPr>
        <w:ind w:firstLine="709"/>
        <w:jc w:val="both"/>
        <w:rPr>
          <w:sz w:val="28"/>
          <w:szCs w:val="28"/>
        </w:rPr>
      </w:pPr>
    </w:p>
    <w:tbl>
      <w:tblPr>
        <w:tblW w:w="5000" w:type="pct"/>
        <w:tblLook w:val="04A0" w:firstRow="1" w:lastRow="0" w:firstColumn="1" w:lastColumn="0" w:noHBand="0" w:noVBand="1"/>
      </w:tblPr>
      <w:tblGrid>
        <w:gridCol w:w="4365"/>
        <w:gridCol w:w="1687"/>
        <w:gridCol w:w="1094"/>
        <w:gridCol w:w="1091"/>
        <w:gridCol w:w="1334"/>
      </w:tblGrid>
      <w:tr w:rsidR="00113939" w14:paraId="25F19D86" w14:textId="77777777" w:rsidTr="00005928">
        <w:trPr>
          <w:trHeight w:val="300"/>
        </w:trPr>
        <w:tc>
          <w:tcPr>
            <w:tcW w:w="22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686907" w14:textId="77777777" w:rsidR="00113939" w:rsidRDefault="00113939" w:rsidP="00005928">
            <w:pPr>
              <w:widowControl w:val="0"/>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920131" w14:textId="77777777" w:rsidR="00113939" w:rsidRDefault="00113939" w:rsidP="00005928">
            <w:pPr>
              <w:widowControl w:val="0"/>
              <w:jc w:val="right"/>
              <w:rPr>
                <w:color w:val="000000"/>
              </w:rPr>
            </w:pPr>
            <w:r>
              <w:rPr>
                <w:color w:val="000000"/>
              </w:rPr>
              <w:t>2022 г. оценка</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491DD" w14:textId="77777777" w:rsidR="00113939" w:rsidRDefault="00113939" w:rsidP="00005928">
            <w:pPr>
              <w:widowControl w:val="0"/>
              <w:jc w:val="right"/>
              <w:rPr>
                <w:color w:val="000000"/>
              </w:rPr>
            </w:pPr>
            <w:r>
              <w:rPr>
                <w:color w:val="000000"/>
              </w:rPr>
              <w:t>2023 г.</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19C95B0" w14:textId="77777777" w:rsidR="00113939" w:rsidRDefault="00113939" w:rsidP="00005928">
            <w:pPr>
              <w:widowControl w:val="0"/>
              <w:jc w:val="right"/>
              <w:rPr>
                <w:color w:val="000000"/>
              </w:rPr>
            </w:pPr>
            <w:r>
              <w:rPr>
                <w:color w:val="000000"/>
              </w:rPr>
              <w:t>2024 г.</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2768EF" w14:textId="77777777" w:rsidR="00113939" w:rsidRDefault="00113939" w:rsidP="00005928">
            <w:pPr>
              <w:widowControl w:val="0"/>
              <w:jc w:val="right"/>
              <w:rPr>
                <w:color w:val="000000"/>
              </w:rPr>
            </w:pPr>
            <w:r>
              <w:rPr>
                <w:color w:val="000000"/>
              </w:rPr>
              <w:t>2025 г.</w:t>
            </w:r>
          </w:p>
        </w:tc>
      </w:tr>
      <w:tr w:rsidR="00113939" w14:paraId="62A6F61A" w14:textId="77777777" w:rsidTr="00005928">
        <w:trPr>
          <w:trHeight w:val="300"/>
        </w:trPr>
        <w:tc>
          <w:tcPr>
            <w:tcW w:w="22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134EB88" w14:textId="77777777" w:rsidR="00113939" w:rsidRDefault="00113939" w:rsidP="00005928">
            <w:pPr>
              <w:widowControl w:val="0"/>
              <w:rPr>
                <w:color w:val="000000"/>
              </w:rPr>
            </w:pPr>
            <w:r>
              <w:rPr>
                <w:color w:val="000000"/>
              </w:rPr>
              <w:t>Межбюджетные трансферты в целом</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3C8FAF" w14:textId="77777777" w:rsidR="00113939" w:rsidRDefault="00113939" w:rsidP="00005928">
            <w:pPr>
              <w:widowControl w:val="0"/>
              <w:jc w:val="right"/>
              <w:rPr>
                <w:color w:val="000000"/>
              </w:rPr>
            </w:pPr>
            <w:r>
              <w:rPr>
                <w:color w:val="000000"/>
              </w:rPr>
              <w:t>29,0%</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C60E6CA" w14:textId="77777777" w:rsidR="00113939" w:rsidRDefault="00113939" w:rsidP="00005928">
            <w:pPr>
              <w:widowControl w:val="0"/>
              <w:jc w:val="right"/>
              <w:rPr>
                <w:color w:val="000000"/>
              </w:rPr>
            </w:pPr>
            <w:r>
              <w:rPr>
                <w:color w:val="000000"/>
              </w:rPr>
              <w:t>27,9%</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C82D8C2" w14:textId="77777777" w:rsidR="00113939" w:rsidRDefault="00113939" w:rsidP="00005928">
            <w:pPr>
              <w:widowControl w:val="0"/>
              <w:jc w:val="right"/>
              <w:rPr>
                <w:color w:val="000000"/>
              </w:rPr>
            </w:pPr>
            <w:r>
              <w:rPr>
                <w:color w:val="000000"/>
              </w:rPr>
              <w:t>29,7%</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2C24A3E" w14:textId="77777777" w:rsidR="00113939" w:rsidRDefault="00113939" w:rsidP="00005928">
            <w:pPr>
              <w:widowControl w:val="0"/>
              <w:jc w:val="right"/>
              <w:rPr>
                <w:color w:val="000000"/>
              </w:rPr>
            </w:pPr>
            <w:r>
              <w:rPr>
                <w:color w:val="000000"/>
              </w:rPr>
              <w:t>18,8%</w:t>
            </w:r>
          </w:p>
        </w:tc>
      </w:tr>
      <w:tr w:rsidR="00113939" w14:paraId="190855E3" w14:textId="77777777" w:rsidTr="00005928">
        <w:trPr>
          <w:trHeight w:val="300"/>
        </w:trPr>
        <w:tc>
          <w:tcPr>
            <w:tcW w:w="22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A3C2B85" w14:textId="77777777" w:rsidR="00113939" w:rsidRDefault="00113939" w:rsidP="00005928">
            <w:pPr>
              <w:widowControl w:val="0"/>
              <w:rPr>
                <w:color w:val="000000"/>
              </w:rPr>
            </w:pPr>
            <w:r>
              <w:rPr>
                <w:color w:val="000000"/>
              </w:rPr>
              <w:t>в том числе</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5E729F" w14:textId="77777777" w:rsidR="00113939" w:rsidRDefault="00113939" w:rsidP="00005928">
            <w:pPr>
              <w:widowControl w:val="0"/>
              <w:jc w:val="right"/>
              <w:rPr>
                <w:color w:val="000000"/>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F60076B" w14:textId="77777777" w:rsidR="00113939" w:rsidRDefault="00113939" w:rsidP="00005928">
            <w:pPr>
              <w:widowControl w:val="0"/>
              <w:jc w:val="right"/>
              <w:rPr>
                <w:color w:val="000000"/>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2095C8C" w14:textId="77777777" w:rsidR="00113939" w:rsidRDefault="00113939" w:rsidP="00005928">
            <w:pPr>
              <w:widowControl w:val="0"/>
              <w:jc w:val="right"/>
              <w:rPr>
                <w:color w:val="000000"/>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C306E67" w14:textId="77777777" w:rsidR="00113939" w:rsidRDefault="00113939" w:rsidP="00005928">
            <w:pPr>
              <w:widowControl w:val="0"/>
              <w:jc w:val="right"/>
              <w:rPr>
                <w:color w:val="000000"/>
              </w:rPr>
            </w:pPr>
          </w:p>
        </w:tc>
      </w:tr>
      <w:tr w:rsidR="00113939" w14:paraId="4131C752" w14:textId="77777777" w:rsidTr="00005928">
        <w:trPr>
          <w:trHeight w:val="323"/>
        </w:trPr>
        <w:tc>
          <w:tcPr>
            <w:tcW w:w="22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FD3B1AA" w14:textId="77777777" w:rsidR="00113939" w:rsidRDefault="00113939" w:rsidP="00005928">
            <w:pPr>
              <w:widowControl w:val="0"/>
              <w:rPr>
                <w:color w:val="000000"/>
              </w:rPr>
            </w:pPr>
            <w:r>
              <w:rPr>
                <w:color w:val="000000"/>
              </w:rPr>
              <w:t xml:space="preserve">    целевые трансферты</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753BC8C" w14:textId="77777777" w:rsidR="00113939" w:rsidRDefault="00113939" w:rsidP="00005928">
            <w:pPr>
              <w:widowControl w:val="0"/>
              <w:jc w:val="right"/>
              <w:rPr>
                <w:rFonts w:ascii="Calibri" w:hAnsi="Calibri"/>
                <w:color w:val="000000"/>
              </w:rPr>
            </w:pPr>
            <w:r>
              <w:rPr>
                <w:color w:val="000000"/>
              </w:rPr>
              <w:t>39,4%</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2750F04" w14:textId="77777777" w:rsidR="00113939" w:rsidRDefault="00113939" w:rsidP="00005928">
            <w:pPr>
              <w:widowControl w:val="0"/>
              <w:jc w:val="right"/>
              <w:rPr>
                <w:rFonts w:ascii="Calibri" w:hAnsi="Calibri"/>
                <w:color w:val="000000"/>
              </w:rPr>
            </w:pPr>
            <w:r>
              <w:rPr>
                <w:color w:val="000000"/>
              </w:rPr>
              <w:t>40,6%</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FCDE338" w14:textId="77777777" w:rsidR="00113939" w:rsidRDefault="00113939" w:rsidP="00005928">
            <w:pPr>
              <w:widowControl w:val="0"/>
              <w:jc w:val="right"/>
              <w:rPr>
                <w:rFonts w:ascii="Calibri" w:hAnsi="Calibri"/>
                <w:color w:val="000000"/>
              </w:rPr>
            </w:pPr>
            <w:r>
              <w:rPr>
                <w:color w:val="000000"/>
              </w:rPr>
              <w:t>45,7%</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892C238" w14:textId="77777777" w:rsidR="00113939" w:rsidRDefault="00113939" w:rsidP="00005928">
            <w:pPr>
              <w:widowControl w:val="0"/>
              <w:jc w:val="right"/>
              <w:rPr>
                <w:rFonts w:ascii="Calibri" w:hAnsi="Calibri"/>
                <w:color w:val="000000"/>
              </w:rPr>
            </w:pPr>
            <w:r>
              <w:rPr>
                <w:color w:val="000000"/>
              </w:rPr>
              <w:t>32,4%</w:t>
            </w:r>
          </w:p>
        </w:tc>
      </w:tr>
      <w:tr w:rsidR="00113939" w14:paraId="321ED409" w14:textId="77777777" w:rsidTr="00005928">
        <w:trPr>
          <w:trHeight w:val="300"/>
        </w:trPr>
        <w:tc>
          <w:tcPr>
            <w:tcW w:w="22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DB85AA0" w14:textId="77777777" w:rsidR="00113939" w:rsidRDefault="00113939" w:rsidP="00005928">
            <w:pPr>
              <w:widowControl w:val="0"/>
              <w:rPr>
                <w:color w:val="000000"/>
              </w:rPr>
            </w:pPr>
            <w:r>
              <w:rPr>
                <w:color w:val="000000"/>
              </w:rPr>
              <w:t xml:space="preserve">    в том числе</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4796AB1" w14:textId="77777777" w:rsidR="00113939" w:rsidRDefault="00113939" w:rsidP="00005928">
            <w:pPr>
              <w:widowControl w:val="0"/>
              <w:jc w:val="right"/>
              <w:rPr>
                <w:color w:val="000000"/>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0FED57B" w14:textId="77777777" w:rsidR="00113939" w:rsidRDefault="00113939" w:rsidP="00005928">
            <w:pPr>
              <w:widowControl w:val="0"/>
              <w:jc w:val="right"/>
              <w:rPr>
                <w:color w:val="000000"/>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B50869C" w14:textId="77777777" w:rsidR="00113939" w:rsidRDefault="00113939" w:rsidP="00005928">
            <w:pPr>
              <w:widowControl w:val="0"/>
              <w:jc w:val="right"/>
              <w:rPr>
                <w:color w:val="000000"/>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48C79D" w14:textId="77777777" w:rsidR="00113939" w:rsidRDefault="00113939" w:rsidP="00005928">
            <w:pPr>
              <w:widowControl w:val="0"/>
              <w:jc w:val="right"/>
              <w:rPr>
                <w:color w:val="000000"/>
              </w:rPr>
            </w:pPr>
          </w:p>
        </w:tc>
      </w:tr>
      <w:tr w:rsidR="00113939" w14:paraId="43B066D1" w14:textId="77777777" w:rsidTr="00005928">
        <w:trPr>
          <w:trHeight w:val="300"/>
        </w:trPr>
        <w:tc>
          <w:tcPr>
            <w:tcW w:w="22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3B93CCD" w14:textId="77777777" w:rsidR="00113939" w:rsidRDefault="00113939" w:rsidP="00005928">
            <w:pPr>
              <w:widowControl w:val="0"/>
              <w:rPr>
                <w:color w:val="000000"/>
              </w:rPr>
            </w:pPr>
            <w:r>
              <w:rPr>
                <w:color w:val="000000"/>
              </w:rPr>
              <w:t xml:space="preserve">                     субсидии</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5E7504" w14:textId="77777777" w:rsidR="00113939" w:rsidRDefault="00113939" w:rsidP="00005928">
            <w:pPr>
              <w:widowControl w:val="0"/>
              <w:jc w:val="right"/>
              <w:rPr>
                <w:color w:val="000000"/>
              </w:rPr>
            </w:pPr>
            <w:r>
              <w:rPr>
                <w:color w:val="000000"/>
              </w:rPr>
              <w:t>45,0%</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6BBED8C" w14:textId="77777777" w:rsidR="00113939" w:rsidRDefault="00113939" w:rsidP="00005928">
            <w:pPr>
              <w:widowControl w:val="0"/>
              <w:jc w:val="right"/>
              <w:rPr>
                <w:color w:val="000000"/>
              </w:rPr>
            </w:pPr>
            <w:r>
              <w:rPr>
                <w:color w:val="000000"/>
              </w:rPr>
              <w:t>50,4%</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294FE8F" w14:textId="77777777" w:rsidR="00113939" w:rsidRDefault="00113939" w:rsidP="00005928">
            <w:pPr>
              <w:widowControl w:val="0"/>
              <w:jc w:val="right"/>
              <w:rPr>
                <w:color w:val="000000"/>
              </w:rPr>
            </w:pPr>
            <w:r>
              <w:rPr>
                <w:color w:val="000000"/>
              </w:rPr>
              <w:t>58,6%</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8F6809B" w14:textId="77777777" w:rsidR="00113939" w:rsidRDefault="00113939" w:rsidP="00005928">
            <w:pPr>
              <w:widowControl w:val="0"/>
              <w:jc w:val="right"/>
              <w:rPr>
                <w:color w:val="000000"/>
              </w:rPr>
            </w:pPr>
            <w:r>
              <w:rPr>
                <w:color w:val="000000"/>
              </w:rPr>
              <w:t>45,7%</w:t>
            </w:r>
          </w:p>
        </w:tc>
      </w:tr>
      <w:tr w:rsidR="00113939" w14:paraId="2396BACF" w14:textId="77777777" w:rsidTr="00005928">
        <w:trPr>
          <w:trHeight w:val="300"/>
        </w:trPr>
        <w:tc>
          <w:tcPr>
            <w:tcW w:w="22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16535B8" w14:textId="77777777" w:rsidR="00113939" w:rsidRDefault="00113939" w:rsidP="00005928">
            <w:pPr>
              <w:widowControl w:val="0"/>
              <w:rPr>
                <w:color w:val="000000"/>
              </w:rPr>
            </w:pPr>
            <w:r>
              <w:rPr>
                <w:color w:val="000000"/>
              </w:rPr>
              <w:t xml:space="preserve">                     субвенции</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2CAACDD" w14:textId="77777777" w:rsidR="00113939" w:rsidRDefault="00113939" w:rsidP="00005928">
            <w:pPr>
              <w:widowControl w:val="0"/>
              <w:jc w:val="right"/>
              <w:rPr>
                <w:color w:val="000000"/>
              </w:rPr>
            </w:pPr>
            <w:r>
              <w:rPr>
                <w:color w:val="000000"/>
              </w:rPr>
              <w:t>36,6%</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45645AB" w14:textId="77777777" w:rsidR="00113939" w:rsidRDefault="00113939" w:rsidP="00005928">
            <w:pPr>
              <w:widowControl w:val="0"/>
              <w:jc w:val="right"/>
              <w:rPr>
                <w:color w:val="000000"/>
              </w:rPr>
            </w:pPr>
            <w:r>
              <w:rPr>
                <w:color w:val="000000"/>
              </w:rPr>
              <w:t>2,4%</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CBB917B" w14:textId="77777777" w:rsidR="00113939" w:rsidRDefault="00113939" w:rsidP="00005928">
            <w:pPr>
              <w:widowControl w:val="0"/>
              <w:jc w:val="right"/>
              <w:rPr>
                <w:color w:val="000000"/>
              </w:rPr>
            </w:pPr>
            <w:r>
              <w:rPr>
                <w:color w:val="000000"/>
              </w:rPr>
              <w:t>2,3%</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2C8FCCA" w14:textId="77777777" w:rsidR="00113939" w:rsidRDefault="00113939" w:rsidP="00005928">
            <w:pPr>
              <w:widowControl w:val="0"/>
              <w:jc w:val="right"/>
              <w:rPr>
                <w:color w:val="000000"/>
              </w:rPr>
            </w:pPr>
            <w:r>
              <w:rPr>
                <w:color w:val="000000"/>
              </w:rPr>
              <w:t>2,5%</w:t>
            </w:r>
          </w:p>
        </w:tc>
      </w:tr>
      <w:tr w:rsidR="00113939" w14:paraId="28CDDDBD" w14:textId="77777777" w:rsidTr="00005928">
        <w:trPr>
          <w:trHeight w:val="300"/>
        </w:trPr>
        <w:tc>
          <w:tcPr>
            <w:tcW w:w="22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889608D" w14:textId="77777777" w:rsidR="00113939" w:rsidRDefault="00113939" w:rsidP="00005928">
            <w:pPr>
              <w:widowControl w:val="0"/>
              <w:rPr>
                <w:color w:val="000000"/>
              </w:rPr>
            </w:pPr>
            <w:r>
              <w:rPr>
                <w:color w:val="000000"/>
              </w:rPr>
              <w:t xml:space="preserve">                     иные трансферты</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49FAC1" w14:textId="77777777" w:rsidR="00113939" w:rsidRDefault="00113939" w:rsidP="00005928">
            <w:pPr>
              <w:widowControl w:val="0"/>
              <w:jc w:val="right"/>
              <w:rPr>
                <w:color w:val="000000"/>
              </w:rPr>
            </w:pPr>
            <w:r>
              <w:rPr>
                <w:color w:val="000000"/>
              </w:rPr>
              <w:t>27,5%</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25AFC8" w14:textId="77777777" w:rsidR="00113939" w:rsidRDefault="00113939" w:rsidP="00005928">
            <w:pPr>
              <w:widowControl w:val="0"/>
              <w:jc w:val="right"/>
              <w:rPr>
                <w:color w:val="000000"/>
              </w:rPr>
            </w:pPr>
            <w:r>
              <w:rPr>
                <w:color w:val="000000"/>
              </w:rPr>
              <w:t>31,4%</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D55444" w14:textId="77777777" w:rsidR="00113939" w:rsidRDefault="00113939" w:rsidP="00005928">
            <w:pPr>
              <w:widowControl w:val="0"/>
              <w:jc w:val="right"/>
              <w:rPr>
                <w:color w:val="000000"/>
              </w:rPr>
            </w:pPr>
            <w:r>
              <w:rPr>
                <w:color w:val="000000"/>
              </w:rPr>
              <w:t>0,0%</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90E688E" w14:textId="77777777" w:rsidR="00113939" w:rsidRDefault="00113939" w:rsidP="00005928">
            <w:pPr>
              <w:widowControl w:val="0"/>
              <w:jc w:val="right"/>
              <w:rPr>
                <w:color w:val="000000"/>
              </w:rPr>
            </w:pPr>
            <w:r>
              <w:rPr>
                <w:color w:val="000000"/>
              </w:rPr>
              <w:t>0,0%</w:t>
            </w:r>
          </w:p>
        </w:tc>
      </w:tr>
    </w:tbl>
    <w:p w14:paraId="7B40C582" w14:textId="0EAE3054" w:rsidR="00113939" w:rsidRDefault="00113939" w:rsidP="00113939">
      <w:pPr>
        <w:jc w:val="both"/>
        <w:rPr>
          <w:sz w:val="20"/>
          <w:szCs w:val="20"/>
        </w:rPr>
      </w:pPr>
      <w:r w:rsidRPr="001B1E4A">
        <w:rPr>
          <w:i/>
          <w:iCs/>
          <w:sz w:val="20"/>
          <w:szCs w:val="20"/>
        </w:rPr>
        <w:t>Источник:</w:t>
      </w:r>
      <w:r>
        <w:rPr>
          <w:sz w:val="20"/>
          <w:szCs w:val="20"/>
        </w:rPr>
        <w:t xml:space="preserve"> Пояснительная записка </w:t>
      </w:r>
    </w:p>
    <w:p w14:paraId="7EE6132B" w14:textId="77777777" w:rsidR="00113939" w:rsidRDefault="00113939" w:rsidP="00113939">
      <w:pPr>
        <w:ind w:firstLine="709"/>
        <w:jc w:val="both"/>
      </w:pPr>
    </w:p>
    <w:p w14:paraId="5B7A5E11" w14:textId="77777777" w:rsidR="00113939" w:rsidRDefault="00113939" w:rsidP="00113939">
      <w:pPr>
        <w:spacing w:line="360" w:lineRule="auto"/>
        <w:ind w:firstLine="709"/>
        <w:jc w:val="both"/>
        <w:rPr>
          <w:sz w:val="28"/>
          <w:szCs w:val="28"/>
        </w:rPr>
      </w:pPr>
      <w:r>
        <w:rPr>
          <w:sz w:val="28"/>
          <w:szCs w:val="28"/>
        </w:rPr>
        <w:t xml:space="preserve">Если бы такое сокращение доли </w:t>
      </w:r>
      <w:proofErr w:type="gramStart"/>
      <w:r>
        <w:rPr>
          <w:sz w:val="28"/>
          <w:szCs w:val="28"/>
        </w:rPr>
        <w:t>средств, направляемых на реализацию федеральных целей и задач имело</w:t>
      </w:r>
      <w:proofErr w:type="gramEnd"/>
      <w:r>
        <w:rPr>
          <w:sz w:val="28"/>
          <w:szCs w:val="28"/>
        </w:rPr>
        <w:t xml:space="preserve"> место на фоне хотя бы стабилизации реальных объемов трансфертов, то позволяло бы субъектам РФ расширять финансирование приоритетов и задач, сформулированных ими. В </w:t>
      </w:r>
      <w:proofErr w:type="gramStart"/>
      <w:r>
        <w:rPr>
          <w:sz w:val="28"/>
          <w:szCs w:val="28"/>
        </w:rPr>
        <w:t>рамках</w:t>
      </w:r>
      <w:proofErr w:type="gramEnd"/>
      <w:r>
        <w:rPr>
          <w:sz w:val="28"/>
          <w:szCs w:val="28"/>
        </w:rPr>
        <w:t xml:space="preserve"> данного законопроекта в целом такие возможности не реализуются.</w:t>
      </w:r>
    </w:p>
    <w:p w14:paraId="00779F5A" w14:textId="77777777" w:rsidR="00113939" w:rsidRDefault="00113939" w:rsidP="00113939">
      <w:pPr>
        <w:spacing w:line="360" w:lineRule="auto"/>
        <w:ind w:firstLine="709"/>
        <w:jc w:val="both"/>
        <w:rPr>
          <w:sz w:val="28"/>
          <w:szCs w:val="28"/>
        </w:rPr>
      </w:pPr>
      <w:r>
        <w:rPr>
          <w:sz w:val="28"/>
          <w:szCs w:val="28"/>
        </w:rPr>
        <w:t xml:space="preserve">Показатель доли средств, направляемых на реализацию национальных программ, в структуре трансфертов не однозначен. </w:t>
      </w:r>
      <w:proofErr w:type="gramStart"/>
      <w:r>
        <w:rPr>
          <w:sz w:val="28"/>
          <w:szCs w:val="28"/>
        </w:rPr>
        <w:t>При</w:t>
      </w:r>
      <w:proofErr w:type="gramEnd"/>
      <w:r>
        <w:rPr>
          <w:sz w:val="28"/>
          <w:szCs w:val="28"/>
        </w:rPr>
        <w:t xml:space="preserve"> </w:t>
      </w:r>
      <w:proofErr w:type="gramStart"/>
      <w:r>
        <w:rPr>
          <w:sz w:val="28"/>
          <w:szCs w:val="28"/>
        </w:rPr>
        <w:t>в</w:t>
      </w:r>
      <w:proofErr w:type="gramEnd"/>
      <w:r>
        <w:rPr>
          <w:sz w:val="28"/>
          <w:szCs w:val="28"/>
        </w:rPr>
        <w:t xml:space="preserve"> целом положительной его оценке (Федерация направляет существенные объемы ресурсов субъектам РФ для реализации сформулированных Федерацией целей), такой подход ограничивает и без того незначительные для большинства субъектов РФ возможности формировать и финансировать собственные приоритеты и решать собственные, возможно, относительно локальные задачи.</w:t>
      </w:r>
    </w:p>
    <w:p w14:paraId="0828E5C3" w14:textId="4B80C5FB" w:rsidR="00113939" w:rsidRDefault="00113939" w:rsidP="00113939">
      <w:pPr>
        <w:ind w:firstLine="709"/>
        <w:jc w:val="both"/>
      </w:pPr>
    </w:p>
    <w:p w14:paraId="5CEB4A08" w14:textId="16D0522B" w:rsidR="00113939" w:rsidRPr="0096730A" w:rsidRDefault="00113939" w:rsidP="0096730A">
      <w:pPr>
        <w:pStyle w:val="a4"/>
        <w:numPr>
          <w:ilvl w:val="0"/>
          <w:numId w:val="19"/>
        </w:numPr>
        <w:spacing w:after="160" w:line="259" w:lineRule="auto"/>
        <w:ind w:left="426"/>
        <w:jc w:val="both"/>
        <w:outlineLvl w:val="0"/>
        <w:rPr>
          <w:b/>
          <w:sz w:val="28"/>
          <w:szCs w:val="20"/>
        </w:rPr>
      </w:pPr>
      <w:bookmarkStart w:id="11" w:name="_Toc116561838"/>
      <w:r w:rsidRPr="0096730A">
        <w:rPr>
          <w:b/>
          <w:sz w:val="28"/>
          <w:szCs w:val="20"/>
        </w:rPr>
        <w:t>Источники финансирования дефицита бюджета</w:t>
      </w:r>
      <w:r w:rsidR="001B1E4A" w:rsidRPr="0096730A">
        <w:rPr>
          <w:b/>
          <w:sz w:val="28"/>
          <w:szCs w:val="20"/>
        </w:rPr>
        <w:t xml:space="preserve">, </w:t>
      </w:r>
      <w:r w:rsidRPr="0096730A">
        <w:rPr>
          <w:b/>
          <w:sz w:val="28"/>
          <w:szCs w:val="20"/>
        </w:rPr>
        <w:t xml:space="preserve">государственный долг </w:t>
      </w:r>
      <w:r w:rsidR="001B1E4A" w:rsidRPr="0096730A">
        <w:rPr>
          <w:b/>
          <w:sz w:val="28"/>
          <w:szCs w:val="20"/>
        </w:rPr>
        <w:t>и новая конструкция бюджетных правил в 2023-2025 годах</w:t>
      </w:r>
      <w:bookmarkEnd w:id="11"/>
    </w:p>
    <w:p w14:paraId="498405AC" w14:textId="24BF5E7F" w:rsidR="00113939" w:rsidRDefault="00113939" w:rsidP="00113939">
      <w:pPr>
        <w:spacing w:line="360" w:lineRule="auto"/>
        <w:ind w:firstLine="567"/>
        <w:jc w:val="both"/>
        <w:rPr>
          <w:sz w:val="28"/>
          <w:szCs w:val="28"/>
        </w:rPr>
      </w:pPr>
      <w:r w:rsidRPr="0028247F">
        <w:rPr>
          <w:sz w:val="28"/>
          <w:szCs w:val="28"/>
        </w:rPr>
        <w:t>На 2023 г</w:t>
      </w:r>
      <w:r w:rsidR="001B1E4A">
        <w:rPr>
          <w:sz w:val="28"/>
          <w:szCs w:val="28"/>
        </w:rPr>
        <w:t xml:space="preserve">од </w:t>
      </w:r>
      <w:r w:rsidRPr="0028247F">
        <w:rPr>
          <w:sz w:val="28"/>
          <w:szCs w:val="28"/>
        </w:rPr>
        <w:t>и на плановый период 2024 и 2025 г</w:t>
      </w:r>
      <w:r w:rsidR="001B1E4A">
        <w:rPr>
          <w:sz w:val="28"/>
          <w:szCs w:val="28"/>
        </w:rPr>
        <w:t>одов</w:t>
      </w:r>
      <w:r w:rsidRPr="0028247F">
        <w:rPr>
          <w:sz w:val="28"/>
          <w:szCs w:val="28"/>
        </w:rPr>
        <w:t xml:space="preserve"> Законопроектом заложено повышение расходов федерального бюджета в общей сложности на 10,4% по сравнению с Федеральным законом № 390-ФЗ и прогнозом расходов на 2025 г</w:t>
      </w:r>
      <w:r w:rsidR="001B1E4A">
        <w:rPr>
          <w:sz w:val="28"/>
          <w:szCs w:val="28"/>
        </w:rPr>
        <w:t>од.</w:t>
      </w:r>
      <w:r w:rsidRPr="0028247F">
        <w:rPr>
          <w:sz w:val="28"/>
          <w:szCs w:val="28"/>
        </w:rPr>
        <w:t xml:space="preserve"> В 2023 и 2024 </w:t>
      </w:r>
      <w:r w:rsidR="001B1E4A">
        <w:rPr>
          <w:sz w:val="28"/>
          <w:szCs w:val="28"/>
        </w:rPr>
        <w:t>годах</w:t>
      </w:r>
      <w:r w:rsidRPr="0028247F">
        <w:rPr>
          <w:sz w:val="28"/>
          <w:szCs w:val="28"/>
        </w:rPr>
        <w:t xml:space="preserve"> планируется дополнительно израсходовать почти 6,9 </w:t>
      </w:r>
      <w:proofErr w:type="gramStart"/>
      <w:r w:rsidRPr="0028247F">
        <w:rPr>
          <w:sz w:val="28"/>
          <w:szCs w:val="28"/>
        </w:rPr>
        <w:t>трлн</w:t>
      </w:r>
      <w:proofErr w:type="gramEnd"/>
      <w:r w:rsidRPr="0028247F">
        <w:rPr>
          <w:sz w:val="28"/>
          <w:szCs w:val="28"/>
        </w:rPr>
        <w:t xml:space="preserve"> руб. </w:t>
      </w:r>
      <w:r>
        <w:rPr>
          <w:sz w:val="28"/>
          <w:szCs w:val="28"/>
        </w:rPr>
        <w:t>Это более половины средств Фонда национального благосостояния (ФНБ) по состоянию на 1 сентября 2022 г</w:t>
      </w:r>
      <w:r w:rsidR="00C571A0">
        <w:rPr>
          <w:sz w:val="28"/>
          <w:szCs w:val="28"/>
        </w:rPr>
        <w:t>ода.</w:t>
      </w:r>
      <w:r>
        <w:rPr>
          <w:sz w:val="28"/>
          <w:szCs w:val="28"/>
        </w:rPr>
        <w:t xml:space="preserve"> Дополнительные доходы, предусмотренные Законопроектом, по сравнению с </w:t>
      </w:r>
      <w:r w:rsidR="0089300F" w:rsidRPr="0028247F">
        <w:rPr>
          <w:sz w:val="28"/>
          <w:szCs w:val="28"/>
        </w:rPr>
        <w:t xml:space="preserve">Федеральным законом № 390-ФЗ </w:t>
      </w:r>
      <w:r>
        <w:rPr>
          <w:sz w:val="28"/>
          <w:szCs w:val="28"/>
        </w:rPr>
        <w:t xml:space="preserve">возрастут лишь на 4,2%, а накопленный дефицит за три предстоящих года планируется в размере около 6,4 </w:t>
      </w:r>
      <w:proofErr w:type="gramStart"/>
      <w:r>
        <w:rPr>
          <w:sz w:val="28"/>
          <w:szCs w:val="28"/>
        </w:rPr>
        <w:t>трлн</w:t>
      </w:r>
      <w:proofErr w:type="gramEnd"/>
      <w:r>
        <w:rPr>
          <w:sz w:val="28"/>
          <w:szCs w:val="28"/>
        </w:rPr>
        <w:t xml:space="preserve"> руб. </w:t>
      </w:r>
    </w:p>
    <w:p w14:paraId="68DA7F7C" w14:textId="491469DE" w:rsidR="00113939" w:rsidRDefault="00113939" w:rsidP="00113939">
      <w:pPr>
        <w:spacing w:line="360" w:lineRule="auto"/>
        <w:ind w:firstLine="567"/>
        <w:jc w:val="both"/>
        <w:rPr>
          <w:sz w:val="28"/>
          <w:szCs w:val="28"/>
        </w:rPr>
      </w:pPr>
      <w:r>
        <w:rPr>
          <w:sz w:val="28"/>
          <w:szCs w:val="28"/>
        </w:rPr>
        <w:t>Основным источником финансирования дефицита федерального бюджета в Пояснительной записке значатся государственные внутренние заимствования. Однако в 2023 г</w:t>
      </w:r>
      <w:r w:rsidR="0089300F">
        <w:rPr>
          <w:sz w:val="28"/>
          <w:szCs w:val="28"/>
        </w:rPr>
        <w:t>оду</w:t>
      </w:r>
      <w:r>
        <w:rPr>
          <w:sz w:val="28"/>
          <w:szCs w:val="28"/>
        </w:rPr>
        <w:t xml:space="preserve">, по данным таблицы 2.4 Пояснительной записки, объем средств ФНБ в качестве внутреннего источника финансирования дефицита бюджета должен составить </w:t>
      </w:r>
      <w:r w:rsidRPr="00316748">
        <w:rPr>
          <w:sz w:val="28"/>
          <w:szCs w:val="28"/>
        </w:rPr>
        <w:t>2 902,6</w:t>
      </w:r>
      <w:r>
        <w:rPr>
          <w:sz w:val="28"/>
          <w:szCs w:val="28"/>
        </w:rPr>
        <w:t xml:space="preserve"> </w:t>
      </w:r>
      <w:proofErr w:type="gramStart"/>
      <w:r>
        <w:rPr>
          <w:sz w:val="28"/>
          <w:szCs w:val="28"/>
        </w:rPr>
        <w:t>млрд</w:t>
      </w:r>
      <w:proofErr w:type="gramEnd"/>
      <w:r>
        <w:rPr>
          <w:sz w:val="28"/>
          <w:szCs w:val="28"/>
        </w:rPr>
        <w:t xml:space="preserve"> руб., в то время как объем государственных внутренних заимствований планируется в размере </w:t>
      </w:r>
      <w:r w:rsidRPr="00316748">
        <w:rPr>
          <w:sz w:val="28"/>
          <w:szCs w:val="28"/>
        </w:rPr>
        <w:t>1 597,8</w:t>
      </w:r>
      <w:r>
        <w:rPr>
          <w:sz w:val="28"/>
          <w:szCs w:val="28"/>
        </w:rPr>
        <w:t xml:space="preserve"> млрд руб. В действительности, как следует из Приложения 40 </w:t>
      </w:r>
      <w:r w:rsidR="0089300F">
        <w:rPr>
          <w:sz w:val="28"/>
          <w:szCs w:val="28"/>
        </w:rPr>
        <w:t>Законопроекта</w:t>
      </w:r>
      <w:r>
        <w:rPr>
          <w:sz w:val="28"/>
          <w:szCs w:val="28"/>
        </w:rPr>
        <w:t xml:space="preserve">, </w:t>
      </w:r>
      <w:r w:rsidRPr="00316748">
        <w:rPr>
          <w:sz w:val="28"/>
          <w:szCs w:val="28"/>
        </w:rPr>
        <w:t>2 902,6</w:t>
      </w:r>
      <w:r>
        <w:rPr>
          <w:sz w:val="28"/>
          <w:szCs w:val="28"/>
        </w:rPr>
        <w:t xml:space="preserve"> млрд руб. – это только изменение остатков средств ФНБ. За счет средств ФНБ планируется профинансировать дефицит бюджета в размере около 1 963,7 </w:t>
      </w:r>
      <w:proofErr w:type="gramStart"/>
      <w:r>
        <w:rPr>
          <w:sz w:val="28"/>
          <w:szCs w:val="28"/>
        </w:rPr>
        <w:t>млрд</w:t>
      </w:r>
      <w:proofErr w:type="gramEnd"/>
      <w:r>
        <w:rPr>
          <w:sz w:val="28"/>
          <w:szCs w:val="28"/>
        </w:rPr>
        <w:t xml:space="preserve"> руб., а еще почти 1 трлн руб. – это средства в виде дополнительных нефтегазовых доходов федерального бюджета, которые пойдут на пополнение ФНБ в 2023 г</w:t>
      </w:r>
      <w:r w:rsidR="0089300F">
        <w:rPr>
          <w:sz w:val="28"/>
          <w:szCs w:val="28"/>
        </w:rPr>
        <w:t>оду.</w:t>
      </w:r>
    </w:p>
    <w:p w14:paraId="21599662" w14:textId="5FE42A2C" w:rsidR="00113939" w:rsidRDefault="00113939" w:rsidP="00113939">
      <w:pPr>
        <w:spacing w:line="360" w:lineRule="auto"/>
        <w:ind w:firstLine="567"/>
        <w:jc w:val="both"/>
        <w:rPr>
          <w:sz w:val="28"/>
          <w:szCs w:val="28"/>
        </w:rPr>
      </w:pPr>
      <w:r>
        <w:rPr>
          <w:sz w:val="28"/>
          <w:szCs w:val="28"/>
        </w:rPr>
        <w:t xml:space="preserve">Более корректно данные об источниках финансирования дефицита федерального бюджета отражены в документе «Основные направления </w:t>
      </w:r>
      <w:r w:rsidRPr="004552B2">
        <w:rPr>
          <w:sz w:val="28"/>
          <w:szCs w:val="28"/>
        </w:rPr>
        <w:t>бюджетной, налоговой и таможенно-тарифной политики на 2023 год и на плановый период 2024 и 2025 годов</w:t>
      </w:r>
      <w:r>
        <w:rPr>
          <w:sz w:val="28"/>
          <w:szCs w:val="28"/>
        </w:rPr>
        <w:t>». Тем не менее, очевидно, что в 2023 г</w:t>
      </w:r>
      <w:r w:rsidR="0089300F">
        <w:rPr>
          <w:sz w:val="28"/>
          <w:szCs w:val="28"/>
        </w:rPr>
        <w:t>оду</w:t>
      </w:r>
      <w:r>
        <w:rPr>
          <w:sz w:val="28"/>
          <w:szCs w:val="28"/>
        </w:rPr>
        <w:t xml:space="preserve"> государственные внутренние заимствования не станут основным источником финансирования дефицита федерального бюджета, который запланирован в объеме 2 925,3 </w:t>
      </w:r>
      <w:proofErr w:type="gramStart"/>
      <w:r>
        <w:rPr>
          <w:sz w:val="28"/>
          <w:szCs w:val="28"/>
        </w:rPr>
        <w:t>млрд</w:t>
      </w:r>
      <w:proofErr w:type="gramEnd"/>
      <w:r>
        <w:rPr>
          <w:sz w:val="28"/>
          <w:szCs w:val="28"/>
        </w:rPr>
        <w:t xml:space="preserve"> руб. (рисунок </w:t>
      </w:r>
      <w:r w:rsidR="0089300F">
        <w:rPr>
          <w:sz w:val="28"/>
          <w:szCs w:val="28"/>
        </w:rPr>
        <w:t>7</w:t>
      </w:r>
      <w:r>
        <w:rPr>
          <w:sz w:val="28"/>
          <w:szCs w:val="28"/>
        </w:rPr>
        <w:t xml:space="preserve">). </w:t>
      </w:r>
    </w:p>
    <w:p w14:paraId="04EAFB62" w14:textId="77777777" w:rsidR="00113939" w:rsidRDefault="00113939" w:rsidP="00113939">
      <w:pPr>
        <w:spacing w:line="360" w:lineRule="auto"/>
        <w:jc w:val="both"/>
        <w:rPr>
          <w:sz w:val="28"/>
          <w:szCs w:val="28"/>
        </w:rPr>
      </w:pPr>
      <w:r>
        <w:rPr>
          <w:noProof/>
        </w:rPr>
        <w:drawing>
          <wp:inline distT="0" distB="0" distL="0" distR="0" wp14:anchorId="60A45CDF" wp14:editId="1C8BC070">
            <wp:extent cx="5940425" cy="3882390"/>
            <wp:effectExtent l="0" t="0" r="3175" b="3810"/>
            <wp:docPr id="5" name="Диаграмма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52B5F6-0180-9593-BA2E-A5D1672B3A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B93829" w14:textId="77777777" w:rsidR="00113939" w:rsidRDefault="00113939" w:rsidP="00113939">
      <w:pPr>
        <w:jc w:val="both"/>
        <w:rPr>
          <w:sz w:val="20"/>
          <w:szCs w:val="20"/>
        </w:rPr>
      </w:pPr>
      <w:r w:rsidRPr="0089300F">
        <w:rPr>
          <w:i/>
          <w:iCs/>
          <w:sz w:val="20"/>
          <w:szCs w:val="20"/>
        </w:rPr>
        <w:t>Источник:</w:t>
      </w:r>
      <w:r>
        <w:rPr>
          <w:sz w:val="20"/>
          <w:szCs w:val="20"/>
        </w:rPr>
        <w:t xml:space="preserve"> «Основные направления </w:t>
      </w:r>
      <w:r w:rsidRPr="00FE349D">
        <w:rPr>
          <w:sz w:val="20"/>
          <w:szCs w:val="20"/>
        </w:rPr>
        <w:t>бюджетной, налоговой и таможенно-тарифной политики на 2023 год и на плановый период 2024 и 2025 годов»</w:t>
      </w:r>
      <w:r>
        <w:rPr>
          <w:sz w:val="20"/>
          <w:szCs w:val="20"/>
        </w:rPr>
        <w:t xml:space="preserve">, с. 62. </w:t>
      </w:r>
    </w:p>
    <w:p w14:paraId="04726753" w14:textId="77777777" w:rsidR="0089300F" w:rsidRDefault="0089300F" w:rsidP="0089300F">
      <w:pPr>
        <w:jc w:val="both"/>
        <w:rPr>
          <w:sz w:val="28"/>
          <w:szCs w:val="28"/>
        </w:rPr>
      </w:pPr>
    </w:p>
    <w:p w14:paraId="32A35050" w14:textId="2A5B4303" w:rsidR="0089300F" w:rsidRDefault="0089300F" w:rsidP="0089300F">
      <w:pPr>
        <w:jc w:val="both"/>
        <w:rPr>
          <w:sz w:val="28"/>
          <w:szCs w:val="28"/>
        </w:rPr>
      </w:pPr>
      <w:r>
        <w:rPr>
          <w:sz w:val="28"/>
          <w:szCs w:val="28"/>
        </w:rPr>
        <w:t xml:space="preserve">Рисунок 7 – Источники финансирования дефицита федерального бюджета в 2019–2025 годах, </w:t>
      </w:r>
      <w:proofErr w:type="gramStart"/>
      <w:r>
        <w:rPr>
          <w:sz w:val="28"/>
          <w:szCs w:val="28"/>
        </w:rPr>
        <w:t>млрд</w:t>
      </w:r>
      <w:proofErr w:type="gramEnd"/>
      <w:r>
        <w:rPr>
          <w:sz w:val="28"/>
          <w:szCs w:val="28"/>
        </w:rPr>
        <w:t xml:space="preserve"> руб.</w:t>
      </w:r>
    </w:p>
    <w:p w14:paraId="47AC668B" w14:textId="77777777" w:rsidR="00113939" w:rsidRDefault="00113939" w:rsidP="00113939">
      <w:pPr>
        <w:spacing w:line="360" w:lineRule="auto"/>
        <w:ind w:firstLine="567"/>
        <w:jc w:val="both"/>
        <w:rPr>
          <w:sz w:val="28"/>
          <w:szCs w:val="28"/>
        </w:rPr>
      </w:pPr>
    </w:p>
    <w:p w14:paraId="3BE6C0AE" w14:textId="43641BEC" w:rsidR="00113939" w:rsidRDefault="00113939" w:rsidP="00113939">
      <w:pPr>
        <w:spacing w:line="360" w:lineRule="auto"/>
        <w:ind w:firstLine="567"/>
        <w:jc w:val="both"/>
        <w:rPr>
          <w:sz w:val="28"/>
          <w:szCs w:val="28"/>
        </w:rPr>
      </w:pPr>
      <w:r>
        <w:rPr>
          <w:sz w:val="28"/>
          <w:szCs w:val="28"/>
        </w:rPr>
        <w:t xml:space="preserve">На рисунке </w:t>
      </w:r>
      <w:r w:rsidR="0089300F">
        <w:rPr>
          <w:sz w:val="28"/>
          <w:szCs w:val="28"/>
        </w:rPr>
        <w:t>7</w:t>
      </w:r>
      <w:r>
        <w:rPr>
          <w:sz w:val="28"/>
          <w:szCs w:val="28"/>
        </w:rPr>
        <w:t xml:space="preserve"> отражены объемы средств ФНБ, использованных для финансирования дефицита бюджета (значения со знаком «плюс») или направленных на счета по учету дополнительных нефтегазовых доходов (значения со знаком «минус»), и объемы государственных внутренних заимствований (за вычетом средств, направленных на погашение государственных ценных бумаг). Как видно из рисунка </w:t>
      </w:r>
      <w:r w:rsidR="002E267F">
        <w:rPr>
          <w:sz w:val="28"/>
          <w:szCs w:val="28"/>
        </w:rPr>
        <w:t>7</w:t>
      </w:r>
      <w:r>
        <w:rPr>
          <w:sz w:val="28"/>
          <w:szCs w:val="28"/>
        </w:rPr>
        <w:t>, объем средств ФНБ, который, по предварительной оценке, будет направлен на финансирование дефицита федерального бюджета в 2022 г</w:t>
      </w:r>
      <w:r w:rsidR="0089300F">
        <w:rPr>
          <w:sz w:val="28"/>
          <w:szCs w:val="28"/>
        </w:rPr>
        <w:t>оду</w:t>
      </w:r>
      <w:r>
        <w:rPr>
          <w:sz w:val="28"/>
          <w:szCs w:val="28"/>
        </w:rPr>
        <w:t>, практически равен объему дополнительных нефтегазовых доходов, пополнивших ФНБ в 2021 г</w:t>
      </w:r>
      <w:r w:rsidR="0089300F">
        <w:rPr>
          <w:sz w:val="28"/>
          <w:szCs w:val="28"/>
        </w:rPr>
        <w:t>оду</w:t>
      </w:r>
      <w:r>
        <w:rPr>
          <w:sz w:val="28"/>
          <w:szCs w:val="28"/>
        </w:rPr>
        <w:t xml:space="preserve"> – более 3 </w:t>
      </w:r>
      <w:proofErr w:type="gramStart"/>
      <w:r>
        <w:rPr>
          <w:sz w:val="28"/>
          <w:szCs w:val="28"/>
        </w:rPr>
        <w:t>трлн</w:t>
      </w:r>
      <w:proofErr w:type="gramEnd"/>
      <w:r>
        <w:rPr>
          <w:sz w:val="28"/>
          <w:szCs w:val="28"/>
        </w:rPr>
        <w:t xml:space="preserve"> руб. Еще около 2 трлн руб. планируется выделить для финансирования дефицита бюджета в 2023 г</w:t>
      </w:r>
      <w:r w:rsidR="0089300F">
        <w:rPr>
          <w:sz w:val="28"/>
          <w:szCs w:val="28"/>
        </w:rPr>
        <w:t>оду</w:t>
      </w:r>
      <w:r>
        <w:rPr>
          <w:sz w:val="28"/>
          <w:szCs w:val="28"/>
        </w:rPr>
        <w:t xml:space="preserve">. </w:t>
      </w:r>
    </w:p>
    <w:p w14:paraId="1E7AB96A" w14:textId="5B6CE79B" w:rsidR="00113939" w:rsidRDefault="00113939" w:rsidP="00113939">
      <w:pPr>
        <w:spacing w:line="360" w:lineRule="auto"/>
        <w:ind w:firstLine="567"/>
        <w:jc w:val="both"/>
        <w:rPr>
          <w:sz w:val="28"/>
          <w:szCs w:val="28"/>
        </w:rPr>
      </w:pPr>
      <w:r>
        <w:rPr>
          <w:sz w:val="28"/>
          <w:szCs w:val="28"/>
        </w:rPr>
        <w:t>Государственные внутренние заимствования, таким образом, станут основным источником финансирования дефицита бюджета только, начиная с 2024 г</w:t>
      </w:r>
      <w:r w:rsidR="0089300F">
        <w:rPr>
          <w:sz w:val="28"/>
          <w:szCs w:val="28"/>
        </w:rPr>
        <w:t>ода</w:t>
      </w:r>
      <w:r>
        <w:rPr>
          <w:sz w:val="28"/>
          <w:szCs w:val="28"/>
        </w:rPr>
        <w:t xml:space="preserve">. Из рисунка </w:t>
      </w:r>
      <w:r w:rsidR="0089300F">
        <w:rPr>
          <w:sz w:val="28"/>
          <w:szCs w:val="28"/>
        </w:rPr>
        <w:t>7</w:t>
      </w:r>
      <w:r>
        <w:rPr>
          <w:sz w:val="28"/>
          <w:szCs w:val="28"/>
        </w:rPr>
        <w:t xml:space="preserve"> следует, что в 2023 г</w:t>
      </w:r>
      <w:r w:rsidR="0089300F">
        <w:rPr>
          <w:sz w:val="28"/>
          <w:szCs w:val="28"/>
        </w:rPr>
        <w:t>оду</w:t>
      </w:r>
      <w:r>
        <w:rPr>
          <w:sz w:val="28"/>
          <w:szCs w:val="28"/>
        </w:rPr>
        <w:t xml:space="preserve"> Правительство РФ планирует привлечь на внутреннем рынке более 1,7 </w:t>
      </w:r>
      <w:proofErr w:type="gramStart"/>
      <w:r>
        <w:rPr>
          <w:sz w:val="28"/>
          <w:szCs w:val="28"/>
        </w:rPr>
        <w:t>трлн</w:t>
      </w:r>
      <w:proofErr w:type="gramEnd"/>
      <w:r>
        <w:rPr>
          <w:sz w:val="28"/>
          <w:szCs w:val="28"/>
        </w:rPr>
        <w:t xml:space="preserve"> руб., что почти на 14,0% больше, чем в 2021 г</w:t>
      </w:r>
      <w:r w:rsidR="0089300F">
        <w:rPr>
          <w:sz w:val="28"/>
          <w:szCs w:val="28"/>
        </w:rPr>
        <w:t>оду</w:t>
      </w:r>
      <w:r>
        <w:rPr>
          <w:sz w:val="28"/>
          <w:szCs w:val="28"/>
        </w:rPr>
        <w:t>, а к 2025 г</w:t>
      </w:r>
      <w:r w:rsidR="0089300F">
        <w:rPr>
          <w:sz w:val="28"/>
          <w:szCs w:val="28"/>
        </w:rPr>
        <w:t>оду</w:t>
      </w:r>
      <w:r>
        <w:rPr>
          <w:sz w:val="28"/>
          <w:szCs w:val="28"/>
        </w:rPr>
        <w:t xml:space="preserve"> планируемый объем заимствований увеличится до 2,0 трлн руб. Чем обусловлена такая динамика – в Пояснительной записке не поясняется. В «Основных </w:t>
      </w:r>
      <w:proofErr w:type="gramStart"/>
      <w:r>
        <w:rPr>
          <w:sz w:val="28"/>
          <w:szCs w:val="28"/>
        </w:rPr>
        <w:t>направлениях</w:t>
      </w:r>
      <w:proofErr w:type="gramEnd"/>
      <w:r>
        <w:rPr>
          <w:sz w:val="28"/>
          <w:szCs w:val="28"/>
        </w:rPr>
        <w:t xml:space="preserve">…» упоминается о том, что возможности внутренних заимствований несколько сузились из-за отсечения спроса со стороны нерезидентов. Однако обоснований для компенсации выпадающего спроса на государственные ценные бумаги официальные документы Минфина России не содержат. </w:t>
      </w:r>
    </w:p>
    <w:p w14:paraId="6527E80E" w14:textId="7C6386FB" w:rsidR="00113939" w:rsidRDefault="00113939" w:rsidP="00113939">
      <w:pPr>
        <w:spacing w:line="360" w:lineRule="auto"/>
        <w:ind w:firstLine="567"/>
        <w:jc w:val="both"/>
        <w:rPr>
          <w:sz w:val="28"/>
          <w:szCs w:val="28"/>
        </w:rPr>
      </w:pPr>
      <w:r>
        <w:rPr>
          <w:sz w:val="28"/>
          <w:szCs w:val="28"/>
        </w:rPr>
        <w:t>Заметим, что размещение государственных ценных бумаг в 2021 г</w:t>
      </w:r>
      <w:r w:rsidR="00032EB2">
        <w:rPr>
          <w:sz w:val="28"/>
          <w:szCs w:val="28"/>
        </w:rPr>
        <w:t>оду</w:t>
      </w:r>
      <w:r>
        <w:rPr>
          <w:sz w:val="28"/>
          <w:szCs w:val="28"/>
        </w:rPr>
        <w:t xml:space="preserve"> происходило в условиях отсутствия полномасштабных финансовых санкций и </w:t>
      </w:r>
      <w:proofErr w:type="spellStart"/>
      <w:r>
        <w:rPr>
          <w:sz w:val="28"/>
          <w:szCs w:val="28"/>
        </w:rPr>
        <w:t>контрсанкций</w:t>
      </w:r>
      <w:proofErr w:type="spellEnd"/>
      <w:r>
        <w:rPr>
          <w:sz w:val="28"/>
          <w:szCs w:val="28"/>
        </w:rPr>
        <w:t xml:space="preserve"> и при относительно низкой ключевой ставке ЦБ РФ (в среднем 5,7%). Согласно Проекту «</w:t>
      </w:r>
      <w:r w:rsidRPr="00433841">
        <w:rPr>
          <w:sz w:val="28"/>
          <w:szCs w:val="28"/>
        </w:rPr>
        <w:t>Основны</w:t>
      </w:r>
      <w:r>
        <w:rPr>
          <w:sz w:val="28"/>
          <w:szCs w:val="28"/>
        </w:rPr>
        <w:t>х</w:t>
      </w:r>
      <w:r w:rsidRPr="00433841">
        <w:rPr>
          <w:sz w:val="28"/>
          <w:szCs w:val="28"/>
        </w:rPr>
        <w:t xml:space="preserve"> направлени</w:t>
      </w:r>
      <w:r>
        <w:rPr>
          <w:sz w:val="28"/>
          <w:szCs w:val="28"/>
        </w:rPr>
        <w:t>й</w:t>
      </w:r>
      <w:r w:rsidRPr="00433841">
        <w:rPr>
          <w:sz w:val="28"/>
          <w:szCs w:val="28"/>
        </w:rPr>
        <w:t xml:space="preserve"> единой государственной денежно-кредитной политики на 2023 год</w:t>
      </w:r>
      <w:r>
        <w:rPr>
          <w:sz w:val="28"/>
          <w:szCs w:val="28"/>
        </w:rPr>
        <w:t xml:space="preserve"> </w:t>
      </w:r>
      <w:r w:rsidRPr="00433841">
        <w:rPr>
          <w:sz w:val="28"/>
          <w:szCs w:val="28"/>
        </w:rPr>
        <w:t>и период 2024 и 2025 годов</w:t>
      </w:r>
      <w:r>
        <w:rPr>
          <w:sz w:val="28"/>
          <w:szCs w:val="28"/>
        </w:rPr>
        <w:t>», в 2023 г</w:t>
      </w:r>
      <w:r w:rsidR="00032EB2">
        <w:rPr>
          <w:sz w:val="28"/>
          <w:szCs w:val="28"/>
        </w:rPr>
        <w:t>оду</w:t>
      </w:r>
      <w:r>
        <w:rPr>
          <w:sz w:val="28"/>
          <w:szCs w:val="28"/>
        </w:rPr>
        <w:t xml:space="preserve"> ключевая ставка может составить 6,5–8,5%, а далее снижаться до 5,0–6,0% к 2025 г</w:t>
      </w:r>
      <w:r w:rsidR="00032EB2">
        <w:rPr>
          <w:sz w:val="28"/>
          <w:szCs w:val="28"/>
        </w:rPr>
        <w:t>оду</w:t>
      </w:r>
      <w:r>
        <w:rPr>
          <w:sz w:val="28"/>
          <w:szCs w:val="28"/>
        </w:rPr>
        <w:t>. Таким образом, помимо ограничений со стороны спроса нерезидентов размещение государственных ценных бумаг будет производиться при более высоких ставках процента. Возникает вопрос о том, что будет стимулировать внутренних инвесторов приобретать государственные ценные бумаги. В 2022 г</w:t>
      </w:r>
      <w:r w:rsidR="00032EB2">
        <w:rPr>
          <w:sz w:val="28"/>
          <w:szCs w:val="28"/>
        </w:rPr>
        <w:t>оду</w:t>
      </w:r>
      <w:r>
        <w:rPr>
          <w:sz w:val="28"/>
          <w:szCs w:val="28"/>
        </w:rPr>
        <w:t xml:space="preserve"> размещения государственных ценных бумаг практически не производились, кроме нескольких выпусков в начале года. Почти все запланированные аукционы были отменены. Первая попытка возобновить размещение ОФЗ была предпринята в сентябре 2022 г</w:t>
      </w:r>
      <w:r w:rsidR="00032EB2">
        <w:rPr>
          <w:sz w:val="28"/>
          <w:szCs w:val="28"/>
        </w:rPr>
        <w:t>ода.</w:t>
      </w:r>
      <w:r>
        <w:rPr>
          <w:sz w:val="28"/>
          <w:szCs w:val="28"/>
        </w:rPr>
        <w:t xml:space="preserve"> Из планируемого объема в 10,0 </w:t>
      </w:r>
      <w:proofErr w:type="gramStart"/>
      <w:r>
        <w:rPr>
          <w:sz w:val="28"/>
          <w:szCs w:val="28"/>
        </w:rPr>
        <w:t>млрд</w:t>
      </w:r>
      <w:proofErr w:type="gramEnd"/>
      <w:r>
        <w:rPr>
          <w:sz w:val="28"/>
          <w:szCs w:val="28"/>
        </w:rPr>
        <w:t xml:space="preserve"> руб. было привлечено около 8,8 млрд руб. Аукционы, запланированные на начало октября 2022 г</w:t>
      </w:r>
      <w:r w:rsidR="00032EB2">
        <w:rPr>
          <w:sz w:val="28"/>
          <w:szCs w:val="28"/>
        </w:rPr>
        <w:t>ода</w:t>
      </w:r>
      <w:r>
        <w:rPr>
          <w:sz w:val="28"/>
          <w:szCs w:val="28"/>
        </w:rPr>
        <w:t xml:space="preserve">, были отменены в связи с высокой волатильностью рынка. </w:t>
      </w:r>
    </w:p>
    <w:p w14:paraId="46FE450A" w14:textId="77777777" w:rsidR="00113939" w:rsidRDefault="00113939" w:rsidP="00113939">
      <w:pPr>
        <w:spacing w:line="360" w:lineRule="auto"/>
        <w:ind w:firstLine="567"/>
        <w:jc w:val="both"/>
        <w:rPr>
          <w:sz w:val="28"/>
          <w:szCs w:val="28"/>
        </w:rPr>
      </w:pPr>
      <w:r>
        <w:rPr>
          <w:sz w:val="28"/>
          <w:szCs w:val="28"/>
        </w:rPr>
        <w:t xml:space="preserve">С одной стороны, спрос на государственные ценные бумаги со стороны отечественных инвесторов должен расти из-за санкций и ограничений в отношении торговли ценными бумагами иностранных эмитентов. С другой стороны, падение ВВП, реальных располагаемых доходов, геополитическая нестабильность, неизбежное </w:t>
      </w:r>
      <w:proofErr w:type="spellStart"/>
      <w:r>
        <w:rPr>
          <w:sz w:val="28"/>
          <w:szCs w:val="28"/>
        </w:rPr>
        <w:t>перестраивание</w:t>
      </w:r>
      <w:proofErr w:type="spellEnd"/>
      <w:r>
        <w:rPr>
          <w:sz w:val="28"/>
          <w:szCs w:val="28"/>
        </w:rPr>
        <w:t xml:space="preserve"> общества и экономики на мобилизационный путь вносят дополнительные риски и способствуют повышению волатильности рынка. Отчасти риски для инвесторов могут быть снижены за счет того, что Минфин России планирует опираться на размещение облигаций с постоянным доходом, а также обеспечить возможности для диверсификации портфелей за счет выпуска бумаг различных типов и с различными сроками погашения. </w:t>
      </w:r>
    </w:p>
    <w:p w14:paraId="23AB7650" w14:textId="0C80A44A" w:rsidR="00113939" w:rsidRDefault="00113939" w:rsidP="00113939">
      <w:pPr>
        <w:spacing w:line="360" w:lineRule="auto"/>
        <w:ind w:firstLine="567"/>
        <w:jc w:val="both"/>
        <w:rPr>
          <w:sz w:val="28"/>
          <w:szCs w:val="28"/>
        </w:rPr>
      </w:pPr>
      <w:r>
        <w:rPr>
          <w:sz w:val="28"/>
          <w:szCs w:val="28"/>
        </w:rPr>
        <w:t xml:space="preserve">Объем государственного долга РФ, согласно Законопроекту, вырастет с 25 368,6 </w:t>
      </w:r>
      <w:proofErr w:type="gramStart"/>
      <w:r>
        <w:rPr>
          <w:sz w:val="28"/>
          <w:szCs w:val="28"/>
        </w:rPr>
        <w:t>млрд</w:t>
      </w:r>
      <w:proofErr w:type="gramEnd"/>
      <w:r>
        <w:rPr>
          <w:sz w:val="28"/>
          <w:szCs w:val="28"/>
        </w:rPr>
        <w:t xml:space="preserve"> руб. в 2023 г</w:t>
      </w:r>
      <w:r w:rsidR="00032EB2">
        <w:rPr>
          <w:sz w:val="28"/>
          <w:szCs w:val="28"/>
        </w:rPr>
        <w:t>оду</w:t>
      </w:r>
      <w:r>
        <w:rPr>
          <w:sz w:val="28"/>
          <w:szCs w:val="28"/>
        </w:rPr>
        <w:t xml:space="preserve"> до 29 939,5 млрд руб. в 2025 г</w:t>
      </w:r>
      <w:r w:rsidR="00032EB2">
        <w:rPr>
          <w:sz w:val="28"/>
          <w:szCs w:val="28"/>
        </w:rPr>
        <w:t>оду.</w:t>
      </w:r>
      <w:r>
        <w:rPr>
          <w:sz w:val="28"/>
          <w:szCs w:val="28"/>
        </w:rPr>
        <w:t xml:space="preserve"> При этом</w:t>
      </w:r>
      <w:proofErr w:type="gramStart"/>
      <w:r>
        <w:rPr>
          <w:sz w:val="28"/>
          <w:szCs w:val="28"/>
        </w:rPr>
        <w:t>,</w:t>
      </w:r>
      <w:proofErr w:type="gramEnd"/>
      <w:r>
        <w:rPr>
          <w:sz w:val="28"/>
          <w:szCs w:val="28"/>
        </w:rPr>
        <w:t xml:space="preserve"> запланированные на 2023 и 2024 </w:t>
      </w:r>
      <w:r w:rsidR="00032EB2">
        <w:rPr>
          <w:sz w:val="28"/>
          <w:szCs w:val="28"/>
        </w:rPr>
        <w:t>годы</w:t>
      </w:r>
      <w:r>
        <w:rPr>
          <w:sz w:val="28"/>
          <w:szCs w:val="28"/>
        </w:rPr>
        <w:t xml:space="preserve"> объемы государственного долга в среднем на 13,0% меньше, чем показатели предусмотренные </w:t>
      </w:r>
      <w:r w:rsidR="00032EB2">
        <w:rPr>
          <w:sz w:val="28"/>
          <w:szCs w:val="28"/>
        </w:rPr>
        <w:t>Федеральным законом</w:t>
      </w:r>
      <w:r>
        <w:rPr>
          <w:sz w:val="28"/>
          <w:szCs w:val="28"/>
        </w:rPr>
        <w:t xml:space="preserve"> № 390</w:t>
      </w:r>
      <w:r w:rsidR="00032EB2">
        <w:rPr>
          <w:sz w:val="28"/>
          <w:szCs w:val="28"/>
        </w:rPr>
        <w:t>-ФЗ</w:t>
      </w:r>
      <w:r>
        <w:rPr>
          <w:sz w:val="28"/>
          <w:szCs w:val="28"/>
        </w:rPr>
        <w:t>. В Пояснительной записке прямо указывается на возможность использования средств ФНБ для покрытия дефицита федерального бюджета, что снизит скорость наращивания государственного долга. Таким образом, к концу 2025 г</w:t>
      </w:r>
      <w:r w:rsidR="00032EB2">
        <w:rPr>
          <w:sz w:val="28"/>
          <w:szCs w:val="28"/>
        </w:rPr>
        <w:t>ода</w:t>
      </w:r>
      <w:r>
        <w:rPr>
          <w:sz w:val="28"/>
          <w:szCs w:val="28"/>
        </w:rPr>
        <w:t xml:space="preserve"> государственный долг РФ не превысит 17,5% ВВП. </w:t>
      </w:r>
    </w:p>
    <w:p w14:paraId="6A895800" w14:textId="31A53B76" w:rsidR="00113939" w:rsidRDefault="00113939" w:rsidP="00113939">
      <w:pPr>
        <w:spacing w:line="360" w:lineRule="auto"/>
        <w:ind w:firstLine="567"/>
        <w:jc w:val="both"/>
        <w:rPr>
          <w:sz w:val="28"/>
          <w:szCs w:val="28"/>
        </w:rPr>
      </w:pPr>
      <w:r>
        <w:rPr>
          <w:sz w:val="28"/>
          <w:szCs w:val="28"/>
        </w:rPr>
        <w:t>Вместе с заморозкой валютных активов ЦБ РФ недоступной оказалась и часть средств ФНБ. Действие бюджетных правил в 2022 г</w:t>
      </w:r>
      <w:r w:rsidR="00032EB2">
        <w:rPr>
          <w:sz w:val="28"/>
          <w:szCs w:val="28"/>
        </w:rPr>
        <w:t>оду</w:t>
      </w:r>
      <w:r>
        <w:rPr>
          <w:sz w:val="28"/>
          <w:szCs w:val="28"/>
        </w:rPr>
        <w:t xml:space="preserve"> было приостановлено, поэтому пополнение ФНБ приостановилось. </w:t>
      </w:r>
      <w:r w:rsidRPr="006A4841">
        <w:rPr>
          <w:sz w:val="28"/>
          <w:szCs w:val="28"/>
        </w:rPr>
        <w:t xml:space="preserve">В 2023–2024 </w:t>
      </w:r>
      <w:proofErr w:type="gramStart"/>
      <w:r w:rsidR="00032EB2">
        <w:rPr>
          <w:sz w:val="28"/>
          <w:szCs w:val="28"/>
        </w:rPr>
        <w:t>годах</w:t>
      </w:r>
      <w:proofErr w:type="gramEnd"/>
      <w:r w:rsidRPr="006A4841">
        <w:rPr>
          <w:sz w:val="28"/>
          <w:szCs w:val="28"/>
        </w:rPr>
        <w:t xml:space="preserve"> </w:t>
      </w:r>
      <w:r>
        <w:rPr>
          <w:sz w:val="28"/>
          <w:szCs w:val="28"/>
        </w:rPr>
        <w:t>планируется</w:t>
      </w:r>
      <w:r w:rsidRPr="006A4841">
        <w:rPr>
          <w:sz w:val="28"/>
          <w:szCs w:val="28"/>
        </w:rPr>
        <w:t xml:space="preserve"> использование средств </w:t>
      </w:r>
      <w:r>
        <w:rPr>
          <w:sz w:val="28"/>
          <w:szCs w:val="28"/>
        </w:rPr>
        <w:t>ФНБ в целях финансирования дефицита федерального бюджета</w:t>
      </w:r>
      <w:r w:rsidRPr="006A4841">
        <w:rPr>
          <w:sz w:val="28"/>
          <w:szCs w:val="28"/>
        </w:rPr>
        <w:t>.</w:t>
      </w:r>
      <w:r>
        <w:rPr>
          <w:sz w:val="28"/>
          <w:szCs w:val="28"/>
        </w:rPr>
        <w:t xml:space="preserve"> В Пояснительной записке указывается, что средства</w:t>
      </w:r>
      <w:r w:rsidRPr="006A4841">
        <w:rPr>
          <w:sz w:val="28"/>
          <w:szCs w:val="28"/>
        </w:rPr>
        <w:t xml:space="preserve"> </w:t>
      </w:r>
      <w:r>
        <w:rPr>
          <w:sz w:val="28"/>
          <w:szCs w:val="28"/>
        </w:rPr>
        <w:t>ФНБ</w:t>
      </w:r>
      <w:r w:rsidRPr="006A4841">
        <w:rPr>
          <w:sz w:val="28"/>
          <w:szCs w:val="28"/>
        </w:rPr>
        <w:t xml:space="preserve"> могут быть использованы на замещение государственных внутренних заимствований в 2023 </w:t>
      </w:r>
      <w:r>
        <w:rPr>
          <w:sz w:val="28"/>
          <w:szCs w:val="28"/>
        </w:rPr>
        <w:t>г</w:t>
      </w:r>
      <w:r w:rsidR="00032EB2">
        <w:rPr>
          <w:sz w:val="28"/>
          <w:szCs w:val="28"/>
        </w:rPr>
        <w:t>оду</w:t>
      </w:r>
      <w:r w:rsidRPr="006A4841">
        <w:rPr>
          <w:sz w:val="28"/>
          <w:szCs w:val="28"/>
        </w:rPr>
        <w:t xml:space="preserve"> </w:t>
      </w:r>
      <w:r>
        <w:rPr>
          <w:sz w:val="28"/>
          <w:szCs w:val="28"/>
        </w:rPr>
        <w:t xml:space="preserve">только по </w:t>
      </w:r>
      <w:r w:rsidRPr="006A4841">
        <w:rPr>
          <w:sz w:val="28"/>
          <w:szCs w:val="28"/>
        </w:rPr>
        <w:t>согласовани</w:t>
      </w:r>
      <w:r>
        <w:rPr>
          <w:sz w:val="28"/>
          <w:szCs w:val="28"/>
        </w:rPr>
        <w:t>ю</w:t>
      </w:r>
      <w:r w:rsidRPr="006A4841">
        <w:rPr>
          <w:sz w:val="28"/>
          <w:szCs w:val="28"/>
        </w:rPr>
        <w:t xml:space="preserve"> Правительств</w:t>
      </w:r>
      <w:r>
        <w:rPr>
          <w:sz w:val="28"/>
          <w:szCs w:val="28"/>
        </w:rPr>
        <w:t>а</w:t>
      </w:r>
      <w:r w:rsidRPr="006A4841">
        <w:rPr>
          <w:sz w:val="28"/>
          <w:szCs w:val="28"/>
        </w:rPr>
        <w:t xml:space="preserve"> </w:t>
      </w:r>
      <w:r>
        <w:rPr>
          <w:sz w:val="28"/>
          <w:szCs w:val="28"/>
        </w:rPr>
        <w:t>РФ. Тем не менее, как уже было сказано, средства ФНБ как источник финансирования дефицита бюджета в 2023 г</w:t>
      </w:r>
      <w:r w:rsidR="00032EB2">
        <w:rPr>
          <w:sz w:val="28"/>
          <w:szCs w:val="28"/>
        </w:rPr>
        <w:t>оду</w:t>
      </w:r>
      <w:r>
        <w:rPr>
          <w:sz w:val="28"/>
          <w:szCs w:val="28"/>
        </w:rPr>
        <w:t xml:space="preserve"> превышают объемы запланированных государственных заимствований. </w:t>
      </w:r>
    </w:p>
    <w:p w14:paraId="3201D6C9" w14:textId="13169394" w:rsidR="00113939" w:rsidRDefault="00113939" w:rsidP="00113939">
      <w:pPr>
        <w:autoSpaceDE w:val="0"/>
        <w:autoSpaceDN w:val="0"/>
        <w:adjustRightInd w:val="0"/>
        <w:spacing w:line="360" w:lineRule="auto"/>
        <w:ind w:firstLine="709"/>
        <w:jc w:val="both"/>
        <w:rPr>
          <w:sz w:val="28"/>
          <w:szCs w:val="28"/>
        </w:rPr>
      </w:pPr>
      <w:r>
        <w:rPr>
          <w:sz w:val="28"/>
          <w:szCs w:val="28"/>
        </w:rPr>
        <w:t xml:space="preserve">Утверждается, что </w:t>
      </w:r>
      <w:r w:rsidRPr="0028247F">
        <w:rPr>
          <w:sz w:val="28"/>
          <w:szCs w:val="28"/>
        </w:rPr>
        <w:t>средств</w:t>
      </w:r>
      <w:r>
        <w:rPr>
          <w:sz w:val="28"/>
          <w:szCs w:val="28"/>
        </w:rPr>
        <w:t>а</w:t>
      </w:r>
      <w:r w:rsidRPr="0028247F">
        <w:rPr>
          <w:sz w:val="28"/>
          <w:szCs w:val="28"/>
        </w:rPr>
        <w:t xml:space="preserve"> </w:t>
      </w:r>
      <w:r>
        <w:rPr>
          <w:sz w:val="28"/>
          <w:szCs w:val="28"/>
        </w:rPr>
        <w:t>ФНБ будут использоваться не только на финансирование дефицита бюджета (как минимум, в 2023 и 2024 г</w:t>
      </w:r>
      <w:r w:rsidR="00032EB2">
        <w:rPr>
          <w:sz w:val="28"/>
          <w:szCs w:val="28"/>
        </w:rPr>
        <w:t>одах</w:t>
      </w:r>
      <w:r>
        <w:rPr>
          <w:sz w:val="28"/>
          <w:szCs w:val="28"/>
        </w:rPr>
        <w:t>), но и на</w:t>
      </w:r>
      <w:r w:rsidRPr="0028247F">
        <w:rPr>
          <w:sz w:val="28"/>
          <w:szCs w:val="28"/>
        </w:rPr>
        <w:t xml:space="preserve"> реализацию инвестиционных проектов, а также на </w:t>
      </w:r>
      <w:proofErr w:type="spellStart"/>
      <w:r w:rsidRPr="0028247F">
        <w:rPr>
          <w:sz w:val="28"/>
          <w:szCs w:val="28"/>
        </w:rPr>
        <w:t>софинансирование</w:t>
      </w:r>
      <w:proofErr w:type="spellEnd"/>
      <w:r w:rsidRPr="0028247F">
        <w:rPr>
          <w:sz w:val="28"/>
          <w:szCs w:val="28"/>
        </w:rPr>
        <w:t xml:space="preserve"> формирования пенсионных накоплений застрахованных лиц, уплативших дополнительные страховые взносы на накопительную пенсию.</w:t>
      </w:r>
      <w:r>
        <w:rPr>
          <w:sz w:val="28"/>
          <w:szCs w:val="28"/>
        </w:rPr>
        <w:t xml:space="preserve"> </w:t>
      </w:r>
    </w:p>
    <w:p w14:paraId="0B99AE3F" w14:textId="62B25256" w:rsidR="00113939" w:rsidRDefault="00113939" w:rsidP="00113939">
      <w:pPr>
        <w:autoSpaceDE w:val="0"/>
        <w:autoSpaceDN w:val="0"/>
        <w:adjustRightInd w:val="0"/>
        <w:spacing w:line="360" w:lineRule="auto"/>
        <w:ind w:firstLine="709"/>
        <w:jc w:val="both"/>
        <w:rPr>
          <w:sz w:val="28"/>
          <w:szCs w:val="28"/>
        </w:rPr>
      </w:pPr>
      <w:r>
        <w:rPr>
          <w:sz w:val="28"/>
          <w:szCs w:val="28"/>
        </w:rPr>
        <w:t>Вновь внешние потрясения вынуждают приостановить действие очередного варианта бюджетных правил. После обвала цен на нефть в 2020 г</w:t>
      </w:r>
      <w:r w:rsidR="00C26F5B">
        <w:rPr>
          <w:sz w:val="28"/>
          <w:szCs w:val="28"/>
        </w:rPr>
        <w:t>оду</w:t>
      </w:r>
      <w:r>
        <w:rPr>
          <w:sz w:val="28"/>
          <w:szCs w:val="28"/>
        </w:rPr>
        <w:t>, согласно действовавшим на тот момент бюджетным правилам, пополнение ФНБ за счет дополнительных нефтегазовых доходов бюджета было приостановлено. Однако в 2021 г</w:t>
      </w:r>
      <w:r w:rsidR="00C26F5B">
        <w:rPr>
          <w:sz w:val="28"/>
          <w:szCs w:val="28"/>
        </w:rPr>
        <w:t>оду</w:t>
      </w:r>
      <w:r>
        <w:rPr>
          <w:sz w:val="28"/>
          <w:szCs w:val="28"/>
        </w:rPr>
        <w:t xml:space="preserve"> и в начале 2022 г</w:t>
      </w:r>
      <w:r w:rsidR="00C26F5B">
        <w:rPr>
          <w:sz w:val="28"/>
          <w:szCs w:val="28"/>
        </w:rPr>
        <w:t>ода</w:t>
      </w:r>
      <w:r>
        <w:rPr>
          <w:sz w:val="28"/>
          <w:szCs w:val="28"/>
        </w:rPr>
        <w:t xml:space="preserve"> - в период повышения цен сверх установленной цены отсечения – дополнительные нефтегазовые доходы поступали в ФНБ. На начало 2022 г</w:t>
      </w:r>
      <w:r w:rsidR="00C26F5B">
        <w:rPr>
          <w:sz w:val="28"/>
          <w:szCs w:val="28"/>
        </w:rPr>
        <w:t>ода</w:t>
      </w:r>
      <w:r>
        <w:rPr>
          <w:sz w:val="28"/>
          <w:szCs w:val="28"/>
        </w:rPr>
        <w:t xml:space="preserve"> объем средств ФНБ оценивался почти в 13,6 </w:t>
      </w:r>
      <w:proofErr w:type="gramStart"/>
      <w:r>
        <w:rPr>
          <w:sz w:val="28"/>
          <w:szCs w:val="28"/>
        </w:rPr>
        <w:t>трлн</w:t>
      </w:r>
      <w:proofErr w:type="gramEnd"/>
      <w:r>
        <w:rPr>
          <w:sz w:val="28"/>
          <w:szCs w:val="28"/>
        </w:rPr>
        <w:t xml:space="preserve"> руб. По итогам 2022 г</w:t>
      </w:r>
      <w:r w:rsidR="00C26F5B">
        <w:rPr>
          <w:sz w:val="28"/>
          <w:szCs w:val="28"/>
        </w:rPr>
        <w:t>ода</w:t>
      </w:r>
      <w:r>
        <w:rPr>
          <w:sz w:val="28"/>
          <w:szCs w:val="28"/>
        </w:rPr>
        <w:t xml:space="preserve"> планируется использовать более 3,1 трлн руб. из средств ФНБ. </w:t>
      </w:r>
    </w:p>
    <w:p w14:paraId="21BE5678" w14:textId="5D03925C" w:rsidR="00113939" w:rsidRDefault="00113939" w:rsidP="00113939">
      <w:pPr>
        <w:autoSpaceDE w:val="0"/>
        <w:autoSpaceDN w:val="0"/>
        <w:adjustRightInd w:val="0"/>
        <w:spacing w:line="360" w:lineRule="auto"/>
        <w:ind w:firstLine="709"/>
        <w:jc w:val="both"/>
        <w:rPr>
          <w:sz w:val="28"/>
          <w:szCs w:val="28"/>
        </w:rPr>
      </w:pPr>
      <w:r>
        <w:rPr>
          <w:sz w:val="28"/>
          <w:szCs w:val="28"/>
        </w:rPr>
        <w:t xml:space="preserve">В Пояснительной записке и «Основных направлениях </w:t>
      </w:r>
      <w:r w:rsidRPr="004552B2">
        <w:rPr>
          <w:sz w:val="28"/>
          <w:szCs w:val="28"/>
        </w:rPr>
        <w:t>бюджетной, налоговой и таможенно-тарифной политики</w:t>
      </w:r>
      <w:r>
        <w:rPr>
          <w:sz w:val="28"/>
          <w:szCs w:val="28"/>
        </w:rPr>
        <w:t>…» раскрывается конструкция нового варианта бюджетных правил. В 2023–2025 г</w:t>
      </w:r>
      <w:r w:rsidR="00C26F5B">
        <w:rPr>
          <w:sz w:val="28"/>
          <w:szCs w:val="28"/>
        </w:rPr>
        <w:t>одах</w:t>
      </w:r>
      <w:r>
        <w:rPr>
          <w:sz w:val="28"/>
          <w:szCs w:val="28"/>
        </w:rPr>
        <w:t xml:space="preserve"> объем базовых нефтегазовых доходов зафиксирован на уровне 8 </w:t>
      </w:r>
      <w:proofErr w:type="gramStart"/>
      <w:r>
        <w:rPr>
          <w:sz w:val="28"/>
          <w:szCs w:val="28"/>
        </w:rPr>
        <w:t>трлн</w:t>
      </w:r>
      <w:proofErr w:type="gramEnd"/>
      <w:r>
        <w:rPr>
          <w:sz w:val="28"/>
          <w:szCs w:val="28"/>
        </w:rPr>
        <w:t xml:space="preserve"> руб. Эта сумма обосновывается прошлыми оценками уровня нефтегазовых доходов федерального бюджета в рамках умеренно-консервативных сценариев среднесрочного прогноза и в условиях стабильного реального курса национальной валюты</w:t>
      </w:r>
      <w:r w:rsidR="00C26F5B">
        <w:rPr>
          <w:rStyle w:val="aa"/>
          <w:sz w:val="28"/>
          <w:szCs w:val="28"/>
        </w:rPr>
        <w:footnoteReference w:id="26"/>
      </w:r>
      <w:r w:rsidR="00C26F5B">
        <w:rPr>
          <w:sz w:val="28"/>
          <w:szCs w:val="28"/>
        </w:rPr>
        <w:t>.</w:t>
      </w:r>
      <w:r>
        <w:rPr>
          <w:sz w:val="28"/>
          <w:szCs w:val="28"/>
        </w:rPr>
        <w:t xml:space="preserve"> Дополнительные нефтегазовые доходы, которые планируются на уровне менее 1 трлн руб. в 2023 г</w:t>
      </w:r>
      <w:r w:rsidR="00C26F5B">
        <w:rPr>
          <w:sz w:val="28"/>
          <w:szCs w:val="28"/>
        </w:rPr>
        <w:t>оду</w:t>
      </w:r>
      <w:r>
        <w:rPr>
          <w:sz w:val="28"/>
          <w:szCs w:val="28"/>
        </w:rPr>
        <w:t xml:space="preserve"> со снижением до 488,5 млрд руб. в 2025 г</w:t>
      </w:r>
      <w:r w:rsidR="00C26F5B">
        <w:rPr>
          <w:sz w:val="28"/>
          <w:szCs w:val="28"/>
        </w:rPr>
        <w:t>оду</w:t>
      </w:r>
      <w:r>
        <w:rPr>
          <w:sz w:val="28"/>
          <w:szCs w:val="28"/>
        </w:rPr>
        <w:t>, как и прежде будут направляться на пополнение ФНБ. Однако ежегодное пополнение средств планируется на меньшем уровне, чем их использование, поэтому к началу 2025 г</w:t>
      </w:r>
      <w:r w:rsidR="00C571A0">
        <w:rPr>
          <w:sz w:val="28"/>
          <w:szCs w:val="28"/>
        </w:rPr>
        <w:t>ода</w:t>
      </w:r>
      <w:r>
        <w:rPr>
          <w:sz w:val="28"/>
          <w:szCs w:val="28"/>
        </w:rPr>
        <w:t xml:space="preserve"> объем средств ФНБ снизится до </w:t>
      </w:r>
      <w:r w:rsidRPr="00A2696A">
        <w:rPr>
          <w:sz w:val="28"/>
          <w:szCs w:val="28"/>
        </w:rPr>
        <w:t>5 947,2</w:t>
      </w:r>
      <w:r>
        <w:rPr>
          <w:sz w:val="28"/>
          <w:szCs w:val="28"/>
        </w:rPr>
        <w:t xml:space="preserve"> </w:t>
      </w:r>
      <w:proofErr w:type="gramStart"/>
      <w:r>
        <w:rPr>
          <w:sz w:val="28"/>
          <w:szCs w:val="28"/>
        </w:rPr>
        <w:t>млрд</w:t>
      </w:r>
      <w:proofErr w:type="gramEnd"/>
      <w:r>
        <w:rPr>
          <w:sz w:val="28"/>
          <w:szCs w:val="28"/>
        </w:rPr>
        <w:t xml:space="preserve"> руб. (3,5% ВВП). </w:t>
      </w:r>
    </w:p>
    <w:p w14:paraId="3315A694" w14:textId="43B881BB" w:rsidR="00113939" w:rsidRPr="0028247F" w:rsidRDefault="00113939" w:rsidP="00113939">
      <w:pPr>
        <w:autoSpaceDE w:val="0"/>
        <w:autoSpaceDN w:val="0"/>
        <w:adjustRightInd w:val="0"/>
        <w:spacing w:line="360" w:lineRule="auto"/>
        <w:ind w:firstLine="709"/>
        <w:jc w:val="both"/>
        <w:rPr>
          <w:sz w:val="28"/>
          <w:szCs w:val="28"/>
        </w:rPr>
      </w:pPr>
      <w:r>
        <w:rPr>
          <w:sz w:val="28"/>
          <w:szCs w:val="28"/>
        </w:rPr>
        <w:t xml:space="preserve">Установление базового уровня нефтегазовых доходов федерального бюджета по замыслу должно обеспечить стабильность бюджетных расходов и снизить влияние волатильности рентных доходов на экономику. Соответственно, структурный баланс федерального бюджета определяется как разница между суммой базовых нефтегазовых и </w:t>
      </w:r>
      <w:proofErr w:type="spellStart"/>
      <w:r>
        <w:rPr>
          <w:sz w:val="28"/>
          <w:szCs w:val="28"/>
        </w:rPr>
        <w:t>ненефтегазовых</w:t>
      </w:r>
      <w:proofErr w:type="spellEnd"/>
      <w:r>
        <w:rPr>
          <w:sz w:val="28"/>
          <w:szCs w:val="28"/>
        </w:rPr>
        <w:t xml:space="preserve"> доходов и расходов без учета трат на обслуживание государственного долга. По итогам 2022 г</w:t>
      </w:r>
      <w:r w:rsidR="00C26F5B">
        <w:rPr>
          <w:sz w:val="28"/>
          <w:szCs w:val="28"/>
        </w:rPr>
        <w:t>ода</w:t>
      </w:r>
      <w:r>
        <w:rPr>
          <w:sz w:val="28"/>
          <w:szCs w:val="28"/>
        </w:rPr>
        <w:t xml:space="preserve"> структурный дефицит бюджета оценивается в более, чем 5,0 </w:t>
      </w:r>
      <w:proofErr w:type="gramStart"/>
      <w:r>
        <w:rPr>
          <w:sz w:val="28"/>
          <w:szCs w:val="28"/>
        </w:rPr>
        <w:t>трлн</w:t>
      </w:r>
      <w:proofErr w:type="gramEnd"/>
      <w:r>
        <w:rPr>
          <w:sz w:val="28"/>
          <w:szCs w:val="28"/>
        </w:rPr>
        <w:t xml:space="preserve"> руб. при ожидаемом фактическом дефиците чуть более 1,3 трлн руб., из-за падения </w:t>
      </w:r>
      <w:proofErr w:type="spellStart"/>
      <w:r>
        <w:rPr>
          <w:sz w:val="28"/>
          <w:szCs w:val="28"/>
        </w:rPr>
        <w:t>ненефтегазовых</w:t>
      </w:r>
      <w:proofErr w:type="spellEnd"/>
      <w:r>
        <w:rPr>
          <w:sz w:val="28"/>
          <w:szCs w:val="28"/>
        </w:rPr>
        <w:t xml:space="preserve"> доходов и незапланированного роста государственных расходов. В 2023 и 2024 </w:t>
      </w:r>
      <w:proofErr w:type="gramStart"/>
      <w:r w:rsidR="00C26F5B">
        <w:rPr>
          <w:sz w:val="28"/>
          <w:szCs w:val="28"/>
        </w:rPr>
        <w:t>годах</w:t>
      </w:r>
      <w:proofErr w:type="gramEnd"/>
      <w:r>
        <w:rPr>
          <w:sz w:val="28"/>
          <w:szCs w:val="28"/>
        </w:rPr>
        <w:t xml:space="preserve"> структурный баланс также превысит ожидаемый дефицит, что интерпретируется как </w:t>
      </w:r>
      <w:proofErr w:type="spellStart"/>
      <w:r>
        <w:rPr>
          <w:sz w:val="28"/>
          <w:szCs w:val="28"/>
        </w:rPr>
        <w:t>контрциклическое</w:t>
      </w:r>
      <w:proofErr w:type="spellEnd"/>
      <w:r>
        <w:rPr>
          <w:sz w:val="28"/>
          <w:szCs w:val="28"/>
        </w:rPr>
        <w:t xml:space="preserve"> воздействие бюджетно-налоговой политики. Вместе с тем, в 2023 г</w:t>
      </w:r>
      <w:r w:rsidR="00C26F5B">
        <w:rPr>
          <w:sz w:val="28"/>
          <w:szCs w:val="28"/>
        </w:rPr>
        <w:t>оду</w:t>
      </w:r>
      <w:r>
        <w:rPr>
          <w:sz w:val="28"/>
          <w:szCs w:val="28"/>
        </w:rPr>
        <w:t xml:space="preserve"> в реальном выражении вырастут только расходы на национальную оборону, национальную безопасность, социальную политику, образование и обслуживание государственного долга. Все эти направления, за исключением образования, почти не влияют на экономический рост или влияют негативно. </w:t>
      </w:r>
    </w:p>
    <w:p w14:paraId="58C87228" w14:textId="1CD0478B" w:rsidR="00411064" w:rsidRDefault="00411064" w:rsidP="004A457A">
      <w:pPr>
        <w:ind w:firstLine="360"/>
        <w:jc w:val="both"/>
        <w:rPr>
          <w:b/>
          <w:sz w:val="28"/>
          <w:szCs w:val="28"/>
        </w:rPr>
      </w:pPr>
    </w:p>
    <w:p w14:paraId="7D555F42" w14:textId="3DC886EC" w:rsidR="00411064" w:rsidRPr="0096730A" w:rsidRDefault="00C5374A" w:rsidP="0096730A">
      <w:pPr>
        <w:pStyle w:val="a4"/>
        <w:numPr>
          <w:ilvl w:val="0"/>
          <w:numId w:val="19"/>
        </w:numPr>
        <w:spacing w:after="160" w:line="259" w:lineRule="auto"/>
        <w:ind w:left="426"/>
        <w:jc w:val="both"/>
        <w:outlineLvl w:val="0"/>
        <w:rPr>
          <w:b/>
          <w:sz w:val="28"/>
          <w:szCs w:val="20"/>
        </w:rPr>
      </w:pPr>
      <w:bookmarkStart w:id="12" w:name="_Toc116561839"/>
      <w:r w:rsidRPr="0096730A">
        <w:rPr>
          <w:b/>
          <w:sz w:val="28"/>
          <w:szCs w:val="20"/>
        </w:rPr>
        <w:t xml:space="preserve">Правовая составляющая Проекта федерального закона «О федеральном </w:t>
      </w:r>
      <w:proofErr w:type="gramStart"/>
      <w:r w:rsidRPr="0096730A">
        <w:rPr>
          <w:b/>
          <w:sz w:val="28"/>
          <w:szCs w:val="20"/>
        </w:rPr>
        <w:t>бюджете</w:t>
      </w:r>
      <w:proofErr w:type="gramEnd"/>
      <w:r w:rsidRPr="0096730A">
        <w:rPr>
          <w:b/>
          <w:sz w:val="28"/>
          <w:szCs w:val="20"/>
        </w:rPr>
        <w:t xml:space="preserve"> на 2023 год и на плановый период 2024 и 2025 годов»</w:t>
      </w:r>
      <w:bookmarkEnd w:id="12"/>
    </w:p>
    <w:p w14:paraId="25F75D99" w14:textId="19B672BC" w:rsidR="00411064" w:rsidRDefault="00411064" w:rsidP="004A457A">
      <w:pPr>
        <w:ind w:firstLine="360"/>
        <w:jc w:val="both"/>
        <w:rPr>
          <w:b/>
          <w:sz w:val="28"/>
          <w:szCs w:val="28"/>
        </w:rPr>
      </w:pPr>
    </w:p>
    <w:p w14:paraId="77D0583E" w14:textId="77777777" w:rsidR="00C5374A" w:rsidRPr="00113939" w:rsidRDefault="00C5374A" w:rsidP="00113939">
      <w:pPr>
        <w:spacing w:line="360" w:lineRule="auto"/>
        <w:ind w:firstLine="709"/>
        <w:jc w:val="both"/>
        <w:rPr>
          <w:sz w:val="28"/>
          <w:szCs w:val="28"/>
        </w:rPr>
      </w:pPr>
      <w:proofErr w:type="gramStart"/>
      <w:r w:rsidRPr="00113939">
        <w:rPr>
          <w:sz w:val="28"/>
          <w:szCs w:val="28"/>
        </w:rPr>
        <w:t xml:space="preserve">Правовому регулированию вопросов, положенных в основу формирования проекта федерального закона «О федеральном бюджете на 2023 год и на плановый период 2024 и 2025 годов» (далее – проект ФЗ), посвящен раздел </w:t>
      </w:r>
      <w:r w:rsidRPr="00113939">
        <w:rPr>
          <w:sz w:val="28"/>
          <w:szCs w:val="28"/>
          <w:lang w:val="en-US"/>
        </w:rPr>
        <w:t>I</w:t>
      </w:r>
      <w:r w:rsidRPr="00113939">
        <w:rPr>
          <w:sz w:val="28"/>
          <w:szCs w:val="28"/>
        </w:rPr>
        <w:t xml:space="preserve"> пояснительной записки к нему, дающий постатейную характеристику проекта ФЗ.</w:t>
      </w:r>
      <w:proofErr w:type="gramEnd"/>
      <w:r w:rsidRPr="00113939">
        <w:rPr>
          <w:sz w:val="28"/>
          <w:szCs w:val="28"/>
        </w:rPr>
        <w:t xml:space="preserve"> Анализ ее содержания, самого проекта ФЗ и положений Бюджетного кодекса РФ (далее – БК РФ) показал следующее.</w:t>
      </w:r>
    </w:p>
    <w:p w14:paraId="0ED64786" w14:textId="77777777" w:rsidR="00C5374A" w:rsidRPr="00113939" w:rsidRDefault="00C5374A" w:rsidP="00113939">
      <w:pPr>
        <w:spacing w:line="360" w:lineRule="auto"/>
        <w:ind w:firstLine="709"/>
        <w:jc w:val="both"/>
        <w:rPr>
          <w:sz w:val="28"/>
          <w:szCs w:val="28"/>
        </w:rPr>
      </w:pPr>
      <w:r w:rsidRPr="00113939">
        <w:rPr>
          <w:sz w:val="28"/>
          <w:szCs w:val="28"/>
        </w:rPr>
        <w:t xml:space="preserve">Общие требования к структуре и содержанию закона о бюджете (для всех уровней) установлены ст. 184.1 БК РФ и применительно к федеральному бюджету конкретизируются ст. 199 и 205 БК РФ. Ст.  184.2 БК РФ устанавливает документы и материалы, представляемые в законодательный орган одновременно с проектом бюджета, и также конкретизируется в отношении федерального бюджета п. 4 ст. 192 БК РФ. Отдельные требования, касающиеся федерального бюджета, также устанавливаются другими положениями БК РФ (в частности, </w:t>
      </w:r>
      <w:proofErr w:type="spellStart"/>
      <w:r w:rsidRPr="00113939">
        <w:rPr>
          <w:sz w:val="28"/>
          <w:szCs w:val="28"/>
        </w:rPr>
        <w:t>ст.ст</w:t>
      </w:r>
      <w:proofErr w:type="spellEnd"/>
      <w:r w:rsidRPr="00113939">
        <w:rPr>
          <w:sz w:val="28"/>
          <w:szCs w:val="28"/>
        </w:rPr>
        <w:t xml:space="preserve">. 56, 93.2, 125, 169, 192, 217 и др.). </w:t>
      </w:r>
    </w:p>
    <w:p w14:paraId="4D82A30A" w14:textId="43AC040A" w:rsidR="00C5374A" w:rsidRPr="00113939" w:rsidRDefault="00C5374A" w:rsidP="00113939">
      <w:pPr>
        <w:spacing w:line="360" w:lineRule="auto"/>
        <w:ind w:firstLine="709"/>
        <w:jc w:val="both"/>
        <w:rPr>
          <w:sz w:val="28"/>
          <w:szCs w:val="28"/>
        </w:rPr>
      </w:pPr>
      <w:r w:rsidRPr="00113939">
        <w:rPr>
          <w:sz w:val="28"/>
          <w:szCs w:val="28"/>
        </w:rPr>
        <w:t xml:space="preserve">Структурно проект ФЗ составлен в соответствии с требованиями БК РФ, содержит весь перечень предусмотренных БК РФ данных. Положительно следует оценить то, что в пояснительной записке отмечаются отдельные видоизменения проекта ФЗ в сравнении со структурой текущего </w:t>
      </w:r>
      <w:r w:rsidR="00C26F5B">
        <w:rPr>
          <w:sz w:val="28"/>
          <w:szCs w:val="28"/>
        </w:rPr>
        <w:t>Федерального закона</w:t>
      </w:r>
      <w:r w:rsidRPr="00113939">
        <w:rPr>
          <w:sz w:val="28"/>
          <w:szCs w:val="28"/>
        </w:rPr>
        <w:t xml:space="preserve"> № 390-ФЗ. В частности, применительно к ст. 21 проекта ФЗ, устанавливающей направления использования средств, зарезервированных в составе утверждаемых бюджетных ассигнований, в отношении которых можно вносить изменения в сводную бюджетную роспись без внесения изменений в закон о бюджете, пояснительная записка обозначает те направления, которые являются новеллами. </w:t>
      </w:r>
    </w:p>
    <w:p w14:paraId="27B59BCA" w14:textId="4268BCEA" w:rsidR="00C5374A" w:rsidRPr="00113939" w:rsidRDefault="00C5374A" w:rsidP="00113939">
      <w:pPr>
        <w:spacing w:line="360" w:lineRule="auto"/>
        <w:ind w:firstLine="709"/>
        <w:jc w:val="both"/>
        <w:rPr>
          <w:sz w:val="28"/>
          <w:szCs w:val="28"/>
        </w:rPr>
      </w:pPr>
      <w:proofErr w:type="gramStart"/>
      <w:r w:rsidRPr="00113939">
        <w:rPr>
          <w:sz w:val="28"/>
          <w:szCs w:val="28"/>
        </w:rPr>
        <w:t>Исходя из состава документов и материалов, размещенных совместно с проектом ФЗ в системе обеспечения законодательной деятельности Государственной Думы (всего 596 документов)</w:t>
      </w:r>
      <w:r w:rsidRPr="00113939">
        <w:rPr>
          <w:rStyle w:val="aa"/>
          <w:sz w:val="28"/>
          <w:szCs w:val="28"/>
        </w:rPr>
        <w:footnoteReference w:id="27"/>
      </w:r>
      <w:r w:rsidRPr="00113939">
        <w:rPr>
          <w:sz w:val="28"/>
          <w:szCs w:val="28"/>
        </w:rPr>
        <w:t>, и их перечня, который указан в сопроводительном письме Правительства РФ к проекту ФЗ, в Государственную Думу внесены все предусмотренные БК РФ для представления вместе с проектом ФЗ документы и материалы.</w:t>
      </w:r>
      <w:proofErr w:type="gramEnd"/>
      <w:r w:rsidRPr="00113939">
        <w:rPr>
          <w:sz w:val="28"/>
          <w:szCs w:val="28"/>
        </w:rPr>
        <w:t xml:space="preserve"> За единственным исключением. В Государственную Думу не был внесен бюджетный прогноз Российской Федерации (проект бюджетного прогноза, проект изменений бюджетного прогноза)</w:t>
      </w:r>
      <w:r w:rsidRPr="00113939">
        <w:rPr>
          <w:rStyle w:val="aa"/>
          <w:sz w:val="28"/>
          <w:szCs w:val="28"/>
        </w:rPr>
        <w:footnoteReference w:id="28"/>
      </w:r>
      <w:r w:rsidRPr="00113939">
        <w:rPr>
          <w:sz w:val="28"/>
          <w:szCs w:val="28"/>
        </w:rPr>
        <w:t>, который должен быть представлен одновременно с проектом ФЗ согласно п. 5 ст. 170.1, п. 4 ст.192 БК РФ. В настоящее время действующий Бюджетный прогноз РФ на период до 2036 г</w:t>
      </w:r>
      <w:r w:rsidR="00E310A7">
        <w:rPr>
          <w:sz w:val="28"/>
          <w:szCs w:val="28"/>
        </w:rPr>
        <w:t>ода</w:t>
      </w:r>
      <w:r w:rsidRPr="00113939">
        <w:rPr>
          <w:sz w:val="28"/>
          <w:szCs w:val="28"/>
        </w:rPr>
        <w:t xml:space="preserve"> утвержден распоряжением Правительства РФ от 29 марта 2019 г</w:t>
      </w:r>
      <w:r w:rsidR="00E310A7">
        <w:rPr>
          <w:sz w:val="28"/>
          <w:szCs w:val="28"/>
        </w:rPr>
        <w:t>ода</w:t>
      </w:r>
      <w:r w:rsidRPr="00113939">
        <w:rPr>
          <w:sz w:val="28"/>
          <w:szCs w:val="28"/>
        </w:rPr>
        <w:t xml:space="preserve"> № 558-р.</w:t>
      </w:r>
    </w:p>
    <w:p w14:paraId="7D265019" w14:textId="77777777" w:rsidR="00C5374A" w:rsidRPr="00113939" w:rsidRDefault="00C5374A" w:rsidP="00113939">
      <w:pPr>
        <w:spacing w:line="360" w:lineRule="auto"/>
        <w:ind w:firstLine="709"/>
        <w:jc w:val="both"/>
        <w:rPr>
          <w:sz w:val="28"/>
          <w:szCs w:val="28"/>
        </w:rPr>
      </w:pPr>
      <w:proofErr w:type="gramStart"/>
      <w:r w:rsidRPr="00113939">
        <w:rPr>
          <w:sz w:val="28"/>
          <w:szCs w:val="28"/>
        </w:rPr>
        <w:t>Вероятно, данное нарушение вызвано тем, что 28 сентября (в тот же день, что и проект ФЗ) в Государственную Думу Правительством РФ был внесен проект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w:t>
      </w:r>
      <w:proofErr w:type="gramEnd"/>
      <w:r w:rsidRPr="00113939">
        <w:rPr>
          <w:sz w:val="28"/>
          <w:szCs w:val="28"/>
        </w:rPr>
        <w:t xml:space="preserve"> году»</w:t>
      </w:r>
      <w:r w:rsidRPr="00113939">
        <w:rPr>
          <w:rStyle w:val="aa"/>
          <w:sz w:val="28"/>
          <w:szCs w:val="28"/>
        </w:rPr>
        <w:footnoteReference w:id="29"/>
      </w:r>
      <w:r w:rsidRPr="00113939">
        <w:rPr>
          <w:sz w:val="28"/>
          <w:szCs w:val="28"/>
        </w:rPr>
        <w:t xml:space="preserve">. Он предусматривает исключение из БК РФ требований по необходимости внесения бюджетного прогноза (проекта бюджетного прогноза, проекта изменений бюджетного прогноза) в составе материалов к проекту бюджета. </w:t>
      </w:r>
      <w:proofErr w:type="gramStart"/>
      <w:r w:rsidRPr="00113939">
        <w:rPr>
          <w:sz w:val="28"/>
          <w:szCs w:val="28"/>
        </w:rPr>
        <w:t>В пояснительной записке к данному проекту это обосновывается тем, что параллельная подготовка проекта закона (решения) о бюджете на очередной финансовый год и плановый период и проекта бюджетного прогноза на долгосрочный период приводит к различным избыточным практикам, при которых формирование бюджетного прогноза осуществляется на основании данных, подвергающихся значительному пересмотру в ходе принятия закона о бюджете.</w:t>
      </w:r>
      <w:proofErr w:type="gramEnd"/>
      <w:r w:rsidRPr="00113939">
        <w:rPr>
          <w:sz w:val="28"/>
          <w:szCs w:val="28"/>
        </w:rPr>
        <w:t xml:space="preserve"> И в целях повышения качества долгосрочного бюджетного планирования предлагается, чтобы бюджетный прогноз формировался впоследствии, на основе уже утвержденного закона о бюджете на соответствующий период.</w:t>
      </w:r>
    </w:p>
    <w:p w14:paraId="41DBC65E" w14:textId="77777777" w:rsidR="00C5374A" w:rsidRPr="00113939" w:rsidRDefault="00C5374A" w:rsidP="00113939">
      <w:pPr>
        <w:spacing w:line="360" w:lineRule="auto"/>
        <w:ind w:firstLine="709"/>
        <w:jc w:val="both"/>
        <w:rPr>
          <w:sz w:val="28"/>
          <w:szCs w:val="28"/>
        </w:rPr>
      </w:pPr>
      <w:proofErr w:type="gramStart"/>
      <w:r w:rsidRPr="00113939">
        <w:rPr>
          <w:sz w:val="28"/>
          <w:szCs w:val="28"/>
        </w:rPr>
        <w:t>Согласно текущим правилам (п. 3, 6 ст. 170.1 БК РФ) бюджетный прогноз РФ может быть изменен с учетом изменения прогноза социально-экономического развития РФ и принятого закона о бюджете без продления периода его действия; бюджетный прогноз (изменения бюджетного прогноза) утверждается Правительством РФ в срок, не превышающий 2 месяцев со дня официального опубликования закона о бюджете.</w:t>
      </w:r>
      <w:proofErr w:type="gramEnd"/>
      <w:r w:rsidRPr="00113939">
        <w:rPr>
          <w:sz w:val="28"/>
          <w:szCs w:val="28"/>
        </w:rPr>
        <w:t xml:space="preserve"> Эти нормы предполагается оставить в силе. </w:t>
      </w:r>
    </w:p>
    <w:p w14:paraId="252EF934" w14:textId="77777777" w:rsidR="00C5374A" w:rsidRPr="00113939" w:rsidRDefault="00C5374A" w:rsidP="00113939">
      <w:pPr>
        <w:spacing w:line="360" w:lineRule="auto"/>
        <w:ind w:firstLine="709"/>
        <w:jc w:val="both"/>
        <w:rPr>
          <w:sz w:val="28"/>
          <w:szCs w:val="28"/>
        </w:rPr>
      </w:pPr>
      <w:r w:rsidRPr="00113939">
        <w:rPr>
          <w:sz w:val="28"/>
          <w:szCs w:val="28"/>
        </w:rPr>
        <w:t>Тем не менее, поскольку данный проект еще не превратился в федеральный закон, невнесение бюджетного прогноза в Государственную Думу следует расценивать как нарушение действующих норм БК РФ.</w:t>
      </w:r>
    </w:p>
    <w:p w14:paraId="161B07E6" w14:textId="484BA8D9" w:rsidR="00C5374A" w:rsidRPr="00113939" w:rsidRDefault="00C5374A" w:rsidP="00113939">
      <w:pPr>
        <w:spacing w:line="360" w:lineRule="auto"/>
        <w:ind w:firstLine="709"/>
        <w:jc w:val="both"/>
        <w:rPr>
          <w:sz w:val="28"/>
          <w:szCs w:val="28"/>
        </w:rPr>
      </w:pPr>
      <w:proofErr w:type="gramStart"/>
      <w:r w:rsidRPr="00113939">
        <w:rPr>
          <w:sz w:val="28"/>
          <w:szCs w:val="28"/>
        </w:rPr>
        <w:t>Важно также принять во внимание, что в настоящее время производится модернизация системы стратегического планирования в соответствии с утвержденными указом Президента РФ от 8 ноября 2021 г</w:t>
      </w:r>
      <w:r w:rsidR="00E310A7">
        <w:rPr>
          <w:sz w:val="28"/>
          <w:szCs w:val="28"/>
        </w:rPr>
        <w:t>ода</w:t>
      </w:r>
      <w:r w:rsidRPr="00113939">
        <w:rPr>
          <w:sz w:val="28"/>
          <w:szCs w:val="28"/>
        </w:rPr>
        <w:t>.</w:t>
      </w:r>
      <w:proofErr w:type="gramEnd"/>
      <w:r w:rsidRPr="00113939">
        <w:rPr>
          <w:sz w:val="28"/>
          <w:szCs w:val="28"/>
        </w:rPr>
        <w:t xml:space="preserve"> Основами государственной политики в сфере стратегического планирования в Российской Федерации. Основами, в частности, установлен ряд правил, направленных на обеспечение последовательности разработки документов стратегического планирования (п. 13-27 Основ), наиболее важным из которых является императивное указание на то, что начальным этапом стратегического планирования должно стать прогнозирование, за которым затем следуют целеполагание, и далее планирование и программирование. Поскольку бюджетный прогноз РФ (как и прогнозы социально-экономического развития РФ) являются элементами этапа прогнозирования в системе стратегического планирования, предлагаемый перенос формирования бюджетного прогноза РФ нуждается в дополнительном обосновании, поскольку в таком случае прогнозирование будет завершать бюджетное планирование, а не предварять его.</w:t>
      </w:r>
    </w:p>
    <w:p w14:paraId="260ACB63" w14:textId="77777777" w:rsidR="00C5374A" w:rsidRPr="00113939" w:rsidRDefault="00C5374A" w:rsidP="00113939">
      <w:pPr>
        <w:spacing w:line="360" w:lineRule="auto"/>
        <w:ind w:firstLine="709"/>
        <w:jc w:val="both"/>
        <w:rPr>
          <w:sz w:val="28"/>
          <w:szCs w:val="28"/>
        </w:rPr>
      </w:pPr>
      <w:r w:rsidRPr="00113939">
        <w:rPr>
          <w:sz w:val="28"/>
          <w:szCs w:val="28"/>
        </w:rPr>
        <w:t>Полагаем, что и установленная сейчас БК РФ параллельная разработка основных характеристик федерального бюджета, среднесрочного прогноза социально-экономического развития РФ и бюджетного прогноза РФ будет подлежать корректировке в рамках реализации установленного Основами государственной политики правила.</w:t>
      </w:r>
    </w:p>
    <w:p w14:paraId="07295DB9" w14:textId="33D29E7C" w:rsidR="00C5374A" w:rsidRPr="00113939" w:rsidRDefault="00C5374A" w:rsidP="00113939">
      <w:pPr>
        <w:spacing w:line="360" w:lineRule="auto"/>
        <w:ind w:firstLine="709"/>
        <w:jc w:val="both"/>
        <w:rPr>
          <w:sz w:val="28"/>
          <w:szCs w:val="28"/>
        </w:rPr>
      </w:pPr>
      <w:r w:rsidRPr="00113939">
        <w:rPr>
          <w:sz w:val="28"/>
          <w:szCs w:val="28"/>
        </w:rPr>
        <w:t xml:space="preserve">Также хотелось бы обратить внимание на сроки внесения проекта ФЗ </w:t>
      </w:r>
      <w:proofErr w:type="gramStart"/>
      <w:r w:rsidRPr="00113939">
        <w:rPr>
          <w:sz w:val="28"/>
          <w:szCs w:val="28"/>
        </w:rPr>
        <w:t>–в</w:t>
      </w:r>
      <w:proofErr w:type="gramEnd"/>
      <w:r w:rsidRPr="00113939">
        <w:rPr>
          <w:sz w:val="28"/>
          <w:szCs w:val="28"/>
        </w:rPr>
        <w:t>несен 28</w:t>
      </w:r>
      <w:r w:rsidR="00E310A7">
        <w:rPr>
          <w:sz w:val="28"/>
          <w:szCs w:val="28"/>
        </w:rPr>
        <w:t xml:space="preserve"> сентября </w:t>
      </w:r>
      <w:r w:rsidRPr="00113939">
        <w:rPr>
          <w:sz w:val="28"/>
          <w:szCs w:val="28"/>
        </w:rPr>
        <w:t>2022</w:t>
      </w:r>
      <w:r w:rsidR="00E310A7">
        <w:rPr>
          <w:sz w:val="28"/>
          <w:szCs w:val="28"/>
        </w:rPr>
        <w:t xml:space="preserve"> года</w:t>
      </w:r>
      <w:r w:rsidRPr="00113939">
        <w:rPr>
          <w:sz w:val="28"/>
          <w:szCs w:val="28"/>
        </w:rPr>
        <w:t>. В 2021 г</w:t>
      </w:r>
      <w:r w:rsidR="00E310A7">
        <w:rPr>
          <w:sz w:val="28"/>
          <w:szCs w:val="28"/>
        </w:rPr>
        <w:t>оду</w:t>
      </w:r>
      <w:r w:rsidRPr="00113939">
        <w:rPr>
          <w:sz w:val="28"/>
          <w:szCs w:val="28"/>
        </w:rPr>
        <w:t xml:space="preserve"> Правительством РФ было предложено перенести предельный срок внесения в Государственную Думу проекта федерального бюджета с 1 октября на 15 сентября, внеся соответствующие поправки в БК РФ (данный срок устанавливается п. 1 ст. 191 БК РФ). Предполагалось, что более ранние сроки рассмотрения и утверждения закона о федеральном бюджете создадут объективную определенность для субъектов РФ в части объемов межбюджетных трансфертов в целях планирования их бюджетов. </w:t>
      </w:r>
      <w:proofErr w:type="gramStart"/>
      <w:r w:rsidRPr="00113939">
        <w:rPr>
          <w:sz w:val="28"/>
          <w:szCs w:val="28"/>
        </w:rPr>
        <w:t>Также это обосновывалось возможностью до начала финансового года выпустить все необходимые для исполнения закона о бюджете правовые акты, в более ранние сроки довести до получателей бюджетных средств лимиты бюджетных обязательств, заключить соглашения о предоставлении межбюджетных трансфертов, заключить государственные контракты, другие договоры с юридическими лицами до 1 января и начать финансирование мероприятий с начала года.</w:t>
      </w:r>
      <w:proofErr w:type="gramEnd"/>
      <w:r w:rsidRPr="00113939">
        <w:rPr>
          <w:sz w:val="28"/>
          <w:szCs w:val="28"/>
        </w:rPr>
        <w:t xml:space="preserve"> Соответствующие поправки в БК РФ были приняты (Федеральный закон от 28.06.2021 № 228-ФЗ «О внесении изменений Бюджетный кодекс Российской Федерации и о приостановлении действия отдельных положений Бюджетного кодекса Российской Федерации») и вступили в силу с 1 января 2022 г</w:t>
      </w:r>
      <w:r w:rsidR="00C571A0">
        <w:rPr>
          <w:sz w:val="28"/>
          <w:szCs w:val="28"/>
        </w:rPr>
        <w:t>ода.</w:t>
      </w:r>
      <w:r w:rsidRPr="00113939">
        <w:rPr>
          <w:sz w:val="28"/>
          <w:szCs w:val="28"/>
        </w:rPr>
        <w:t xml:space="preserve"> </w:t>
      </w:r>
      <w:proofErr w:type="gramStart"/>
      <w:r w:rsidRPr="00113939">
        <w:rPr>
          <w:sz w:val="28"/>
          <w:szCs w:val="28"/>
        </w:rPr>
        <w:t>Но уже вскоре Федеральным законом от 29</w:t>
      </w:r>
      <w:r w:rsidR="00E310A7">
        <w:rPr>
          <w:sz w:val="28"/>
          <w:szCs w:val="28"/>
        </w:rPr>
        <w:t xml:space="preserve"> ноября </w:t>
      </w:r>
      <w:r w:rsidRPr="00113939">
        <w:rPr>
          <w:sz w:val="28"/>
          <w:szCs w:val="28"/>
        </w:rPr>
        <w:t>2021</w:t>
      </w:r>
      <w:r w:rsidR="00E310A7">
        <w:rPr>
          <w:sz w:val="28"/>
          <w:szCs w:val="28"/>
        </w:rPr>
        <w:t xml:space="preserve"> года</w:t>
      </w:r>
      <w:r w:rsidRPr="00113939">
        <w:rPr>
          <w:sz w:val="28"/>
          <w:szCs w:val="28"/>
        </w:rPr>
        <w:t xml:space="preserve">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(ст. 9) действие нормы п. 1 ст. 191 БК РФ было приостановлено до 1 января 2023 г</w:t>
      </w:r>
      <w:r w:rsidR="00E310A7">
        <w:rPr>
          <w:sz w:val="28"/>
          <w:szCs w:val="28"/>
        </w:rPr>
        <w:t>ода</w:t>
      </w:r>
      <w:r w:rsidRPr="00113939">
        <w:rPr>
          <w:sz w:val="28"/>
          <w:szCs w:val="28"/>
        </w:rPr>
        <w:t>.</w:t>
      </w:r>
      <w:proofErr w:type="gramEnd"/>
      <w:r w:rsidRPr="00113939">
        <w:rPr>
          <w:sz w:val="28"/>
          <w:szCs w:val="28"/>
        </w:rPr>
        <w:t xml:space="preserve"> Таким образом, внесение проекта ФЗ в срок после 15 сентября никак не нарушило требований БК РФ в связи с приостановлением действия соответствующей нормы. Однако хотелось бы обратить внимание на непоследовательность в вопросах установления такого срока.</w:t>
      </w:r>
    </w:p>
    <w:p w14:paraId="075C59D0" w14:textId="77777777" w:rsidR="00C5374A" w:rsidRPr="00113939" w:rsidRDefault="00C5374A" w:rsidP="00113939">
      <w:pPr>
        <w:spacing w:line="360" w:lineRule="auto"/>
        <w:ind w:firstLine="360"/>
        <w:jc w:val="both"/>
        <w:rPr>
          <w:b/>
          <w:sz w:val="28"/>
          <w:szCs w:val="28"/>
        </w:rPr>
      </w:pPr>
    </w:p>
    <w:p w14:paraId="16960748" w14:textId="356B25A8" w:rsidR="00411064" w:rsidRDefault="00C5374A" w:rsidP="00822CA4">
      <w:pPr>
        <w:pStyle w:val="1"/>
        <w:spacing w:before="0"/>
        <w:rPr>
          <w:rFonts w:ascii="Times New Roman" w:hAnsi="Times New Roman" w:cs="Times New Roman"/>
          <w:b/>
          <w:color w:val="auto"/>
          <w:sz w:val="28"/>
          <w:szCs w:val="28"/>
        </w:rPr>
      </w:pPr>
      <w:bookmarkStart w:id="13" w:name="_Toc116561840"/>
      <w:bookmarkStart w:id="14" w:name="_GoBack"/>
      <w:bookmarkEnd w:id="14"/>
      <w:r w:rsidRPr="00822CA4">
        <w:rPr>
          <w:rFonts w:ascii="Times New Roman" w:hAnsi="Times New Roman" w:cs="Times New Roman"/>
          <w:b/>
          <w:color w:val="auto"/>
          <w:sz w:val="28"/>
          <w:szCs w:val="28"/>
        </w:rPr>
        <w:t>Заключ</w:t>
      </w:r>
      <w:r w:rsidR="0094209E">
        <w:rPr>
          <w:rFonts w:ascii="Times New Roman" w:hAnsi="Times New Roman" w:cs="Times New Roman"/>
          <w:b/>
          <w:color w:val="auto"/>
          <w:sz w:val="28"/>
          <w:szCs w:val="28"/>
        </w:rPr>
        <w:t>ение</w:t>
      </w:r>
      <w:bookmarkEnd w:id="13"/>
    </w:p>
    <w:p w14:paraId="51B0ADE4" w14:textId="77777777" w:rsidR="00822CA4" w:rsidRPr="00822CA4" w:rsidRDefault="00822CA4" w:rsidP="00822CA4"/>
    <w:p w14:paraId="799A34BF" w14:textId="60C20922" w:rsidR="00C5374A" w:rsidRPr="00113939" w:rsidRDefault="00020DE3" w:rsidP="00113939">
      <w:pPr>
        <w:spacing w:line="360" w:lineRule="auto"/>
        <w:ind w:firstLine="708"/>
        <w:jc w:val="both"/>
        <w:rPr>
          <w:bCs/>
          <w:sz w:val="28"/>
          <w:szCs w:val="28"/>
          <w:lang w:bidi="ru-RU"/>
        </w:rPr>
      </w:pPr>
      <w:proofErr w:type="gramStart"/>
      <w:r w:rsidRPr="00113939">
        <w:rPr>
          <w:bCs/>
          <w:sz w:val="28"/>
          <w:szCs w:val="28"/>
          <w:lang w:bidi="ru-RU"/>
        </w:rPr>
        <w:t>В</w:t>
      </w:r>
      <w:r w:rsidR="00C5374A" w:rsidRPr="00113939">
        <w:rPr>
          <w:bCs/>
          <w:sz w:val="28"/>
          <w:szCs w:val="28"/>
          <w:lang w:bidi="ru-RU"/>
        </w:rPr>
        <w:t xml:space="preserve"> Проекте </w:t>
      </w:r>
      <w:r w:rsidR="00C5374A" w:rsidRPr="00113939">
        <w:rPr>
          <w:bCs/>
          <w:sz w:val="28"/>
          <w:szCs w:val="28"/>
        </w:rPr>
        <w:t>федерального закона «О федеральном бюджете на 2023 год и на плановый период 2024 и 2025 годов»</w:t>
      </w:r>
      <w:r w:rsidR="00C5374A" w:rsidRPr="00113939">
        <w:rPr>
          <w:bCs/>
          <w:sz w:val="28"/>
          <w:szCs w:val="28"/>
          <w:lang w:bidi="ru-RU"/>
        </w:rPr>
        <w:t xml:space="preserve">, как и в Прогнозе Социально-экономического развития РФ на </w:t>
      </w:r>
      <w:r w:rsidRPr="00113939">
        <w:rPr>
          <w:bCs/>
          <w:sz w:val="28"/>
          <w:szCs w:val="28"/>
          <w:lang w:bidi="ru-RU"/>
        </w:rPr>
        <w:t>соответствующи</w:t>
      </w:r>
      <w:r w:rsidR="00C5374A" w:rsidRPr="00113939">
        <w:rPr>
          <w:bCs/>
          <w:sz w:val="28"/>
          <w:szCs w:val="28"/>
          <w:lang w:bidi="ru-RU"/>
        </w:rPr>
        <w:t xml:space="preserve">й период не </w:t>
      </w:r>
      <w:r w:rsidRPr="00113939">
        <w:rPr>
          <w:bCs/>
          <w:sz w:val="28"/>
          <w:szCs w:val="28"/>
          <w:lang w:bidi="ru-RU"/>
        </w:rPr>
        <w:t xml:space="preserve">представлены </w:t>
      </w:r>
      <w:r w:rsidR="001A0E23" w:rsidRPr="00113939">
        <w:rPr>
          <w:bCs/>
          <w:sz w:val="28"/>
          <w:szCs w:val="28"/>
          <w:lang w:bidi="ru-RU"/>
        </w:rPr>
        <w:t xml:space="preserve">актуальные задачи </w:t>
      </w:r>
      <w:r w:rsidR="00C5374A" w:rsidRPr="00113939">
        <w:rPr>
          <w:bCs/>
          <w:sz w:val="28"/>
          <w:szCs w:val="28"/>
          <w:lang w:bidi="ru-RU"/>
        </w:rPr>
        <w:t>мобилизационн</w:t>
      </w:r>
      <w:r w:rsidR="000009B9" w:rsidRPr="00113939">
        <w:rPr>
          <w:bCs/>
          <w:sz w:val="28"/>
          <w:szCs w:val="28"/>
          <w:lang w:bidi="ru-RU"/>
        </w:rPr>
        <w:t>ой</w:t>
      </w:r>
      <w:r w:rsidR="00C5374A" w:rsidRPr="00113939">
        <w:rPr>
          <w:bCs/>
          <w:sz w:val="28"/>
          <w:szCs w:val="28"/>
          <w:lang w:bidi="ru-RU"/>
        </w:rPr>
        <w:t xml:space="preserve"> экономики,</w:t>
      </w:r>
      <w:r w:rsidR="000009B9" w:rsidRPr="00113939">
        <w:rPr>
          <w:bCs/>
          <w:sz w:val="28"/>
          <w:szCs w:val="28"/>
          <w:lang w:bidi="ru-RU"/>
        </w:rPr>
        <w:t xml:space="preserve"> являющейся в настоящее время и на </w:t>
      </w:r>
      <w:r w:rsidRPr="00113939">
        <w:rPr>
          <w:bCs/>
          <w:sz w:val="28"/>
          <w:szCs w:val="28"/>
          <w:lang w:bidi="ru-RU"/>
        </w:rPr>
        <w:t>среднес</w:t>
      </w:r>
      <w:r w:rsidR="00A72021" w:rsidRPr="00113939">
        <w:rPr>
          <w:bCs/>
          <w:sz w:val="28"/>
          <w:szCs w:val="28"/>
          <w:lang w:bidi="ru-RU"/>
        </w:rPr>
        <w:t>рочн</w:t>
      </w:r>
      <w:r w:rsidR="000009B9" w:rsidRPr="00113939">
        <w:rPr>
          <w:bCs/>
          <w:sz w:val="28"/>
          <w:szCs w:val="28"/>
          <w:lang w:bidi="ru-RU"/>
        </w:rPr>
        <w:t>ую перспективу основным направлением функционирования отечественного национального хозяйственного комплекса.</w:t>
      </w:r>
      <w:proofErr w:type="gramEnd"/>
    </w:p>
    <w:p w14:paraId="43F73953" w14:textId="297EC6A6" w:rsidR="00C5374A" w:rsidRPr="00113939" w:rsidRDefault="00C5374A" w:rsidP="00113939">
      <w:pPr>
        <w:spacing w:line="360" w:lineRule="auto"/>
        <w:ind w:firstLine="709"/>
        <w:contextualSpacing/>
        <w:jc w:val="both"/>
        <w:rPr>
          <w:bCs/>
          <w:sz w:val="28"/>
          <w:szCs w:val="28"/>
          <w:lang w:bidi="ru-RU"/>
        </w:rPr>
      </w:pPr>
      <w:proofErr w:type="gramStart"/>
      <w:r w:rsidRPr="00113939">
        <w:rPr>
          <w:bCs/>
          <w:sz w:val="28"/>
          <w:szCs w:val="28"/>
          <w:lang w:bidi="ru-RU"/>
        </w:rPr>
        <w:t>Между тем,</w:t>
      </w:r>
      <w:r w:rsidRPr="00113939">
        <w:rPr>
          <w:b/>
          <w:bCs/>
          <w:sz w:val="28"/>
          <w:szCs w:val="28"/>
          <w:lang w:bidi="ru-RU"/>
        </w:rPr>
        <w:t xml:space="preserve"> </w:t>
      </w:r>
      <w:r w:rsidR="006F22AB" w:rsidRPr="00113939">
        <w:rPr>
          <w:b/>
          <w:bCs/>
          <w:sz w:val="28"/>
          <w:szCs w:val="28"/>
          <w:lang w:bidi="ru-RU"/>
        </w:rPr>
        <w:t xml:space="preserve"> </w:t>
      </w:r>
      <w:r w:rsidR="006F22AB" w:rsidRPr="00113939">
        <w:rPr>
          <w:sz w:val="28"/>
          <w:szCs w:val="28"/>
          <w:lang w:bidi="ru-RU"/>
        </w:rPr>
        <w:t>действует</w:t>
      </w:r>
      <w:r w:rsidR="006F22AB" w:rsidRPr="00113939">
        <w:rPr>
          <w:b/>
          <w:bCs/>
          <w:sz w:val="28"/>
          <w:szCs w:val="28"/>
          <w:lang w:bidi="ru-RU"/>
        </w:rPr>
        <w:t xml:space="preserve"> </w:t>
      </w:r>
      <w:r w:rsidRPr="006226DB">
        <w:rPr>
          <w:sz w:val="28"/>
          <w:szCs w:val="28"/>
          <w:lang w:bidi="ru-RU"/>
        </w:rPr>
        <w:t xml:space="preserve">«Бюджетный кодекс Российской Федерации» от 31.07.1998 </w:t>
      </w:r>
      <w:r w:rsidR="00C571A0">
        <w:rPr>
          <w:sz w:val="28"/>
          <w:szCs w:val="28"/>
          <w:lang w:bidi="ru-RU"/>
        </w:rPr>
        <w:t>№</w:t>
      </w:r>
      <w:r w:rsidRPr="006226DB">
        <w:rPr>
          <w:sz w:val="28"/>
          <w:szCs w:val="28"/>
          <w:lang w:bidi="ru-RU"/>
        </w:rPr>
        <w:t xml:space="preserve"> 145-ФЗ (ред. от 14</w:t>
      </w:r>
      <w:r w:rsidR="00C571A0">
        <w:rPr>
          <w:sz w:val="28"/>
          <w:szCs w:val="28"/>
          <w:lang w:bidi="ru-RU"/>
        </w:rPr>
        <w:t xml:space="preserve"> июля </w:t>
      </w:r>
      <w:r w:rsidRPr="006226DB">
        <w:rPr>
          <w:sz w:val="28"/>
          <w:szCs w:val="28"/>
          <w:lang w:bidi="ru-RU"/>
        </w:rPr>
        <w:t>2022</w:t>
      </w:r>
      <w:r w:rsidR="00C571A0">
        <w:rPr>
          <w:sz w:val="28"/>
          <w:szCs w:val="28"/>
          <w:lang w:bidi="ru-RU"/>
        </w:rPr>
        <w:t xml:space="preserve"> г.</w:t>
      </w:r>
      <w:r w:rsidRPr="006226DB">
        <w:rPr>
          <w:sz w:val="28"/>
          <w:szCs w:val="28"/>
          <w:lang w:bidi="ru-RU"/>
        </w:rPr>
        <w:t>) (с изм. и доп., вступ. в силу с 01.01.2023</w:t>
      </w:r>
      <w:r w:rsidRPr="006226DB">
        <w:rPr>
          <w:color w:val="000000" w:themeColor="text1"/>
          <w:sz w:val="28"/>
          <w:szCs w:val="28"/>
          <w:lang w:bidi="ru-RU"/>
        </w:rPr>
        <w:t>)</w:t>
      </w:r>
      <w:r w:rsidRPr="00113939">
        <w:rPr>
          <w:b/>
          <w:bCs/>
          <w:color w:val="FF0000"/>
          <w:sz w:val="28"/>
          <w:szCs w:val="28"/>
          <w:lang w:bidi="ru-RU"/>
        </w:rPr>
        <w:t xml:space="preserve"> </w:t>
      </w:r>
      <w:r w:rsidRPr="00113939">
        <w:rPr>
          <w:bCs/>
          <w:sz w:val="28"/>
          <w:szCs w:val="28"/>
          <w:lang w:bidi="ru-RU"/>
        </w:rPr>
        <w:t>ст. 21 (в ред. ФЗ от 14</w:t>
      </w:r>
      <w:r w:rsidR="00C571A0">
        <w:rPr>
          <w:bCs/>
          <w:sz w:val="28"/>
          <w:szCs w:val="28"/>
          <w:lang w:bidi="ru-RU"/>
        </w:rPr>
        <w:t xml:space="preserve"> июля </w:t>
      </w:r>
      <w:r w:rsidRPr="00113939">
        <w:rPr>
          <w:bCs/>
          <w:sz w:val="28"/>
          <w:szCs w:val="28"/>
          <w:lang w:bidi="ru-RU"/>
        </w:rPr>
        <w:t>2022</w:t>
      </w:r>
      <w:r w:rsidR="00C571A0">
        <w:rPr>
          <w:bCs/>
          <w:sz w:val="28"/>
          <w:szCs w:val="28"/>
          <w:lang w:bidi="ru-RU"/>
        </w:rPr>
        <w:t xml:space="preserve"> года</w:t>
      </w:r>
      <w:r w:rsidRPr="00113939">
        <w:rPr>
          <w:bCs/>
          <w:sz w:val="28"/>
          <w:szCs w:val="28"/>
          <w:lang w:bidi="ru-RU"/>
        </w:rPr>
        <w:t xml:space="preserve"> </w:t>
      </w:r>
      <w:r w:rsidR="00C571A0">
        <w:rPr>
          <w:bCs/>
          <w:sz w:val="28"/>
          <w:szCs w:val="28"/>
          <w:lang w:bidi="ru-RU"/>
        </w:rPr>
        <w:t>№</w:t>
      </w:r>
      <w:r w:rsidRPr="00113939">
        <w:rPr>
          <w:bCs/>
          <w:sz w:val="28"/>
          <w:szCs w:val="28"/>
          <w:lang w:bidi="ru-RU"/>
        </w:rPr>
        <w:t xml:space="preserve"> 264-ФЗ)</w:t>
      </w:r>
      <w:r w:rsidR="006F22AB" w:rsidRPr="00113939">
        <w:rPr>
          <w:bCs/>
          <w:sz w:val="28"/>
          <w:szCs w:val="28"/>
          <w:lang w:bidi="ru-RU"/>
        </w:rPr>
        <w:t>, который</w:t>
      </w:r>
      <w:r w:rsidRPr="00113939">
        <w:rPr>
          <w:bCs/>
          <w:sz w:val="28"/>
          <w:szCs w:val="28"/>
          <w:lang w:bidi="ru-RU"/>
        </w:rPr>
        <w:t xml:space="preserve"> </w:t>
      </w:r>
      <w:hyperlink r:id="rId16" w:history="1">
        <w:r w:rsidRPr="00113939">
          <w:rPr>
            <w:bCs/>
            <w:color w:val="000000" w:themeColor="text1"/>
            <w:sz w:val="28"/>
            <w:szCs w:val="28"/>
            <w:lang w:bidi="ru-RU"/>
          </w:rPr>
          <w:t>применяется</w:t>
        </w:r>
      </w:hyperlink>
      <w:r w:rsidRPr="00113939">
        <w:rPr>
          <w:bCs/>
          <w:sz w:val="28"/>
          <w:szCs w:val="28"/>
          <w:lang w:bidi="ru-RU"/>
        </w:rPr>
        <w:t xml:space="preserve"> к правоотношениям, возникающим при составлении, утверждении и исполнении бюджетов, начиная с бюджетов на 2023 г</w:t>
      </w:r>
      <w:r w:rsidR="006226DB">
        <w:rPr>
          <w:bCs/>
          <w:sz w:val="28"/>
          <w:szCs w:val="28"/>
          <w:lang w:bidi="ru-RU"/>
        </w:rPr>
        <w:t>од</w:t>
      </w:r>
      <w:r w:rsidRPr="00113939">
        <w:rPr>
          <w:bCs/>
          <w:sz w:val="28"/>
          <w:szCs w:val="28"/>
          <w:lang w:bidi="ru-RU"/>
        </w:rPr>
        <w:t xml:space="preserve"> и на плановый период 2024 и 2025</w:t>
      </w:r>
      <w:proofErr w:type="gramEnd"/>
      <w:r w:rsidRPr="00113939">
        <w:rPr>
          <w:bCs/>
          <w:sz w:val="28"/>
          <w:szCs w:val="28"/>
          <w:lang w:bidi="ru-RU"/>
        </w:rPr>
        <w:t xml:space="preserve"> г</w:t>
      </w:r>
      <w:r w:rsidR="006226DB">
        <w:rPr>
          <w:bCs/>
          <w:sz w:val="28"/>
          <w:szCs w:val="28"/>
          <w:lang w:bidi="ru-RU"/>
        </w:rPr>
        <w:t>одов.</w:t>
      </w:r>
      <w:r w:rsidRPr="00113939">
        <w:rPr>
          <w:b/>
          <w:bCs/>
          <w:sz w:val="28"/>
          <w:szCs w:val="28"/>
          <w:lang w:bidi="ru-RU"/>
        </w:rPr>
        <w:t xml:space="preserve"> </w:t>
      </w:r>
      <w:r w:rsidRPr="00113939">
        <w:rPr>
          <w:bCs/>
          <w:sz w:val="28"/>
          <w:szCs w:val="28"/>
          <w:lang w:bidi="ru-RU"/>
        </w:rPr>
        <w:t>Также</w:t>
      </w:r>
      <w:r w:rsidR="006F22AB" w:rsidRPr="00113939">
        <w:rPr>
          <w:bCs/>
          <w:sz w:val="28"/>
          <w:szCs w:val="28"/>
          <w:lang w:bidi="ru-RU"/>
        </w:rPr>
        <w:t xml:space="preserve"> как и</w:t>
      </w:r>
      <w:r w:rsidRPr="00113939">
        <w:rPr>
          <w:b/>
          <w:bCs/>
          <w:sz w:val="28"/>
          <w:szCs w:val="28"/>
          <w:lang w:bidi="ru-RU"/>
        </w:rPr>
        <w:t xml:space="preserve"> </w:t>
      </w:r>
      <w:r w:rsidRPr="006226DB">
        <w:rPr>
          <w:sz w:val="28"/>
          <w:szCs w:val="28"/>
          <w:lang w:bidi="ru-RU"/>
        </w:rPr>
        <w:t>Федеральный закон от 26</w:t>
      </w:r>
      <w:r w:rsidR="006226DB">
        <w:rPr>
          <w:sz w:val="28"/>
          <w:szCs w:val="28"/>
          <w:lang w:bidi="ru-RU"/>
        </w:rPr>
        <w:t xml:space="preserve"> февраля </w:t>
      </w:r>
      <w:r w:rsidRPr="006226DB">
        <w:rPr>
          <w:sz w:val="28"/>
          <w:szCs w:val="28"/>
          <w:lang w:bidi="ru-RU"/>
        </w:rPr>
        <w:t>1997</w:t>
      </w:r>
      <w:r w:rsidR="006226DB">
        <w:rPr>
          <w:sz w:val="28"/>
          <w:szCs w:val="28"/>
          <w:lang w:bidi="ru-RU"/>
        </w:rPr>
        <w:t xml:space="preserve"> года</w:t>
      </w:r>
      <w:r w:rsidRPr="006226DB">
        <w:rPr>
          <w:sz w:val="28"/>
          <w:szCs w:val="28"/>
          <w:lang w:bidi="ru-RU"/>
        </w:rPr>
        <w:t xml:space="preserve"> </w:t>
      </w:r>
      <w:r w:rsidR="006226DB">
        <w:rPr>
          <w:sz w:val="28"/>
          <w:szCs w:val="28"/>
          <w:lang w:bidi="ru-RU"/>
        </w:rPr>
        <w:t>№</w:t>
      </w:r>
      <w:r w:rsidRPr="006226DB">
        <w:rPr>
          <w:sz w:val="28"/>
          <w:szCs w:val="28"/>
          <w:lang w:bidi="ru-RU"/>
        </w:rPr>
        <w:t xml:space="preserve"> 31-ФЗ (ред. от 14</w:t>
      </w:r>
      <w:r w:rsidR="006226DB">
        <w:rPr>
          <w:sz w:val="28"/>
          <w:szCs w:val="28"/>
          <w:lang w:bidi="ru-RU"/>
        </w:rPr>
        <w:t xml:space="preserve"> июля </w:t>
      </w:r>
      <w:r w:rsidRPr="006226DB">
        <w:rPr>
          <w:sz w:val="28"/>
          <w:szCs w:val="28"/>
          <w:lang w:bidi="ru-RU"/>
        </w:rPr>
        <w:t>2022</w:t>
      </w:r>
      <w:r w:rsidR="006226DB">
        <w:rPr>
          <w:sz w:val="28"/>
          <w:szCs w:val="28"/>
          <w:lang w:bidi="ru-RU"/>
        </w:rPr>
        <w:t xml:space="preserve"> года</w:t>
      </w:r>
      <w:r w:rsidRPr="006226DB">
        <w:rPr>
          <w:sz w:val="28"/>
          <w:szCs w:val="28"/>
          <w:lang w:bidi="ru-RU"/>
        </w:rPr>
        <w:t>) «О мобилизационной подготовке и мобилизации в Российской Федерации» (с изм. и доп., вступ. в силу с 13</w:t>
      </w:r>
      <w:r w:rsidR="006226DB">
        <w:rPr>
          <w:sz w:val="28"/>
          <w:szCs w:val="28"/>
          <w:lang w:bidi="ru-RU"/>
        </w:rPr>
        <w:t xml:space="preserve"> октября </w:t>
      </w:r>
      <w:r w:rsidRPr="006226DB">
        <w:rPr>
          <w:sz w:val="28"/>
          <w:szCs w:val="28"/>
          <w:lang w:bidi="ru-RU"/>
        </w:rPr>
        <w:t>2022</w:t>
      </w:r>
      <w:r w:rsidR="006226DB">
        <w:rPr>
          <w:sz w:val="28"/>
          <w:szCs w:val="28"/>
          <w:lang w:bidi="ru-RU"/>
        </w:rPr>
        <w:t xml:space="preserve"> года</w:t>
      </w:r>
      <w:r w:rsidRPr="006226DB">
        <w:rPr>
          <w:sz w:val="28"/>
          <w:szCs w:val="28"/>
          <w:lang w:bidi="ru-RU"/>
        </w:rPr>
        <w:t>)</w:t>
      </w:r>
      <w:r w:rsidRPr="00113939">
        <w:rPr>
          <w:b/>
          <w:bCs/>
          <w:sz w:val="28"/>
          <w:szCs w:val="28"/>
        </w:rPr>
        <w:t xml:space="preserve"> </w:t>
      </w:r>
      <w:r w:rsidRPr="00113939">
        <w:rPr>
          <w:bCs/>
          <w:sz w:val="28"/>
          <w:szCs w:val="28"/>
        </w:rPr>
        <w:t>в</w:t>
      </w:r>
      <w:r w:rsidR="006F22AB" w:rsidRPr="00113939">
        <w:rPr>
          <w:bCs/>
          <w:sz w:val="28"/>
          <w:szCs w:val="28"/>
        </w:rPr>
        <w:t>ключающий</w:t>
      </w:r>
      <w:r w:rsidRPr="00113939">
        <w:rPr>
          <w:bCs/>
          <w:sz w:val="28"/>
          <w:szCs w:val="28"/>
        </w:rPr>
        <w:t xml:space="preserve"> </w:t>
      </w:r>
      <w:r w:rsidRPr="00113939">
        <w:rPr>
          <w:bCs/>
          <w:sz w:val="28"/>
          <w:szCs w:val="28"/>
          <w:lang w:bidi="ru-RU"/>
        </w:rPr>
        <w:t>стать</w:t>
      </w:r>
      <w:r w:rsidR="006F22AB" w:rsidRPr="00113939">
        <w:rPr>
          <w:bCs/>
          <w:sz w:val="28"/>
          <w:szCs w:val="28"/>
          <w:lang w:bidi="ru-RU"/>
        </w:rPr>
        <w:t>и:</w:t>
      </w:r>
      <w:r w:rsidRPr="00113939">
        <w:rPr>
          <w:bCs/>
          <w:sz w:val="28"/>
          <w:szCs w:val="28"/>
          <w:lang w:bidi="ru-RU"/>
        </w:rPr>
        <w:t xml:space="preserve"> 1. Основные понятия п. 1. </w:t>
      </w:r>
      <w:r w:rsidR="006226DB">
        <w:rPr>
          <w:bCs/>
          <w:sz w:val="28"/>
          <w:szCs w:val="28"/>
          <w:lang w:bidi="ru-RU"/>
        </w:rPr>
        <w:t>«</w:t>
      </w:r>
      <w:r w:rsidRPr="00113939">
        <w:rPr>
          <w:bCs/>
          <w:sz w:val="28"/>
          <w:szCs w:val="28"/>
          <w:lang w:bidi="ru-RU"/>
        </w:rPr>
        <w:t>под мобилизационной подготовкой в Российской Федерации понимается комплекс мероприятий, проводимых в мирное время</w:t>
      </w:r>
      <w:r w:rsidR="006226DB">
        <w:rPr>
          <w:bCs/>
          <w:sz w:val="28"/>
          <w:szCs w:val="28"/>
          <w:lang w:bidi="ru-RU"/>
        </w:rPr>
        <w:t>»</w:t>
      </w:r>
      <w:r w:rsidR="006F22AB" w:rsidRPr="00113939">
        <w:rPr>
          <w:bCs/>
          <w:sz w:val="28"/>
          <w:szCs w:val="28"/>
          <w:lang w:bidi="ru-RU"/>
        </w:rPr>
        <w:t>;</w:t>
      </w:r>
      <w:r w:rsidRPr="00113939">
        <w:rPr>
          <w:bCs/>
          <w:sz w:val="28"/>
          <w:szCs w:val="28"/>
          <w:lang w:bidi="ru-RU"/>
        </w:rPr>
        <w:t xml:space="preserve"> п. 2.</w:t>
      </w:r>
      <w:r w:rsidR="006F22AB" w:rsidRPr="00113939">
        <w:rPr>
          <w:bCs/>
          <w:sz w:val="28"/>
          <w:szCs w:val="28"/>
          <w:lang w:bidi="ru-RU"/>
        </w:rPr>
        <w:t xml:space="preserve"> где определяется, что</w:t>
      </w:r>
      <w:r w:rsidRPr="00113939">
        <w:rPr>
          <w:bCs/>
          <w:sz w:val="28"/>
          <w:szCs w:val="28"/>
          <w:lang w:bidi="ru-RU"/>
        </w:rPr>
        <w:t xml:space="preserve"> 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w:t>
      </w:r>
      <w:r w:rsidR="006F22AB" w:rsidRPr="00113939">
        <w:rPr>
          <w:bCs/>
          <w:sz w:val="28"/>
          <w:szCs w:val="28"/>
          <w:lang w:bidi="ru-RU"/>
        </w:rPr>
        <w:t xml:space="preserve"> в режим мобилизации;</w:t>
      </w:r>
      <w:r w:rsidRPr="00113939">
        <w:rPr>
          <w:bCs/>
          <w:sz w:val="28"/>
          <w:szCs w:val="28"/>
          <w:lang w:bidi="ru-RU"/>
        </w:rPr>
        <w:t xml:space="preserve"> абзац 2 п. 2</w:t>
      </w:r>
      <w:r w:rsidR="006F22AB" w:rsidRPr="00113939">
        <w:rPr>
          <w:bCs/>
          <w:sz w:val="28"/>
          <w:szCs w:val="28"/>
          <w:lang w:bidi="ru-RU"/>
        </w:rPr>
        <w:t>, в котором предусмотрено</w:t>
      </w:r>
      <w:r w:rsidRPr="00113939">
        <w:rPr>
          <w:bCs/>
          <w:sz w:val="28"/>
          <w:szCs w:val="28"/>
          <w:lang w:bidi="ru-RU"/>
        </w:rPr>
        <w:t>,</w:t>
      </w:r>
      <w:r w:rsidR="006F22AB" w:rsidRPr="00113939">
        <w:rPr>
          <w:bCs/>
          <w:sz w:val="28"/>
          <w:szCs w:val="28"/>
          <w:lang w:bidi="ru-RU"/>
        </w:rPr>
        <w:t xml:space="preserve"> ч</w:t>
      </w:r>
      <w:r w:rsidR="006226DB">
        <w:rPr>
          <w:bCs/>
          <w:sz w:val="28"/>
          <w:szCs w:val="28"/>
          <w:lang w:bidi="ru-RU"/>
        </w:rPr>
        <w:t>то</w:t>
      </w:r>
      <w:r w:rsidRPr="00113939">
        <w:rPr>
          <w:bCs/>
          <w:sz w:val="28"/>
          <w:szCs w:val="28"/>
          <w:lang w:bidi="ru-RU"/>
        </w:rPr>
        <w:t xml:space="preserve"> «мобилизация в Российской Федерации может быть общей или частичной»</w:t>
      </w:r>
      <w:r w:rsidRPr="00113939">
        <w:rPr>
          <w:bCs/>
          <w:sz w:val="28"/>
          <w:szCs w:val="28"/>
          <w:vertAlign w:val="superscript"/>
          <w:lang w:bidi="ru-RU"/>
        </w:rPr>
        <w:footnoteReference w:id="30"/>
      </w:r>
      <w:r w:rsidRPr="00113939">
        <w:rPr>
          <w:bCs/>
          <w:sz w:val="28"/>
          <w:szCs w:val="28"/>
          <w:lang w:bidi="ru-RU"/>
        </w:rPr>
        <w:t xml:space="preserve">. </w:t>
      </w:r>
    </w:p>
    <w:p w14:paraId="7E5F0C66" w14:textId="299E74AD" w:rsidR="00C5374A" w:rsidRPr="00113939" w:rsidRDefault="00C5374A" w:rsidP="00113939">
      <w:pPr>
        <w:spacing w:line="360" w:lineRule="auto"/>
        <w:ind w:firstLine="709"/>
        <w:contextualSpacing/>
        <w:jc w:val="both"/>
        <w:rPr>
          <w:color w:val="000000" w:themeColor="text1"/>
          <w:sz w:val="28"/>
          <w:szCs w:val="28"/>
        </w:rPr>
      </w:pPr>
      <w:r w:rsidRPr="00113939">
        <w:rPr>
          <w:bCs/>
          <w:sz w:val="28"/>
          <w:szCs w:val="28"/>
          <w:lang w:bidi="ru-RU"/>
        </w:rPr>
        <w:t xml:space="preserve">Отсутствие в </w:t>
      </w:r>
      <w:r w:rsidR="006F22AB" w:rsidRPr="00113939">
        <w:rPr>
          <w:bCs/>
          <w:sz w:val="28"/>
          <w:szCs w:val="28"/>
          <w:lang w:bidi="ru-RU"/>
        </w:rPr>
        <w:t xml:space="preserve">Проекте </w:t>
      </w:r>
      <w:r w:rsidR="006F22AB" w:rsidRPr="00113939">
        <w:rPr>
          <w:bCs/>
          <w:sz w:val="28"/>
          <w:szCs w:val="28"/>
        </w:rPr>
        <w:t>федерального закона «О федеральном бюджете на 2023 год и на плановый период 2024 и 2025 годов»</w:t>
      </w:r>
      <w:r w:rsidR="006F22AB" w:rsidRPr="00113939">
        <w:rPr>
          <w:bCs/>
          <w:sz w:val="28"/>
          <w:szCs w:val="28"/>
          <w:lang w:bidi="ru-RU"/>
        </w:rPr>
        <w:t>, как и в Прогнозе Социально-экономического развития РФ</w:t>
      </w:r>
      <w:r w:rsidR="001A0E23" w:rsidRPr="00113939">
        <w:rPr>
          <w:bCs/>
          <w:sz w:val="28"/>
          <w:szCs w:val="28"/>
          <w:lang w:bidi="ru-RU"/>
        </w:rPr>
        <w:t xml:space="preserve"> </w:t>
      </w:r>
      <w:r w:rsidR="001A0E23" w:rsidRPr="00113939">
        <w:rPr>
          <w:bCs/>
          <w:sz w:val="28"/>
          <w:szCs w:val="28"/>
        </w:rPr>
        <w:t>на 2023 год и на плановый период 2024 и 2025 годов</w:t>
      </w:r>
      <w:r w:rsidR="004E7624" w:rsidRPr="00113939">
        <w:rPr>
          <w:bCs/>
          <w:sz w:val="28"/>
          <w:szCs w:val="28"/>
          <w:lang w:bidi="ru-RU"/>
        </w:rPr>
        <w:t xml:space="preserve"> запланированных</w:t>
      </w:r>
      <w:r w:rsidRPr="00113939">
        <w:rPr>
          <w:bCs/>
          <w:sz w:val="28"/>
          <w:szCs w:val="28"/>
          <w:lang w:bidi="ru-RU"/>
        </w:rPr>
        <w:t xml:space="preserve"> мероприятий по </w:t>
      </w:r>
      <w:r w:rsidR="004E7624" w:rsidRPr="00113939">
        <w:rPr>
          <w:bCs/>
          <w:sz w:val="28"/>
          <w:szCs w:val="28"/>
          <w:lang w:bidi="ru-RU"/>
        </w:rPr>
        <w:t xml:space="preserve">формированию </w:t>
      </w:r>
      <w:r w:rsidRPr="00113939">
        <w:rPr>
          <w:bCs/>
          <w:sz w:val="28"/>
          <w:szCs w:val="28"/>
          <w:lang w:bidi="ru-RU"/>
        </w:rPr>
        <w:t>мобилизационной экономик</w:t>
      </w:r>
      <w:r w:rsidR="004E7624" w:rsidRPr="00113939">
        <w:rPr>
          <w:bCs/>
          <w:sz w:val="28"/>
          <w:szCs w:val="28"/>
          <w:lang w:bidi="ru-RU"/>
        </w:rPr>
        <w:t>и,</w:t>
      </w:r>
      <w:r w:rsidR="006F22AB" w:rsidRPr="00113939">
        <w:rPr>
          <w:bCs/>
          <w:sz w:val="28"/>
          <w:szCs w:val="28"/>
          <w:lang w:bidi="ru-RU"/>
        </w:rPr>
        <w:t xml:space="preserve"> соответствующих разделов и расходных </w:t>
      </w:r>
      <w:proofErr w:type="gramStart"/>
      <w:r w:rsidR="006F22AB" w:rsidRPr="00113939">
        <w:rPr>
          <w:bCs/>
          <w:sz w:val="28"/>
          <w:szCs w:val="28"/>
          <w:lang w:bidi="ru-RU"/>
        </w:rPr>
        <w:t>статей</w:t>
      </w:r>
      <w:proofErr w:type="gramEnd"/>
      <w:r w:rsidR="006F22AB" w:rsidRPr="00113939">
        <w:rPr>
          <w:bCs/>
          <w:sz w:val="28"/>
          <w:szCs w:val="28"/>
          <w:lang w:bidi="ru-RU"/>
        </w:rPr>
        <w:t xml:space="preserve"> </w:t>
      </w:r>
      <w:r w:rsidR="004E7624" w:rsidRPr="00113939">
        <w:rPr>
          <w:bCs/>
          <w:sz w:val="28"/>
          <w:szCs w:val="28"/>
          <w:lang w:bidi="ru-RU"/>
        </w:rPr>
        <w:t>обеспечивающих</w:t>
      </w:r>
      <w:r w:rsidR="006F22AB" w:rsidRPr="00113939">
        <w:rPr>
          <w:bCs/>
          <w:sz w:val="28"/>
          <w:szCs w:val="28"/>
          <w:lang w:bidi="ru-RU"/>
        </w:rPr>
        <w:t xml:space="preserve"> условия перевода российской экономики на</w:t>
      </w:r>
      <w:r w:rsidR="004E7624" w:rsidRPr="00113939">
        <w:rPr>
          <w:bCs/>
          <w:sz w:val="28"/>
          <w:szCs w:val="28"/>
          <w:lang w:bidi="ru-RU"/>
        </w:rPr>
        <w:t xml:space="preserve"> приоритетное решение задач</w:t>
      </w:r>
      <w:r w:rsidR="006F22AB" w:rsidRPr="00113939">
        <w:rPr>
          <w:bCs/>
          <w:sz w:val="28"/>
          <w:szCs w:val="28"/>
          <w:lang w:bidi="ru-RU"/>
        </w:rPr>
        <w:t xml:space="preserve"> ускоренного развития и финансового обеспечения ВПК</w:t>
      </w:r>
      <w:r w:rsidRPr="00113939">
        <w:rPr>
          <w:bCs/>
          <w:sz w:val="28"/>
          <w:szCs w:val="28"/>
          <w:lang w:bidi="ru-RU"/>
        </w:rPr>
        <w:t xml:space="preserve"> </w:t>
      </w:r>
      <w:r w:rsidRPr="006226DB">
        <w:rPr>
          <w:i/>
          <w:iCs/>
          <w:sz w:val="28"/>
          <w:szCs w:val="28"/>
          <w:lang w:bidi="ru-RU"/>
        </w:rPr>
        <w:t>несет существенную угрозу экономической безопасности России</w:t>
      </w:r>
      <w:r w:rsidR="006F22AB" w:rsidRPr="006226DB">
        <w:rPr>
          <w:i/>
          <w:iCs/>
          <w:sz w:val="28"/>
          <w:szCs w:val="28"/>
          <w:lang w:bidi="ru-RU"/>
        </w:rPr>
        <w:t xml:space="preserve"> как суверенного государства.</w:t>
      </w:r>
      <w:r w:rsidR="000009B9" w:rsidRPr="006226DB">
        <w:rPr>
          <w:i/>
          <w:iCs/>
          <w:sz w:val="28"/>
          <w:szCs w:val="28"/>
          <w:lang w:bidi="ru-RU"/>
        </w:rPr>
        <w:t xml:space="preserve"> </w:t>
      </w:r>
    </w:p>
    <w:p w14:paraId="0E9E9DE4" w14:textId="77777777" w:rsidR="00C5374A" w:rsidRDefault="00C5374A" w:rsidP="004A457A">
      <w:pPr>
        <w:ind w:firstLine="360"/>
        <w:jc w:val="both"/>
        <w:rPr>
          <w:b/>
          <w:sz w:val="28"/>
          <w:szCs w:val="28"/>
        </w:rPr>
      </w:pPr>
    </w:p>
    <w:p w14:paraId="2A7C3AA2" w14:textId="7AE22008" w:rsidR="00411064" w:rsidRDefault="00411064" w:rsidP="004A457A">
      <w:pPr>
        <w:ind w:firstLine="360"/>
        <w:jc w:val="both"/>
        <w:rPr>
          <w:b/>
          <w:sz w:val="28"/>
          <w:szCs w:val="28"/>
        </w:rPr>
      </w:pPr>
    </w:p>
    <w:sectPr w:rsidR="00411064" w:rsidSect="007E4B5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B6D88" w14:textId="77777777" w:rsidR="00005928" w:rsidRDefault="00005928" w:rsidP="006565C3">
      <w:r>
        <w:separator/>
      </w:r>
    </w:p>
  </w:endnote>
  <w:endnote w:type="continuationSeparator" w:id="0">
    <w:p w14:paraId="117DDCCE" w14:textId="77777777" w:rsidR="00005928" w:rsidRDefault="00005928" w:rsidP="0065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76653"/>
      <w:docPartObj>
        <w:docPartGallery w:val="Page Numbers (Bottom of Page)"/>
        <w:docPartUnique/>
      </w:docPartObj>
    </w:sdtPr>
    <w:sdtContent>
      <w:p w14:paraId="1074188C" w14:textId="0F9E45B1" w:rsidR="00005928" w:rsidRDefault="00005928">
        <w:pPr>
          <w:pStyle w:val="a8"/>
          <w:jc w:val="right"/>
        </w:pPr>
        <w:r>
          <w:fldChar w:fldCharType="begin"/>
        </w:r>
        <w:r>
          <w:instrText>PAGE   \* MERGEFORMAT</w:instrText>
        </w:r>
        <w:r>
          <w:fldChar w:fldCharType="separate"/>
        </w:r>
        <w:r w:rsidR="001E5B8B">
          <w:rPr>
            <w:noProof/>
          </w:rPr>
          <w:t>83</w:t>
        </w:r>
        <w:r>
          <w:fldChar w:fldCharType="end"/>
        </w:r>
      </w:p>
    </w:sdtContent>
  </w:sdt>
  <w:p w14:paraId="06E61A8D" w14:textId="77777777" w:rsidR="00005928" w:rsidRDefault="000059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3E155" w14:textId="77777777" w:rsidR="00005928" w:rsidRDefault="00005928" w:rsidP="006565C3">
      <w:r>
        <w:separator/>
      </w:r>
    </w:p>
  </w:footnote>
  <w:footnote w:type="continuationSeparator" w:id="0">
    <w:p w14:paraId="5B8EAA8D" w14:textId="77777777" w:rsidR="00005928" w:rsidRDefault="00005928" w:rsidP="006565C3">
      <w:r>
        <w:continuationSeparator/>
      </w:r>
    </w:p>
  </w:footnote>
  <w:footnote w:id="1">
    <w:p w14:paraId="53A295B1" w14:textId="59B05BB1" w:rsidR="00005928" w:rsidRPr="00F60BC1" w:rsidRDefault="00005928" w:rsidP="00E22AD6">
      <w:pPr>
        <w:pStyle w:val="ab"/>
        <w:contextualSpacing/>
        <w:jc w:val="both"/>
      </w:pPr>
      <w:r w:rsidRPr="00F60BC1">
        <w:rPr>
          <w:rStyle w:val="aa"/>
          <w:rFonts w:eastAsiaTheme="minorHAnsi"/>
        </w:rPr>
        <w:footnoteRef/>
      </w:r>
      <w:r w:rsidRPr="00F60BC1">
        <w:t xml:space="preserve"> Пояснительная записка к Проекту Федерального закона «О федеральном </w:t>
      </w:r>
      <w:proofErr w:type="gramStart"/>
      <w:r w:rsidRPr="00F60BC1">
        <w:t>бюджете</w:t>
      </w:r>
      <w:proofErr w:type="gramEnd"/>
      <w:r w:rsidRPr="00F60BC1">
        <w:t xml:space="preserve"> на 2023 год и на плановый период 2024 и 2025 годов.  Электронный ресурс: https://sozd.duma.gov.ru/bill/201614-8 (дата обращения 05.10.2022).</w:t>
      </w:r>
    </w:p>
  </w:footnote>
  <w:footnote w:id="2">
    <w:p w14:paraId="1F558843" w14:textId="16CA3ABF" w:rsidR="00005928" w:rsidRPr="00F60BC1" w:rsidRDefault="00005928" w:rsidP="00E22AD6">
      <w:pPr>
        <w:pStyle w:val="ab"/>
        <w:contextualSpacing/>
        <w:jc w:val="both"/>
      </w:pPr>
      <w:r w:rsidRPr="00F60BC1">
        <w:rPr>
          <w:rStyle w:val="aa"/>
          <w:rFonts w:eastAsiaTheme="minorHAnsi"/>
        </w:rPr>
        <w:footnoteRef/>
      </w:r>
      <w:r w:rsidRPr="00F60BC1">
        <w:t xml:space="preserve"> Там же, с. 24.</w:t>
      </w:r>
    </w:p>
  </w:footnote>
  <w:footnote w:id="3">
    <w:p w14:paraId="648CC2C1" w14:textId="0C47AAB9" w:rsidR="00005928" w:rsidRDefault="00005928">
      <w:pPr>
        <w:pStyle w:val="ab"/>
      </w:pPr>
      <w:r>
        <w:rPr>
          <w:rStyle w:val="aa"/>
        </w:rPr>
        <w:footnoteRef/>
      </w:r>
      <w:r>
        <w:t xml:space="preserve"> Там же, с. 24.</w:t>
      </w:r>
    </w:p>
  </w:footnote>
  <w:footnote w:id="4">
    <w:p w14:paraId="71EE2200" w14:textId="0E4D3584" w:rsidR="00005928" w:rsidRDefault="00005928">
      <w:pPr>
        <w:pStyle w:val="ab"/>
      </w:pPr>
      <w:r>
        <w:rPr>
          <w:rStyle w:val="aa"/>
        </w:rPr>
        <w:footnoteRef/>
      </w:r>
      <w:r>
        <w:t xml:space="preserve"> Там же, с. 26.</w:t>
      </w:r>
    </w:p>
  </w:footnote>
  <w:footnote w:id="5">
    <w:p w14:paraId="31798AC2" w14:textId="5F5861F7" w:rsidR="00005928" w:rsidRPr="0085442D" w:rsidRDefault="00005928">
      <w:pPr>
        <w:pStyle w:val="ab"/>
      </w:pPr>
      <w:r w:rsidRPr="0085442D">
        <w:rPr>
          <w:rStyle w:val="aa"/>
        </w:rPr>
        <w:footnoteRef/>
      </w:r>
      <w:r w:rsidRPr="0085442D">
        <w:t xml:space="preserve"> Там же, с. 29. </w:t>
      </w:r>
    </w:p>
  </w:footnote>
  <w:footnote w:id="6">
    <w:p w14:paraId="2F592777" w14:textId="77777777" w:rsidR="00005928" w:rsidRPr="0085442D" w:rsidRDefault="00005928" w:rsidP="00E22AD6">
      <w:pPr>
        <w:pStyle w:val="ab"/>
        <w:jc w:val="both"/>
      </w:pPr>
      <w:r w:rsidRPr="0085442D">
        <w:rPr>
          <w:rStyle w:val="aa"/>
          <w:rFonts w:eastAsiaTheme="minorHAnsi"/>
          <w:color w:val="000000" w:themeColor="text1"/>
        </w:rPr>
        <w:footnoteRef/>
      </w:r>
      <w:r w:rsidRPr="0085442D">
        <w:rPr>
          <w:color w:val="000000" w:themeColor="text1"/>
        </w:rPr>
        <w:t xml:space="preserve"> Официальный сайт</w:t>
      </w:r>
      <w:r w:rsidRPr="0085442D">
        <w:rPr>
          <w:rFonts w:ascii="Arial" w:eastAsiaTheme="minorHAnsi" w:hAnsi="Arial" w:cs="Arial"/>
          <w:color w:val="000000" w:themeColor="text1"/>
          <w:shd w:val="clear" w:color="auto" w:fill="FFFFFF"/>
          <w:lang w:eastAsia="en-US"/>
        </w:rPr>
        <w:t xml:space="preserve"> </w:t>
      </w:r>
      <w:r w:rsidRPr="0085442D">
        <w:rPr>
          <w:bCs/>
          <w:color w:val="000000" w:themeColor="text1"/>
        </w:rPr>
        <w:t>Счетной</w:t>
      </w:r>
      <w:r w:rsidRPr="0085442D">
        <w:rPr>
          <w:color w:val="000000" w:themeColor="text1"/>
        </w:rPr>
        <w:t> </w:t>
      </w:r>
      <w:r w:rsidRPr="0085442D">
        <w:rPr>
          <w:bCs/>
          <w:color w:val="000000" w:themeColor="text1"/>
        </w:rPr>
        <w:t>палаты</w:t>
      </w:r>
      <w:r w:rsidRPr="0085442D">
        <w:rPr>
          <w:color w:val="000000" w:themeColor="text1"/>
        </w:rPr>
        <w:t xml:space="preserve"> Российской Федерации </w:t>
      </w:r>
      <w:hyperlink r:id="rId1" w:history="1">
        <w:r w:rsidRPr="0085442D">
          <w:rPr>
            <w:rStyle w:val="ad"/>
            <w:color w:val="000000" w:themeColor="text1"/>
            <w:u w:val="none"/>
          </w:rPr>
          <w:t>https://ach.gov.ru/search</w:t>
        </w:r>
      </w:hyperlink>
      <w:r w:rsidRPr="0085442D">
        <w:rPr>
          <w:color w:val="000000" w:themeColor="text1"/>
        </w:rPr>
        <w:t xml:space="preserve"> (дата обращения 09.10.2022).</w:t>
      </w:r>
    </w:p>
  </w:footnote>
  <w:footnote w:id="7">
    <w:p w14:paraId="7560F97E" w14:textId="77777777" w:rsidR="00005928" w:rsidRPr="008A0B13" w:rsidRDefault="00005928" w:rsidP="00DC5282">
      <w:pPr>
        <w:pStyle w:val="ab"/>
        <w:jc w:val="both"/>
      </w:pPr>
      <w:r w:rsidRPr="008A0B13">
        <w:rPr>
          <w:rStyle w:val="af2"/>
          <w:vertAlign w:val="superscript"/>
        </w:rPr>
        <w:footnoteRef/>
      </w:r>
      <w:r w:rsidRPr="008A0B13">
        <w:t xml:space="preserve"> Здесь и далее, если не оговорено дополнительно, приводятся фактические данные за периоды до 1.07.2022 г. Итоги текущего 2022 г. приводятся по предварительной оценке Минфина, а последующие годы – по данным Законопроекта.</w:t>
      </w:r>
    </w:p>
  </w:footnote>
  <w:footnote w:id="8">
    <w:p w14:paraId="7E87B548" w14:textId="77777777" w:rsidR="00005928" w:rsidRPr="00E22AD6" w:rsidRDefault="00005928" w:rsidP="004275CE">
      <w:pPr>
        <w:pStyle w:val="ab"/>
        <w:jc w:val="both"/>
        <w:rPr>
          <w:sz w:val="24"/>
          <w:szCs w:val="24"/>
        </w:rPr>
      </w:pPr>
      <w:r w:rsidRPr="00E22AD6">
        <w:rPr>
          <w:rStyle w:val="aa"/>
          <w:rFonts w:eastAsiaTheme="minorHAnsi"/>
          <w:sz w:val="24"/>
          <w:szCs w:val="24"/>
        </w:rPr>
        <w:footnoteRef/>
      </w:r>
      <w:r w:rsidRPr="00E22AD6">
        <w:rPr>
          <w:sz w:val="24"/>
          <w:szCs w:val="24"/>
        </w:rPr>
        <w:t xml:space="preserve"> Рассчитано по данным табл. 2.2</w:t>
      </w:r>
      <w:r w:rsidRPr="00E22AD6">
        <w:rPr>
          <w:sz w:val="24"/>
          <w:szCs w:val="24"/>
        </w:rPr>
        <w:noBreakHyphen/>
        <w:t>2.3 Пояснительной записки.</w:t>
      </w:r>
    </w:p>
  </w:footnote>
  <w:footnote w:id="9">
    <w:p w14:paraId="37428644" w14:textId="77777777" w:rsidR="00005928" w:rsidRPr="00E22AD6" w:rsidRDefault="00005928" w:rsidP="004275CE">
      <w:pPr>
        <w:pStyle w:val="ab"/>
        <w:jc w:val="both"/>
        <w:rPr>
          <w:sz w:val="24"/>
          <w:szCs w:val="24"/>
        </w:rPr>
      </w:pPr>
      <w:r w:rsidRPr="00E22AD6">
        <w:rPr>
          <w:rStyle w:val="aa"/>
          <w:rFonts w:eastAsiaTheme="minorHAnsi"/>
          <w:sz w:val="24"/>
          <w:szCs w:val="24"/>
        </w:rPr>
        <w:footnoteRef/>
      </w:r>
      <w:r w:rsidRPr="00E22AD6">
        <w:rPr>
          <w:sz w:val="24"/>
          <w:szCs w:val="24"/>
        </w:rPr>
        <w:t xml:space="preserve"> Рассчитано по данным табл. 2.2</w:t>
      </w:r>
      <w:r w:rsidRPr="00E22AD6">
        <w:rPr>
          <w:sz w:val="24"/>
          <w:szCs w:val="24"/>
        </w:rPr>
        <w:noBreakHyphen/>
        <w:t>2.3 Пояснительной записки.</w:t>
      </w:r>
    </w:p>
  </w:footnote>
  <w:footnote w:id="10">
    <w:p w14:paraId="0E25A2F7" w14:textId="77777777" w:rsidR="00005928" w:rsidRPr="00E22AD6" w:rsidRDefault="00005928" w:rsidP="004275CE">
      <w:pPr>
        <w:pStyle w:val="ab"/>
        <w:jc w:val="both"/>
        <w:rPr>
          <w:sz w:val="24"/>
          <w:szCs w:val="24"/>
        </w:rPr>
      </w:pPr>
      <w:r w:rsidRPr="00E22AD6">
        <w:rPr>
          <w:rStyle w:val="aa"/>
          <w:rFonts w:eastAsiaTheme="minorHAnsi"/>
          <w:sz w:val="24"/>
          <w:szCs w:val="24"/>
        </w:rPr>
        <w:footnoteRef/>
      </w:r>
      <w:r w:rsidRPr="00E22AD6">
        <w:rPr>
          <w:sz w:val="24"/>
          <w:szCs w:val="24"/>
        </w:rPr>
        <w:t xml:space="preserve"> Информация Министерства экономического развития РФ от 18 мая 2022 г. «Основные параметры сценарных условий прогноза социально-экономического развития Российской Федерации на 2023 год и на плановый период 2024 и 2025 годов» // https://www.garant.ru/products/ipo/prime/doc/404624399/ (дата обращения: 11.10.2022).</w:t>
      </w:r>
    </w:p>
  </w:footnote>
  <w:footnote w:id="11">
    <w:p w14:paraId="3F25BD05" w14:textId="216B747C" w:rsidR="00005928" w:rsidRPr="004E568C" w:rsidRDefault="00005928" w:rsidP="00E22AD6">
      <w:pPr>
        <w:pStyle w:val="ab"/>
        <w:contextualSpacing/>
        <w:jc w:val="both"/>
      </w:pPr>
      <w:r w:rsidRPr="004E568C">
        <w:rPr>
          <w:rStyle w:val="aa"/>
          <w:rFonts w:eastAsiaTheme="minorHAnsi"/>
          <w:color w:val="000000" w:themeColor="text1"/>
        </w:rPr>
        <w:footnoteRef/>
      </w:r>
      <w:r w:rsidRPr="004E568C">
        <w:rPr>
          <w:color w:val="000000" w:themeColor="text1"/>
        </w:rPr>
        <w:t xml:space="preserve"> Федеральный закон «О федеральном </w:t>
      </w:r>
      <w:proofErr w:type="gramStart"/>
      <w:r w:rsidRPr="004E568C">
        <w:rPr>
          <w:color w:val="000000" w:themeColor="text1"/>
        </w:rPr>
        <w:t>бюджете</w:t>
      </w:r>
      <w:proofErr w:type="gramEnd"/>
      <w:r w:rsidRPr="004E568C">
        <w:rPr>
          <w:color w:val="000000" w:themeColor="text1"/>
        </w:rPr>
        <w:t xml:space="preserve"> на 2022 год и на плановый период 2023 и 2024 годов» от 06.12.2021 </w:t>
      </w:r>
      <w:r>
        <w:rPr>
          <w:color w:val="000000" w:themeColor="text1"/>
        </w:rPr>
        <w:t>№</w:t>
      </w:r>
      <w:r w:rsidRPr="004E568C">
        <w:rPr>
          <w:color w:val="000000" w:themeColor="text1"/>
        </w:rPr>
        <w:t xml:space="preserve"> 390-ФЗ (последняя редакция). Электронный ресурс: </w:t>
      </w:r>
      <w:hyperlink r:id="rId2" w:history="1">
        <w:r w:rsidRPr="004E568C">
          <w:rPr>
            <w:rStyle w:val="ad"/>
            <w:color w:val="000000" w:themeColor="text1"/>
            <w:u w:val="none"/>
          </w:rPr>
          <w:t>https://www.consultant.ru/document/cons_doc_LAW_402647/</w:t>
        </w:r>
      </w:hyperlink>
      <w:r w:rsidRPr="004E568C">
        <w:rPr>
          <w:color w:val="000000" w:themeColor="text1"/>
        </w:rPr>
        <w:t xml:space="preserve"> (дата обращения 09.10.2022).</w:t>
      </w:r>
    </w:p>
  </w:footnote>
  <w:footnote w:id="12">
    <w:p w14:paraId="3B5D9DC1" w14:textId="08850CF3" w:rsidR="00005928" w:rsidRDefault="00005928">
      <w:pPr>
        <w:pStyle w:val="ab"/>
      </w:pPr>
      <w:r>
        <w:rPr>
          <w:rStyle w:val="aa"/>
        </w:rPr>
        <w:footnoteRef/>
      </w:r>
      <w:r>
        <w:t xml:space="preserve"> Там же, с. 87</w:t>
      </w:r>
    </w:p>
  </w:footnote>
  <w:footnote w:id="13">
    <w:p w14:paraId="352C8D96" w14:textId="252633A7" w:rsidR="00005928" w:rsidRDefault="00005928">
      <w:pPr>
        <w:pStyle w:val="ab"/>
      </w:pPr>
      <w:r>
        <w:rPr>
          <w:rStyle w:val="aa"/>
        </w:rPr>
        <w:footnoteRef/>
      </w:r>
      <w:r>
        <w:t xml:space="preserve"> Пояснительная записка, с. 89.</w:t>
      </w:r>
    </w:p>
  </w:footnote>
  <w:footnote w:id="14">
    <w:p w14:paraId="5BD4289F" w14:textId="77777777" w:rsidR="00005928" w:rsidRPr="00732BB1" w:rsidRDefault="00005928" w:rsidP="00E22AD6">
      <w:pPr>
        <w:pStyle w:val="ab"/>
        <w:jc w:val="both"/>
      </w:pPr>
      <w:r w:rsidRPr="00732BB1">
        <w:rPr>
          <w:rStyle w:val="aa"/>
          <w:rFonts w:eastAsiaTheme="minorHAnsi"/>
        </w:rPr>
        <w:footnoteRef/>
      </w:r>
      <w:r w:rsidRPr="00732BB1">
        <w:t xml:space="preserve"> Рассчитано по данным табл. 4.4 Пояснительной записки.</w:t>
      </w:r>
    </w:p>
  </w:footnote>
  <w:footnote w:id="15">
    <w:p w14:paraId="75274316" w14:textId="77777777" w:rsidR="00005928" w:rsidRPr="00732BB1" w:rsidRDefault="00005928" w:rsidP="00E22AD6">
      <w:pPr>
        <w:pStyle w:val="ab"/>
        <w:jc w:val="both"/>
      </w:pPr>
      <w:r w:rsidRPr="00732BB1">
        <w:rPr>
          <w:rStyle w:val="aa"/>
          <w:rFonts w:eastAsiaTheme="minorHAnsi"/>
        </w:rPr>
        <w:footnoteRef/>
      </w:r>
      <w:r w:rsidRPr="00732BB1">
        <w:t xml:space="preserve"> Поскольку ряд данных мал – 14 наблюдения, был рассчитан и коэффициент ранговой корреляции </w:t>
      </w:r>
      <w:proofErr w:type="spellStart"/>
      <w:r w:rsidRPr="00732BB1">
        <w:t>Спирмена</w:t>
      </w:r>
      <w:proofErr w:type="spellEnd"/>
      <w:r w:rsidRPr="00732BB1">
        <w:t xml:space="preserve">. Он также значим: </w:t>
      </w:r>
      <w:proofErr w:type="spellStart"/>
      <w:r w:rsidRPr="00732BB1">
        <w:rPr>
          <w:lang w:val="en-US"/>
        </w:rPr>
        <w:t>R</w:t>
      </w:r>
      <w:r w:rsidRPr="00732BB1">
        <w:rPr>
          <w:vertAlign w:val="subscript"/>
          <w:lang w:val="en-US"/>
        </w:rPr>
        <w:t>s</w:t>
      </w:r>
      <w:proofErr w:type="spellEnd"/>
      <w:r w:rsidRPr="00732BB1">
        <w:t xml:space="preserve"> = 0,991, α = 0</w:t>
      </w:r>
      <w:proofErr w:type="gramStart"/>
      <w:r w:rsidRPr="00732BB1">
        <w:t>,01</w:t>
      </w:r>
      <w:proofErr w:type="gramEnd"/>
      <w:r w:rsidRPr="00732BB1">
        <w:t>.</w:t>
      </w:r>
    </w:p>
  </w:footnote>
  <w:footnote w:id="16">
    <w:p w14:paraId="5A18072F" w14:textId="77777777" w:rsidR="00005928" w:rsidRPr="00742EF3" w:rsidRDefault="00005928" w:rsidP="00E22AD6">
      <w:pPr>
        <w:pStyle w:val="ab"/>
        <w:jc w:val="both"/>
      </w:pPr>
      <w:r w:rsidRPr="00742EF3">
        <w:rPr>
          <w:rStyle w:val="aa"/>
          <w:rFonts w:eastAsiaTheme="minorHAnsi"/>
        </w:rPr>
        <w:footnoteRef/>
      </w:r>
      <w:r w:rsidRPr="00742EF3">
        <w:t xml:space="preserve"> Возможно, это связано с окончанием действия программ.</w:t>
      </w:r>
    </w:p>
  </w:footnote>
  <w:footnote w:id="17">
    <w:p w14:paraId="28211F1B" w14:textId="77777777" w:rsidR="00005928" w:rsidRPr="00742EF3" w:rsidRDefault="00005928" w:rsidP="00E22AD6">
      <w:pPr>
        <w:pStyle w:val="ab"/>
        <w:contextualSpacing/>
        <w:jc w:val="both"/>
        <w:rPr>
          <w:color w:val="000000" w:themeColor="text1"/>
        </w:rPr>
      </w:pPr>
      <w:r w:rsidRPr="00742EF3">
        <w:rPr>
          <w:rStyle w:val="aa"/>
          <w:rFonts w:eastAsiaTheme="minorHAnsi"/>
          <w:color w:val="000000" w:themeColor="text1"/>
        </w:rPr>
        <w:footnoteRef/>
      </w:r>
      <w:r w:rsidRPr="00742EF3">
        <w:rPr>
          <w:color w:val="000000" w:themeColor="text1"/>
        </w:rPr>
        <w:t xml:space="preserve"> Официальный сайт Росстат. Электронный ресурс: </w:t>
      </w:r>
      <w:hyperlink r:id="rId3" w:history="1">
        <w:r w:rsidRPr="00742EF3">
          <w:rPr>
            <w:rStyle w:val="ad"/>
            <w:color w:val="000000" w:themeColor="text1"/>
            <w:u w:val="none"/>
          </w:rPr>
          <w:t>https://rosstat.gov.ru/storage/mediabank/148_07-09-2022.htm</w:t>
        </w:r>
      </w:hyperlink>
      <w:r w:rsidRPr="00742EF3">
        <w:rPr>
          <w:color w:val="000000" w:themeColor="text1"/>
        </w:rPr>
        <w:t xml:space="preserve"> (дата обращения 08.10.2022)</w:t>
      </w:r>
    </w:p>
  </w:footnote>
  <w:footnote w:id="18">
    <w:p w14:paraId="19B306EF" w14:textId="77777777" w:rsidR="00005928" w:rsidRPr="00742EF3" w:rsidRDefault="00005928" w:rsidP="00E22AD6">
      <w:pPr>
        <w:pStyle w:val="ab"/>
        <w:contextualSpacing/>
        <w:jc w:val="both"/>
        <w:rPr>
          <w:color w:val="000000" w:themeColor="text1"/>
        </w:rPr>
      </w:pPr>
      <w:r w:rsidRPr="00742EF3">
        <w:rPr>
          <w:rStyle w:val="aa"/>
          <w:rFonts w:eastAsiaTheme="minorHAnsi"/>
          <w:color w:val="000000" w:themeColor="text1"/>
        </w:rPr>
        <w:footnoteRef/>
      </w:r>
      <w:r w:rsidRPr="00742EF3">
        <w:rPr>
          <w:color w:val="000000" w:themeColor="text1"/>
        </w:rPr>
        <w:t xml:space="preserve"> Правила определения границ бедности в целом по Российской Федерации, используемые в оценках показателя «Уровень бедности» в целом по Российской Федерации, начиная с I квартала 2021 г., установлены постановлением Правительства Российской Федерации от 26 ноября 2021 г. № 2049.</w:t>
      </w:r>
    </w:p>
    <w:p w14:paraId="041DB42D" w14:textId="77777777" w:rsidR="00005928" w:rsidRPr="00742EF3" w:rsidRDefault="00005928" w:rsidP="00E22AD6">
      <w:pPr>
        <w:pStyle w:val="ab"/>
        <w:contextualSpacing/>
        <w:jc w:val="both"/>
      </w:pPr>
      <w:r w:rsidRPr="00742EF3">
        <w:t>Значения границ бедности на душу населения и по основным социально-демографическим группам населения в целом по Российской Федерации на соответствующий отчетный квартал или год определяются путем умножения значений базовых границ бедности на индекс потребительских цен за отчетный квартал или год к IV кварталу 2020 г., определяемый цепным методом.</w:t>
      </w:r>
    </w:p>
    <w:p w14:paraId="0295E26A" w14:textId="77777777" w:rsidR="00005928" w:rsidRPr="00742EF3" w:rsidRDefault="00005928" w:rsidP="00E22AD6">
      <w:pPr>
        <w:pStyle w:val="ab"/>
        <w:contextualSpacing/>
        <w:jc w:val="both"/>
      </w:pPr>
      <w:proofErr w:type="gramStart"/>
      <w:r w:rsidRPr="00742EF3">
        <w:t>Базовые границы бедности соответствуют значениям величин прожиточного минимума на душу населения и по основным социально-демографическим группам населения, установленным в целом по Российской Федерации за IV квартал 2020 г. в соответствии с Федеральным законом от 24 октября 1997 г. № 134-ФЗ «О прожиточном минимуме в Российской Федерации» (в редакции, действовавшей до вступления в силу Федерального закона от 29 декабря 2020 г. № 473-ФЗ).</w:t>
      </w:r>
      <w:proofErr w:type="gramEnd"/>
    </w:p>
  </w:footnote>
  <w:footnote w:id="19">
    <w:p w14:paraId="7BFCCFED" w14:textId="75F647A5" w:rsidR="00005928" w:rsidRDefault="00005928">
      <w:pPr>
        <w:pStyle w:val="ab"/>
      </w:pPr>
      <w:r>
        <w:rPr>
          <w:rStyle w:val="aa"/>
        </w:rPr>
        <w:footnoteRef/>
      </w:r>
      <w:r>
        <w:t xml:space="preserve"> Пояснительная записка, с. 109.</w:t>
      </w:r>
    </w:p>
  </w:footnote>
  <w:footnote w:id="20">
    <w:p w14:paraId="0F6B884E" w14:textId="2274B83C" w:rsidR="00005928" w:rsidRPr="009F0F2A" w:rsidRDefault="00005928">
      <w:pPr>
        <w:pStyle w:val="ab"/>
      </w:pPr>
      <w:r w:rsidRPr="009F0F2A">
        <w:rPr>
          <w:rStyle w:val="aa"/>
        </w:rPr>
        <w:footnoteRef/>
      </w:r>
      <w:r w:rsidRPr="009F0F2A">
        <w:t xml:space="preserve"> Там же, с. 597</w:t>
      </w:r>
    </w:p>
  </w:footnote>
  <w:footnote w:id="21">
    <w:p w14:paraId="27837106" w14:textId="77777777" w:rsidR="00005928" w:rsidRPr="00E22AD6" w:rsidRDefault="00005928" w:rsidP="00940ACB">
      <w:pPr>
        <w:pStyle w:val="ab"/>
        <w:jc w:val="both"/>
        <w:rPr>
          <w:sz w:val="24"/>
          <w:szCs w:val="24"/>
        </w:rPr>
      </w:pPr>
      <w:r w:rsidRPr="00E22AD6">
        <w:rPr>
          <w:rStyle w:val="aa"/>
          <w:rFonts w:eastAsiaTheme="minorHAnsi"/>
          <w:sz w:val="24"/>
          <w:szCs w:val="24"/>
        </w:rPr>
        <w:footnoteRef/>
      </w:r>
      <w:r w:rsidRPr="00E22AD6">
        <w:rPr>
          <w:sz w:val="24"/>
          <w:szCs w:val="24"/>
        </w:rPr>
        <w:t xml:space="preserve"> Законопроект № 1027744-7. О </w:t>
      </w:r>
      <w:proofErr w:type="gramStart"/>
      <w:r w:rsidRPr="00E22AD6">
        <w:rPr>
          <w:sz w:val="24"/>
          <w:szCs w:val="24"/>
        </w:rPr>
        <w:t>бюджете</w:t>
      </w:r>
      <w:proofErr w:type="gramEnd"/>
      <w:r w:rsidRPr="00E22AD6">
        <w:rPr>
          <w:sz w:val="24"/>
          <w:szCs w:val="24"/>
        </w:rPr>
        <w:t xml:space="preserve"> Пенсионного фонда Российской Федерации на 2021 год и на плановый период 2022 и 2023 годов. Электронный ресурс: </w:t>
      </w:r>
      <w:hyperlink r:id="rId4" w:history="1">
        <w:r w:rsidRPr="00E22AD6">
          <w:rPr>
            <w:rStyle w:val="ad"/>
            <w:color w:val="000000" w:themeColor="text1"/>
            <w:sz w:val="24"/>
            <w:szCs w:val="24"/>
            <w:u w:val="none"/>
          </w:rPr>
          <w:t>https://sozd.duma.gov.ru/bill/1027744-7</w:t>
        </w:r>
      </w:hyperlink>
      <w:r w:rsidRPr="00E22AD6">
        <w:rPr>
          <w:color w:val="000000" w:themeColor="text1"/>
          <w:sz w:val="24"/>
          <w:szCs w:val="24"/>
        </w:rPr>
        <w:t xml:space="preserve"> (дата обращения 10.10.2022).</w:t>
      </w:r>
    </w:p>
    <w:p w14:paraId="7893BEB4" w14:textId="77777777" w:rsidR="00005928" w:rsidRPr="00E22AD6" w:rsidRDefault="00005928" w:rsidP="00940ACB">
      <w:pPr>
        <w:pStyle w:val="ab"/>
        <w:jc w:val="both"/>
        <w:rPr>
          <w:sz w:val="24"/>
          <w:szCs w:val="24"/>
        </w:rPr>
      </w:pPr>
    </w:p>
  </w:footnote>
  <w:footnote w:id="22">
    <w:p w14:paraId="515DAEEA" w14:textId="78E4D14D" w:rsidR="00005928" w:rsidRDefault="00005928">
      <w:pPr>
        <w:pStyle w:val="ab"/>
      </w:pPr>
      <w:r>
        <w:rPr>
          <w:rStyle w:val="aa"/>
        </w:rPr>
        <w:footnoteRef/>
      </w:r>
      <w:r>
        <w:t xml:space="preserve"> Там же, с. 93 и 136 соответственно.</w:t>
      </w:r>
    </w:p>
  </w:footnote>
  <w:footnote w:id="23">
    <w:p w14:paraId="3F19158D" w14:textId="0D135B8B" w:rsidR="00005928" w:rsidRPr="00F249B4" w:rsidRDefault="00005928" w:rsidP="00E22AD6">
      <w:pPr>
        <w:pStyle w:val="ab"/>
        <w:contextualSpacing/>
        <w:jc w:val="both"/>
      </w:pPr>
      <w:r w:rsidRPr="00F249B4">
        <w:rPr>
          <w:rStyle w:val="aa"/>
          <w:rFonts w:eastAsiaTheme="minorHAnsi"/>
        </w:rPr>
        <w:footnoteRef/>
      </w:r>
      <w:r w:rsidRPr="00F249B4">
        <w:t xml:space="preserve"> Официальный сайт Министерство здравоохранение Российской Федерации. Электронный ресурс: https://minzdrav.gov.ru/ministry/programms/health/info (дата обращения 09.10.2022)</w:t>
      </w:r>
    </w:p>
  </w:footnote>
  <w:footnote w:id="24">
    <w:p w14:paraId="5BD4FF1D" w14:textId="77777777" w:rsidR="00005928" w:rsidRPr="0083643C" w:rsidRDefault="00005928" w:rsidP="00E22AD6">
      <w:pPr>
        <w:pStyle w:val="ab"/>
        <w:contextualSpacing/>
        <w:jc w:val="both"/>
      </w:pPr>
      <w:r w:rsidRPr="0083643C">
        <w:rPr>
          <w:rStyle w:val="aa"/>
          <w:rFonts w:eastAsiaTheme="minorHAnsi"/>
        </w:rPr>
        <w:footnoteRef/>
      </w:r>
      <w:r w:rsidRPr="0083643C">
        <w:t xml:space="preserve"> </w:t>
      </w:r>
      <w:proofErr w:type="gramStart"/>
      <w:r w:rsidRPr="0083643C">
        <w:t>Нацпроект «Культура» разработан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 скорректирован в соответствии с указом от 21 июля 2020 года № 474 «О национальных целях развития Российской Федерации на период до 2030 года».</w:t>
      </w:r>
      <w:proofErr w:type="gramEnd"/>
      <w:r w:rsidRPr="0083643C">
        <w:t xml:space="preserve"> Его реализация началась 1 января 2019 года.</w:t>
      </w:r>
    </w:p>
    <w:p w14:paraId="154BD441" w14:textId="77777777" w:rsidR="00005928" w:rsidRPr="0083643C" w:rsidRDefault="00005928" w:rsidP="00E22AD6">
      <w:pPr>
        <w:pStyle w:val="ab"/>
        <w:contextualSpacing/>
        <w:jc w:val="both"/>
      </w:pPr>
      <w:r w:rsidRPr="0083643C">
        <w:t>В структуру нацпроекта входят три федеральных проекта: «Культурная среда», «Творческие люди» и «Цифровая культура». </w:t>
      </w:r>
    </w:p>
  </w:footnote>
  <w:footnote w:id="25">
    <w:p w14:paraId="191A777D" w14:textId="77777777" w:rsidR="00005928" w:rsidRPr="0083643C" w:rsidRDefault="00005928" w:rsidP="00E22AD6">
      <w:pPr>
        <w:pStyle w:val="ab"/>
        <w:jc w:val="both"/>
        <w:rPr>
          <w:color w:val="000000" w:themeColor="text1"/>
        </w:rPr>
      </w:pPr>
      <w:r w:rsidRPr="0083643C">
        <w:rPr>
          <w:rStyle w:val="aa"/>
          <w:rFonts w:eastAsiaTheme="minorHAnsi"/>
          <w:color w:val="000000" w:themeColor="text1"/>
        </w:rPr>
        <w:footnoteRef/>
      </w:r>
      <w:r w:rsidRPr="0083643C">
        <w:rPr>
          <w:color w:val="000000" w:themeColor="text1"/>
        </w:rPr>
        <w:t xml:space="preserve"> Официальный сайт Министерство культуры Российской Федерации. Электронный ресурс: </w:t>
      </w:r>
      <w:hyperlink r:id="rId5" w:history="1">
        <w:r w:rsidRPr="0083643C">
          <w:rPr>
            <w:rStyle w:val="ad"/>
            <w:color w:val="000000" w:themeColor="text1"/>
            <w:u w:val="none"/>
          </w:rPr>
          <w:t>https://culture.gov.ru/documents/o-prioritetnykh-temakh-gosudarstvennoy-finansovoy-podderzhki-kinoproizvodstva-v-2022-godu1802202201/</w:t>
        </w:r>
      </w:hyperlink>
      <w:r w:rsidRPr="0083643C">
        <w:rPr>
          <w:color w:val="000000" w:themeColor="text1"/>
        </w:rPr>
        <w:t xml:space="preserve"> (дата обращения 09.10.2022)</w:t>
      </w:r>
    </w:p>
  </w:footnote>
  <w:footnote w:id="26">
    <w:p w14:paraId="1417C99C" w14:textId="66A16029" w:rsidR="00005928" w:rsidRPr="00C26F5B" w:rsidRDefault="00005928">
      <w:pPr>
        <w:pStyle w:val="ab"/>
      </w:pPr>
      <w:r w:rsidRPr="00C26F5B">
        <w:rPr>
          <w:rStyle w:val="aa"/>
        </w:rPr>
        <w:footnoteRef/>
      </w:r>
      <w:r w:rsidRPr="00C26F5B">
        <w:t xml:space="preserve"> Основные направления бюджетной, налоговой и таможенно-тарифной политики на 2023 год и на плановый период 2024 и 2025 годов</w:t>
      </w:r>
      <w:r>
        <w:t>, с. 38.</w:t>
      </w:r>
    </w:p>
  </w:footnote>
  <w:footnote w:id="27">
    <w:p w14:paraId="58FD43FE" w14:textId="77777777" w:rsidR="00005928" w:rsidRPr="00E310A7" w:rsidRDefault="00005928" w:rsidP="00E22AD6">
      <w:pPr>
        <w:pStyle w:val="ab"/>
        <w:jc w:val="both"/>
        <w:rPr>
          <w:color w:val="000000" w:themeColor="text1"/>
        </w:rPr>
      </w:pPr>
      <w:r w:rsidRPr="00E310A7">
        <w:rPr>
          <w:rStyle w:val="aa"/>
          <w:color w:val="000000" w:themeColor="text1"/>
        </w:rPr>
        <w:footnoteRef/>
      </w:r>
      <w:r w:rsidRPr="00E310A7">
        <w:rPr>
          <w:color w:val="000000" w:themeColor="text1"/>
        </w:rPr>
        <w:t xml:space="preserve"> </w:t>
      </w:r>
      <w:hyperlink r:id="rId6" w:history="1">
        <w:r w:rsidRPr="00E310A7">
          <w:rPr>
            <w:rStyle w:val="ad"/>
            <w:color w:val="000000" w:themeColor="text1"/>
            <w:u w:val="none"/>
          </w:rPr>
          <w:t>https://sozd.duma.gov.ru/bill/201614-8</w:t>
        </w:r>
      </w:hyperlink>
      <w:r w:rsidRPr="00E310A7">
        <w:rPr>
          <w:color w:val="000000" w:themeColor="text1"/>
        </w:rPr>
        <w:t xml:space="preserve"> </w:t>
      </w:r>
    </w:p>
  </w:footnote>
  <w:footnote w:id="28">
    <w:p w14:paraId="0726538C" w14:textId="315DC35A" w:rsidR="00005928" w:rsidRPr="00E310A7" w:rsidRDefault="00005928" w:rsidP="00E22AD6">
      <w:pPr>
        <w:pStyle w:val="ConsPlusNormal"/>
        <w:jc w:val="both"/>
        <w:rPr>
          <w:rFonts w:ascii="Times New Roman" w:hAnsi="Times New Roman" w:cs="Times New Roman"/>
          <w:color w:val="000000" w:themeColor="text1"/>
          <w:szCs w:val="20"/>
        </w:rPr>
      </w:pPr>
      <w:r w:rsidRPr="00E310A7">
        <w:rPr>
          <w:rStyle w:val="aa"/>
          <w:rFonts w:ascii="Times New Roman" w:hAnsi="Times New Roman" w:cs="Times New Roman"/>
          <w:color w:val="000000" w:themeColor="text1"/>
          <w:szCs w:val="20"/>
        </w:rPr>
        <w:footnoteRef/>
      </w:r>
      <w:r w:rsidRPr="00E310A7">
        <w:rPr>
          <w:rFonts w:ascii="Times New Roman" w:hAnsi="Times New Roman" w:cs="Times New Roman"/>
          <w:color w:val="000000" w:themeColor="text1"/>
          <w:szCs w:val="20"/>
        </w:rPr>
        <w:t xml:space="preserve"> </w:t>
      </w:r>
      <w:proofErr w:type="gramStart"/>
      <w:r w:rsidRPr="00E310A7">
        <w:rPr>
          <w:rFonts w:ascii="Times New Roman" w:hAnsi="Times New Roman" w:cs="Times New Roman"/>
          <w:color w:val="000000" w:themeColor="text1"/>
          <w:szCs w:val="20"/>
        </w:rPr>
        <w:t>Т.е.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 (согласно п. 2 ст. 170.1 БК РФ).</w:t>
      </w:r>
      <w:proofErr w:type="gramEnd"/>
    </w:p>
  </w:footnote>
  <w:footnote w:id="29">
    <w:p w14:paraId="645FE764" w14:textId="77777777" w:rsidR="00005928" w:rsidRPr="00E310A7" w:rsidRDefault="00005928" w:rsidP="00E22AD6">
      <w:pPr>
        <w:pStyle w:val="ab"/>
        <w:jc w:val="both"/>
        <w:rPr>
          <w:color w:val="000000" w:themeColor="text1"/>
        </w:rPr>
      </w:pPr>
      <w:r w:rsidRPr="00E310A7">
        <w:rPr>
          <w:rStyle w:val="aa"/>
          <w:color w:val="000000" w:themeColor="text1"/>
        </w:rPr>
        <w:footnoteRef/>
      </w:r>
      <w:r w:rsidRPr="00E310A7">
        <w:rPr>
          <w:color w:val="000000" w:themeColor="text1"/>
        </w:rPr>
        <w:t xml:space="preserve"> </w:t>
      </w:r>
      <w:hyperlink r:id="rId7" w:history="1">
        <w:r w:rsidRPr="00E310A7">
          <w:rPr>
            <w:rStyle w:val="ad"/>
            <w:color w:val="000000" w:themeColor="text1"/>
            <w:u w:val="none"/>
          </w:rPr>
          <w:t>https://sozd.duma.gov.ru/bill/201622-8</w:t>
        </w:r>
      </w:hyperlink>
      <w:r w:rsidRPr="00E310A7">
        <w:rPr>
          <w:color w:val="000000" w:themeColor="text1"/>
        </w:rPr>
        <w:t xml:space="preserve"> </w:t>
      </w:r>
    </w:p>
  </w:footnote>
  <w:footnote w:id="30">
    <w:p w14:paraId="016A52D0" w14:textId="77777777" w:rsidR="00005928" w:rsidRPr="00113939" w:rsidRDefault="00005928" w:rsidP="00E22AD6">
      <w:pPr>
        <w:pStyle w:val="ab"/>
        <w:jc w:val="both"/>
      </w:pPr>
      <w:r w:rsidRPr="00113939">
        <w:rPr>
          <w:rStyle w:val="aa"/>
          <w:rFonts w:eastAsiaTheme="minorHAnsi"/>
        </w:rPr>
        <w:footnoteRef/>
      </w:r>
      <w:r w:rsidRPr="00113939">
        <w:t xml:space="preserve"> Федеральный закон от 26.02.1997 N 31-ФЗ (ред. от 14.07.2022) «О мобилизационной подготовке и мобилизации в Российской Федерации» (с изм. и доп., вступ. в силу с 13.10.2022) Электронный ресурс. https://demo.consultant.ru/cgi/online.cgi?req=doc&amp;base=LAW&amp;n=422311&amp;dst=100001#0r9dMJTpG3ZFqsCL(дата обращения 05.10.2022).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4F7"/>
    <w:multiLevelType w:val="multilevel"/>
    <w:tmpl w:val="827C444A"/>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1E3458"/>
    <w:multiLevelType w:val="hybridMultilevel"/>
    <w:tmpl w:val="A440CC3E"/>
    <w:lvl w:ilvl="0" w:tplc="1F7059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8215045"/>
    <w:multiLevelType w:val="hybridMultilevel"/>
    <w:tmpl w:val="4A82ED1C"/>
    <w:lvl w:ilvl="0" w:tplc="E86E8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74A7B"/>
    <w:multiLevelType w:val="hybridMultilevel"/>
    <w:tmpl w:val="047444F0"/>
    <w:lvl w:ilvl="0" w:tplc="1F705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C83876"/>
    <w:multiLevelType w:val="hybridMultilevel"/>
    <w:tmpl w:val="711CC8F4"/>
    <w:lvl w:ilvl="0" w:tplc="E86E8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1F5FAC"/>
    <w:multiLevelType w:val="hybridMultilevel"/>
    <w:tmpl w:val="3E4C4166"/>
    <w:lvl w:ilvl="0" w:tplc="E86E8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95099F"/>
    <w:multiLevelType w:val="multilevel"/>
    <w:tmpl w:val="110661F6"/>
    <w:lvl w:ilvl="0">
      <w:start w:val="1"/>
      <w:numFmt w:val="decimal"/>
      <w:lvlText w:val="%1."/>
      <w:lvlJc w:val="left"/>
      <w:pPr>
        <w:ind w:left="786"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4A21152D"/>
    <w:multiLevelType w:val="hybridMultilevel"/>
    <w:tmpl w:val="16A62472"/>
    <w:lvl w:ilvl="0" w:tplc="E86E8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303E79"/>
    <w:multiLevelType w:val="hybridMultilevel"/>
    <w:tmpl w:val="C4987F20"/>
    <w:lvl w:ilvl="0" w:tplc="E86E8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6E62CF"/>
    <w:multiLevelType w:val="hybridMultilevel"/>
    <w:tmpl w:val="BCE4ECA6"/>
    <w:lvl w:ilvl="0" w:tplc="E86E8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E24E5"/>
    <w:multiLevelType w:val="hybridMultilevel"/>
    <w:tmpl w:val="1E7CE784"/>
    <w:lvl w:ilvl="0" w:tplc="E86E8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D25E68"/>
    <w:multiLevelType w:val="hybridMultilevel"/>
    <w:tmpl w:val="2990E5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804EA"/>
    <w:multiLevelType w:val="hybridMultilevel"/>
    <w:tmpl w:val="7C28745E"/>
    <w:lvl w:ilvl="0" w:tplc="E86E8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514AC8"/>
    <w:multiLevelType w:val="multilevel"/>
    <w:tmpl w:val="501488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640903"/>
    <w:multiLevelType w:val="hybridMultilevel"/>
    <w:tmpl w:val="CCFA1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3F1AC7"/>
    <w:multiLevelType w:val="hybridMultilevel"/>
    <w:tmpl w:val="04D6D99E"/>
    <w:lvl w:ilvl="0" w:tplc="E86E8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5203FA"/>
    <w:multiLevelType w:val="hybridMultilevel"/>
    <w:tmpl w:val="5AA26490"/>
    <w:lvl w:ilvl="0" w:tplc="E86E8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E7551D"/>
    <w:multiLevelType w:val="hybridMultilevel"/>
    <w:tmpl w:val="2528C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F8D27B6"/>
    <w:multiLevelType w:val="hybridMultilevel"/>
    <w:tmpl w:val="ACC20A52"/>
    <w:lvl w:ilvl="0" w:tplc="3EC69832">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8"/>
  </w:num>
  <w:num w:numId="3">
    <w:abstractNumId w:val="0"/>
  </w:num>
  <w:num w:numId="4">
    <w:abstractNumId w:val="13"/>
  </w:num>
  <w:num w:numId="5">
    <w:abstractNumId w:val="9"/>
  </w:num>
  <w:num w:numId="6">
    <w:abstractNumId w:val="7"/>
  </w:num>
  <w:num w:numId="7">
    <w:abstractNumId w:val="10"/>
  </w:num>
  <w:num w:numId="8">
    <w:abstractNumId w:val="15"/>
  </w:num>
  <w:num w:numId="9">
    <w:abstractNumId w:val="16"/>
  </w:num>
  <w:num w:numId="10">
    <w:abstractNumId w:val="5"/>
  </w:num>
  <w:num w:numId="11">
    <w:abstractNumId w:val="8"/>
  </w:num>
  <w:num w:numId="12">
    <w:abstractNumId w:val="2"/>
  </w:num>
  <w:num w:numId="13">
    <w:abstractNumId w:val="17"/>
  </w:num>
  <w:num w:numId="14">
    <w:abstractNumId w:val="4"/>
  </w:num>
  <w:num w:numId="15">
    <w:abstractNumId w:val="12"/>
  </w:num>
  <w:num w:numId="16">
    <w:abstractNumId w:val="3"/>
  </w:num>
  <w:num w:numId="17">
    <w:abstractNumId w:val="1"/>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53"/>
    <w:rsid w:val="000009B9"/>
    <w:rsid w:val="00005928"/>
    <w:rsid w:val="00020DE3"/>
    <w:rsid w:val="00023A6B"/>
    <w:rsid w:val="00032EB2"/>
    <w:rsid w:val="000415A6"/>
    <w:rsid w:val="00052D0C"/>
    <w:rsid w:val="000919DD"/>
    <w:rsid w:val="000F5DFF"/>
    <w:rsid w:val="00113939"/>
    <w:rsid w:val="0013768E"/>
    <w:rsid w:val="00140541"/>
    <w:rsid w:val="001564BB"/>
    <w:rsid w:val="001572C9"/>
    <w:rsid w:val="00165BCF"/>
    <w:rsid w:val="00197997"/>
    <w:rsid w:val="001A0E23"/>
    <w:rsid w:val="001B1E4A"/>
    <w:rsid w:val="001B3BAB"/>
    <w:rsid w:val="001E5B8B"/>
    <w:rsid w:val="00223C8F"/>
    <w:rsid w:val="00243BCF"/>
    <w:rsid w:val="00265C2E"/>
    <w:rsid w:val="002668F8"/>
    <w:rsid w:val="00281131"/>
    <w:rsid w:val="00283725"/>
    <w:rsid w:val="00286E19"/>
    <w:rsid w:val="002969AC"/>
    <w:rsid w:val="002C7EF0"/>
    <w:rsid w:val="002E267F"/>
    <w:rsid w:val="00302032"/>
    <w:rsid w:val="00303B9A"/>
    <w:rsid w:val="003229CC"/>
    <w:rsid w:val="003416E3"/>
    <w:rsid w:val="00344D41"/>
    <w:rsid w:val="0036345D"/>
    <w:rsid w:val="00381D9B"/>
    <w:rsid w:val="00397805"/>
    <w:rsid w:val="003C4A9C"/>
    <w:rsid w:val="003D4D57"/>
    <w:rsid w:val="003F0213"/>
    <w:rsid w:val="003F559C"/>
    <w:rsid w:val="00411064"/>
    <w:rsid w:val="004275CE"/>
    <w:rsid w:val="004327DD"/>
    <w:rsid w:val="004847AD"/>
    <w:rsid w:val="004A457A"/>
    <w:rsid w:val="004E568C"/>
    <w:rsid w:val="004E6D1F"/>
    <w:rsid w:val="004E7624"/>
    <w:rsid w:val="00502603"/>
    <w:rsid w:val="005103BD"/>
    <w:rsid w:val="005372AE"/>
    <w:rsid w:val="005D3B27"/>
    <w:rsid w:val="005E4A98"/>
    <w:rsid w:val="005F1EA8"/>
    <w:rsid w:val="006175E7"/>
    <w:rsid w:val="006226DB"/>
    <w:rsid w:val="006565C3"/>
    <w:rsid w:val="006628AE"/>
    <w:rsid w:val="006E3309"/>
    <w:rsid w:val="006E4553"/>
    <w:rsid w:val="006E504A"/>
    <w:rsid w:val="006E57C0"/>
    <w:rsid w:val="006F22AB"/>
    <w:rsid w:val="006F72DA"/>
    <w:rsid w:val="00703CEB"/>
    <w:rsid w:val="00716DF3"/>
    <w:rsid w:val="00732BB1"/>
    <w:rsid w:val="00742EF3"/>
    <w:rsid w:val="00772BE0"/>
    <w:rsid w:val="007E4B5E"/>
    <w:rsid w:val="00805721"/>
    <w:rsid w:val="008063B8"/>
    <w:rsid w:val="008116DF"/>
    <w:rsid w:val="008217BA"/>
    <w:rsid w:val="00822CA4"/>
    <w:rsid w:val="008311C9"/>
    <w:rsid w:val="0083643C"/>
    <w:rsid w:val="00840344"/>
    <w:rsid w:val="008431CF"/>
    <w:rsid w:val="0085442D"/>
    <w:rsid w:val="0089300F"/>
    <w:rsid w:val="008D0823"/>
    <w:rsid w:val="008F475D"/>
    <w:rsid w:val="00901ACF"/>
    <w:rsid w:val="00914A93"/>
    <w:rsid w:val="00940ACB"/>
    <w:rsid w:val="0094209E"/>
    <w:rsid w:val="00946859"/>
    <w:rsid w:val="0096730A"/>
    <w:rsid w:val="009C4461"/>
    <w:rsid w:val="009F0F2A"/>
    <w:rsid w:val="00A17220"/>
    <w:rsid w:val="00A72021"/>
    <w:rsid w:val="00AA1719"/>
    <w:rsid w:val="00AA7D0E"/>
    <w:rsid w:val="00B13B36"/>
    <w:rsid w:val="00B351EC"/>
    <w:rsid w:val="00B45516"/>
    <w:rsid w:val="00B565DA"/>
    <w:rsid w:val="00BD2C1D"/>
    <w:rsid w:val="00BD7EB5"/>
    <w:rsid w:val="00BE26B1"/>
    <w:rsid w:val="00C26F5B"/>
    <w:rsid w:val="00C5374A"/>
    <w:rsid w:val="00C571A0"/>
    <w:rsid w:val="00C81BD6"/>
    <w:rsid w:val="00CB19A8"/>
    <w:rsid w:val="00CC0D7D"/>
    <w:rsid w:val="00CE1136"/>
    <w:rsid w:val="00D02E31"/>
    <w:rsid w:val="00D15C79"/>
    <w:rsid w:val="00D80A8B"/>
    <w:rsid w:val="00DC5282"/>
    <w:rsid w:val="00DE7089"/>
    <w:rsid w:val="00DE7F60"/>
    <w:rsid w:val="00E22AD6"/>
    <w:rsid w:val="00E22C11"/>
    <w:rsid w:val="00E310A7"/>
    <w:rsid w:val="00E3773A"/>
    <w:rsid w:val="00E40C69"/>
    <w:rsid w:val="00E574AF"/>
    <w:rsid w:val="00EA0DCD"/>
    <w:rsid w:val="00EB0D09"/>
    <w:rsid w:val="00EC4167"/>
    <w:rsid w:val="00F249B4"/>
    <w:rsid w:val="00F60BC1"/>
    <w:rsid w:val="00FE59E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ru-RU"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53"/>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next w:val="a"/>
    <w:link w:val="10"/>
    <w:uiPriority w:val="9"/>
    <w:qFormat/>
    <w:rsid w:val="00822C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E4A98"/>
    <w:pPr>
      <w:spacing w:before="100" w:beforeAutospacing="1" w:after="100" w:afterAutospacing="1"/>
    </w:pPr>
  </w:style>
  <w:style w:type="paragraph" w:styleId="a4">
    <w:name w:val="List Paragraph"/>
    <w:basedOn w:val="a"/>
    <w:link w:val="a5"/>
    <w:uiPriority w:val="34"/>
    <w:qFormat/>
    <w:rsid w:val="005E4A98"/>
    <w:pPr>
      <w:ind w:left="720"/>
      <w:contextualSpacing/>
    </w:pPr>
  </w:style>
  <w:style w:type="paragraph" w:styleId="a6">
    <w:name w:val="header"/>
    <w:basedOn w:val="a"/>
    <w:link w:val="a7"/>
    <w:uiPriority w:val="99"/>
    <w:unhideWhenUsed/>
    <w:rsid w:val="006565C3"/>
    <w:pPr>
      <w:tabs>
        <w:tab w:val="center" w:pos="4677"/>
        <w:tab w:val="right" w:pos="9355"/>
      </w:tabs>
    </w:pPr>
  </w:style>
  <w:style w:type="character" w:customStyle="1" w:styleId="a7">
    <w:name w:val="Верхний колонтитул Знак"/>
    <w:basedOn w:val="a0"/>
    <w:link w:val="a6"/>
    <w:uiPriority w:val="99"/>
    <w:rsid w:val="006565C3"/>
    <w:rPr>
      <w:rFonts w:ascii="Times New Roman" w:eastAsia="Times New Roman" w:hAnsi="Times New Roman" w:cs="Times New Roman"/>
      <w:sz w:val="24"/>
      <w:szCs w:val="24"/>
      <w:lang w:eastAsia="ru-RU" w:bidi="ar-SA"/>
    </w:rPr>
  </w:style>
  <w:style w:type="paragraph" w:styleId="a8">
    <w:name w:val="footer"/>
    <w:basedOn w:val="a"/>
    <w:link w:val="a9"/>
    <w:uiPriority w:val="99"/>
    <w:unhideWhenUsed/>
    <w:rsid w:val="006565C3"/>
    <w:pPr>
      <w:tabs>
        <w:tab w:val="center" w:pos="4677"/>
        <w:tab w:val="right" w:pos="9355"/>
      </w:tabs>
    </w:pPr>
  </w:style>
  <w:style w:type="character" w:customStyle="1" w:styleId="a9">
    <w:name w:val="Нижний колонтитул Знак"/>
    <w:basedOn w:val="a0"/>
    <w:link w:val="a8"/>
    <w:uiPriority w:val="99"/>
    <w:rsid w:val="006565C3"/>
    <w:rPr>
      <w:rFonts w:ascii="Times New Roman" w:eastAsia="Times New Roman" w:hAnsi="Times New Roman" w:cs="Times New Roman"/>
      <w:sz w:val="24"/>
      <w:szCs w:val="24"/>
      <w:lang w:eastAsia="ru-RU" w:bidi="ar-SA"/>
    </w:rPr>
  </w:style>
  <w:style w:type="character" w:styleId="aa">
    <w:name w:val="footnote reference"/>
    <w:aliases w:val="Знак сноски-FN,Ciae niinee-FN,Знак сноски 1"/>
    <w:uiPriority w:val="99"/>
    <w:rsid w:val="005D3B27"/>
    <w:rPr>
      <w:vertAlign w:val="superscript"/>
    </w:rPr>
  </w:style>
  <w:style w:type="paragraph" w:styleId="ab">
    <w:name w:val="footnote text"/>
    <w:basedOn w:val="a"/>
    <w:link w:val="ac"/>
    <w:uiPriority w:val="99"/>
    <w:rsid w:val="005D3B27"/>
    <w:rPr>
      <w:sz w:val="20"/>
      <w:szCs w:val="20"/>
    </w:rPr>
  </w:style>
  <w:style w:type="character" w:customStyle="1" w:styleId="ac">
    <w:name w:val="Текст сноски Знак"/>
    <w:basedOn w:val="a0"/>
    <w:link w:val="ab"/>
    <w:uiPriority w:val="99"/>
    <w:qFormat/>
    <w:rsid w:val="005D3B27"/>
    <w:rPr>
      <w:rFonts w:ascii="Times New Roman" w:eastAsia="Times New Roman" w:hAnsi="Times New Roman" w:cs="Times New Roman"/>
      <w:sz w:val="20"/>
      <w:szCs w:val="20"/>
      <w:lang w:eastAsia="ru-RU" w:bidi="ar-SA"/>
    </w:rPr>
  </w:style>
  <w:style w:type="character" w:styleId="ad">
    <w:name w:val="Hyperlink"/>
    <w:uiPriority w:val="99"/>
    <w:unhideWhenUsed/>
    <w:rsid w:val="005D3B27"/>
    <w:rPr>
      <w:color w:val="0000FF"/>
      <w:u w:val="single"/>
    </w:rPr>
  </w:style>
  <w:style w:type="paragraph" w:customStyle="1" w:styleId="11">
    <w:name w:val="Стиль1"/>
    <w:basedOn w:val="a"/>
    <w:link w:val="12"/>
    <w:qFormat/>
    <w:rsid w:val="00B351EC"/>
    <w:pPr>
      <w:spacing w:line="276" w:lineRule="auto"/>
      <w:jc w:val="both"/>
    </w:pPr>
    <w:rPr>
      <w:rFonts w:eastAsiaTheme="minorHAnsi" w:cstheme="minorBidi"/>
      <w:sz w:val="28"/>
      <w:szCs w:val="22"/>
      <w:lang w:eastAsia="en-US"/>
    </w:rPr>
  </w:style>
  <w:style w:type="character" w:customStyle="1" w:styleId="12">
    <w:name w:val="Стиль1 Знак"/>
    <w:basedOn w:val="a0"/>
    <w:link w:val="11"/>
    <w:rsid w:val="00B351EC"/>
    <w:rPr>
      <w:rFonts w:ascii="Times New Roman" w:eastAsiaTheme="minorHAnsi" w:hAnsi="Times New Roman"/>
      <w:sz w:val="28"/>
      <w:szCs w:val="22"/>
      <w:lang w:eastAsia="en-US" w:bidi="ar-SA"/>
    </w:rPr>
  </w:style>
  <w:style w:type="paragraph" w:customStyle="1" w:styleId="Style1">
    <w:name w:val="Style1"/>
    <w:basedOn w:val="11"/>
    <w:link w:val="Style1Char"/>
    <w:qFormat/>
    <w:rsid w:val="00B351EC"/>
    <w:pPr>
      <w:ind w:firstLine="709"/>
    </w:pPr>
    <w:rPr>
      <w:rFonts w:cs="Times New Roman"/>
    </w:rPr>
  </w:style>
  <w:style w:type="table" w:styleId="ae">
    <w:name w:val="Table Grid"/>
    <w:aliases w:val="ЭЭГ - Сетка таблицы"/>
    <w:basedOn w:val="a1"/>
    <w:uiPriority w:val="59"/>
    <w:rsid w:val="00B351EC"/>
    <w:pPr>
      <w:spacing w:after="0" w:line="240" w:lineRule="auto"/>
    </w:pPr>
    <w:rPr>
      <w:rFonts w:ascii="Times New Roman" w:eastAsiaTheme="minorHAnsi" w:hAnsi="Times New Roman"/>
      <w:sz w:val="28"/>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12"/>
    <w:link w:val="Style1"/>
    <w:rsid w:val="00B351EC"/>
    <w:rPr>
      <w:rFonts w:ascii="Times New Roman" w:eastAsiaTheme="minorHAnsi" w:hAnsi="Times New Roman" w:cs="Times New Roman"/>
      <w:sz w:val="28"/>
      <w:szCs w:val="22"/>
      <w:lang w:eastAsia="en-US" w:bidi="ar-SA"/>
    </w:rPr>
  </w:style>
  <w:style w:type="paragraph" w:customStyle="1" w:styleId="Default">
    <w:name w:val="Default"/>
    <w:rsid w:val="00B351EC"/>
    <w:pPr>
      <w:autoSpaceDE w:val="0"/>
      <w:autoSpaceDN w:val="0"/>
      <w:adjustRightInd w:val="0"/>
      <w:spacing w:after="0" w:line="240" w:lineRule="auto"/>
    </w:pPr>
    <w:rPr>
      <w:rFonts w:ascii="Arial" w:eastAsiaTheme="minorHAnsi" w:hAnsi="Arial" w:cs="Arial"/>
      <w:color w:val="000000"/>
      <w:sz w:val="24"/>
      <w:szCs w:val="24"/>
      <w:lang w:eastAsia="en-US" w:bidi="ar-SA"/>
    </w:rPr>
  </w:style>
  <w:style w:type="table" w:customStyle="1" w:styleId="6">
    <w:name w:val="Сетка таблицы6"/>
    <w:basedOn w:val="a1"/>
    <w:next w:val="ae"/>
    <w:uiPriority w:val="39"/>
    <w:rsid w:val="00EA0DCD"/>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5374A"/>
    <w:pPr>
      <w:widowControl w:val="0"/>
      <w:autoSpaceDE w:val="0"/>
      <w:autoSpaceDN w:val="0"/>
      <w:spacing w:after="0" w:line="240" w:lineRule="auto"/>
    </w:pPr>
    <w:rPr>
      <w:rFonts w:ascii="Arial" w:hAnsi="Arial" w:cs="Arial"/>
      <w:sz w:val="20"/>
      <w:szCs w:val="22"/>
      <w:lang w:eastAsia="ru-RU" w:bidi="ar-SA"/>
    </w:rPr>
  </w:style>
  <w:style w:type="paragraph" w:styleId="af">
    <w:name w:val="Balloon Text"/>
    <w:basedOn w:val="a"/>
    <w:link w:val="af0"/>
    <w:uiPriority w:val="99"/>
    <w:semiHidden/>
    <w:unhideWhenUsed/>
    <w:rsid w:val="009C4461"/>
    <w:rPr>
      <w:rFonts w:ascii="Tahoma" w:hAnsi="Tahoma" w:cs="Tahoma"/>
      <w:sz w:val="16"/>
      <w:szCs w:val="16"/>
    </w:rPr>
  </w:style>
  <w:style w:type="character" w:customStyle="1" w:styleId="af0">
    <w:name w:val="Текст выноски Знак"/>
    <w:basedOn w:val="a0"/>
    <w:link w:val="af"/>
    <w:uiPriority w:val="99"/>
    <w:semiHidden/>
    <w:rsid w:val="009C4461"/>
    <w:rPr>
      <w:rFonts w:ascii="Tahoma" w:eastAsia="Times New Roman" w:hAnsi="Tahoma" w:cs="Tahoma"/>
      <w:sz w:val="16"/>
      <w:szCs w:val="16"/>
      <w:lang w:eastAsia="ru-RU" w:bidi="ar-SA"/>
    </w:rPr>
  </w:style>
  <w:style w:type="character" w:customStyle="1" w:styleId="UnresolvedMention">
    <w:name w:val="Unresolved Mention"/>
    <w:basedOn w:val="a0"/>
    <w:uiPriority w:val="99"/>
    <w:semiHidden/>
    <w:unhideWhenUsed/>
    <w:rsid w:val="00223C8F"/>
    <w:rPr>
      <w:color w:val="605E5C"/>
      <w:shd w:val="clear" w:color="auto" w:fill="E1DFDD"/>
    </w:rPr>
  </w:style>
  <w:style w:type="character" w:customStyle="1" w:styleId="af1">
    <w:name w:val="Привязка сноски"/>
    <w:rsid w:val="00DC5282"/>
    <w:rPr>
      <w:vertAlign w:val="superscript"/>
    </w:rPr>
  </w:style>
  <w:style w:type="character" w:customStyle="1" w:styleId="a5">
    <w:name w:val="Абзац списка Знак"/>
    <w:link w:val="a4"/>
    <w:uiPriority w:val="34"/>
    <w:qFormat/>
    <w:rsid w:val="00DC5282"/>
    <w:rPr>
      <w:rFonts w:ascii="Times New Roman" w:eastAsia="Times New Roman" w:hAnsi="Times New Roman" w:cs="Times New Roman"/>
      <w:sz w:val="24"/>
      <w:szCs w:val="24"/>
      <w:lang w:eastAsia="ru-RU" w:bidi="ar-SA"/>
    </w:rPr>
  </w:style>
  <w:style w:type="character" w:customStyle="1" w:styleId="af2">
    <w:name w:val="Символ сноски"/>
    <w:qFormat/>
    <w:rsid w:val="00DC5282"/>
  </w:style>
  <w:style w:type="character" w:customStyle="1" w:styleId="10">
    <w:name w:val="Заголовок 1 Знак"/>
    <w:basedOn w:val="a0"/>
    <w:link w:val="1"/>
    <w:uiPriority w:val="9"/>
    <w:rsid w:val="00822CA4"/>
    <w:rPr>
      <w:rFonts w:asciiTheme="majorHAnsi" w:eastAsiaTheme="majorEastAsia" w:hAnsiTheme="majorHAnsi" w:cstheme="majorBidi"/>
      <w:color w:val="2F5496" w:themeColor="accent1" w:themeShade="BF"/>
      <w:sz w:val="32"/>
      <w:szCs w:val="32"/>
      <w:lang w:eastAsia="ru-RU" w:bidi="ar-SA"/>
    </w:rPr>
  </w:style>
  <w:style w:type="paragraph" w:styleId="af3">
    <w:name w:val="TOC Heading"/>
    <w:basedOn w:val="1"/>
    <w:next w:val="a"/>
    <w:uiPriority w:val="39"/>
    <w:unhideWhenUsed/>
    <w:qFormat/>
    <w:rsid w:val="00772BE0"/>
    <w:pPr>
      <w:spacing w:line="259" w:lineRule="auto"/>
      <w:outlineLvl w:val="9"/>
    </w:pPr>
  </w:style>
  <w:style w:type="paragraph" w:styleId="13">
    <w:name w:val="toc 1"/>
    <w:basedOn w:val="a"/>
    <w:next w:val="a"/>
    <w:autoRedefine/>
    <w:uiPriority w:val="39"/>
    <w:unhideWhenUsed/>
    <w:rsid w:val="00772BE0"/>
    <w:pPr>
      <w:spacing w:after="100"/>
    </w:pPr>
  </w:style>
  <w:style w:type="paragraph" w:styleId="2">
    <w:name w:val="toc 2"/>
    <w:basedOn w:val="a"/>
    <w:next w:val="a"/>
    <w:autoRedefine/>
    <w:uiPriority w:val="39"/>
    <w:unhideWhenUsed/>
    <w:rsid w:val="0096730A"/>
    <w:pPr>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rsid w:val="0096730A"/>
    <w:pPr>
      <w:spacing w:after="10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ru-RU"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53"/>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next w:val="a"/>
    <w:link w:val="10"/>
    <w:uiPriority w:val="9"/>
    <w:qFormat/>
    <w:rsid w:val="00822C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E4A98"/>
    <w:pPr>
      <w:spacing w:before="100" w:beforeAutospacing="1" w:after="100" w:afterAutospacing="1"/>
    </w:pPr>
  </w:style>
  <w:style w:type="paragraph" w:styleId="a4">
    <w:name w:val="List Paragraph"/>
    <w:basedOn w:val="a"/>
    <w:link w:val="a5"/>
    <w:uiPriority w:val="34"/>
    <w:qFormat/>
    <w:rsid w:val="005E4A98"/>
    <w:pPr>
      <w:ind w:left="720"/>
      <w:contextualSpacing/>
    </w:pPr>
  </w:style>
  <w:style w:type="paragraph" w:styleId="a6">
    <w:name w:val="header"/>
    <w:basedOn w:val="a"/>
    <w:link w:val="a7"/>
    <w:uiPriority w:val="99"/>
    <w:unhideWhenUsed/>
    <w:rsid w:val="006565C3"/>
    <w:pPr>
      <w:tabs>
        <w:tab w:val="center" w:pos="4677"/>
        <w:tab w:val="right" w:pos="9355"/>
      </w:tabs>
    </w:pPr>
  </w:style>
  <w:style w:type="character" w:customStyle="1" w:styleId="a7">
    <w:name w:val="Верхний колонтитул Знак"/>
    <w:basedOn w:val="a0"/>
    <w:link w:val="a6"/>
    <w:uiPriority w:val="99"/>
    <w:rsid w:val="006565C3"/>
    <w:rPr>
      <w:rFonts w:ascii="Times New Roman" w:eastAsia="Times New Roman" w:hAnsi="Times New Roman" w:cs="Times New Roman"/>
      <w:sz w:val="24"/>
      <w:szCs w:val="24"/>
      <w:lang w:eastAsia="ru-RU" w:bidi="ar-SA"/>
    </w:rPr>
  </w:style>
  <w:style w:type="paragraph" w:styleId="a8">
    <w:name w:val="footer"/>
    <w:basedOn w:val="a"/>
    <w:link w:val="a9"/>
    <w:uiPriority w:val="99"/>
    <w:unhideWhenUsed/>
    <w:rsid w:val="006565C3"/>
    <w:pPr>
      <w:tabs>
        <w:tab w:val="center" w:pos="4677"/>
        <w:tab w:val="right" w:pos="9355"/>
      </w:tabs>
    </w:pPr>
  </w:style>
  <w:style w:type="character" w:customStyle="1" w:styleId="a9">
    <w:name w:val="Нижний колонтитул Знак"/>
    <w:basedOn w:val="a0"/>
    <w:link w:val="a8"/>
    <w:uiPriority w:val="99"/>
    <w:rsid w:val="006565C3"/>
    <w:rPr>
      <w:rFonts w:ascii="Times New Roman" w:eastAsia="Times New Roman" w:hAnsi="Times New Roman" w:cs="Times New Roman"/>
      <w:sz w:val="24"/>
      <w:szCs w:val="24"/>
      <w:lang w:eastAsia="ru-RU" w:bidi="ar-SA"/>
    </w:rPr>
  </w:style>
  <w:style w:type="character" w:styleId="aa">
    <w:name w:val="footnote reference"/>
    <w:aliases w:val="Знак сноски-FN,Ciae niinee-FN,Знак сноски 1"/>
    <w:uiPriority w:val="99"/>
    <w:rsid w:val="005D3B27"/>
    <w:rPr>
      <w:vertAlign w:val="superscript"/>
    </w:rPr>
  </w:style>
  <w:style w:type="paragraph" w:styleId="ab">
    <w:name w:val="footnote text"/>
    <w:basedOn w:val="a"/>
    <w:link w:val="ac"/>
    <w:uiPriority w:val="99"/>
    <w:rsid w:val="005D3B27"/>
    <w:rPr>
      <w:sz w:val="20"/>
      <w:szCs w:val="20"/>
    </w:rPr>
  </w:style>
  <w:style w:type="character" w:customStyle="1" w:styleId="ac">
    <w:name w:val="Текст сноски Знак"/>
    <w:basedOn w:val="a0"/>
    <w:link w:val="ab"/>
    <w:uiPriority w:val="99"/>
    <w:qFormat/>
    <w:rsid w:val="005D3B27"/>
    <w:rPr>
      <w:rFonts w:ascii="Times New Roman" w:eastAsia="Times New Roman" w:hAnsi="Times New Roman" w:cs="Times New Roman"/>
      <w:sz w:val="20"/>
      <w:szCs w:val="20"/>
      <w:lang w:eastAsia="ru-RU" w:bidi="ar-SA"/>
    </w:rPr>
  </w:style>
  <w:style w:type="character" w:styleId="ad">
    <w:name w:val="Hyperlink"/>
    <w:uiPriority w:val="99"/>
    <w:unhideWhenUsed/>
    <w:rsid w:val="005D3B27"/>
    <w:rPr>
      <w:color w:val="0000FF"/>
      <w:u w:val="single"/>
    </w:rPr>
  </w:style>
  <w:style w:type="paragraph" w:customStyle="1" w:styleId="11">
    <w:name w:val="Стиль1"/>
    <w:basedOn w:val="a"/>
    <w:link w:val="12"/>
    <w:qFormat/>
    <w:rsid w:val="00B351EC"/>
    <w:pPr>
      <w:spacing w:line="276" w:lineRule="auto"/>
      <w:jc w:val="both"/>
    </w:pPr>
    <w:rPr>
      <w:rFonts w:eastAsiaTheme="minorHAnsi" w:cstheme="minorBidi"/>
      <w:sz w:val="28"/>
      <w:szCs w:val="22"/>
      <w:lang w:eastAsia="en-US"/>
    </w:rPr>
  </w:style>
  <w:style w:type="character" w:customStyle="1" w:styleId="12">
    <w:name w:val="Стиль1 Знак"/>
    <w:basedOn w:val="a0"/>
    <w:link w:val="11"/>
    <w:rsid w:val="00B351EC"/>
    <w:rPr>
      <w:rFonts w:ascii="Times New Roman" w:eastAsiaTheme="minorHAnsi" w:hAnsi="Times New Roman"/>
      <w:sz w:val="28"/>
      <w:szCs w:val="22"/>
      <w:lang w:eastAsia="en-US" w:bidi="ar-SA"/>
    </w:rPr>
  </w:style>
  <w:style w:type="paragraph" w:customStyle="1" w:styleId="Style1">
    <w:name w:val="Style1"/>
    <w:basedOn w:val="11"/>
    <w:link w:val="Style1Char"/>
    <w:qFormat/>
    <w:rsid w:val="00B351EC"/>
    <w:pPr>
      <w:ind w:firstLine="709"/>
    </w:pPr>
    <w:rPr>
      <w:rFonts w:cs="Times New Roman"/>
    </w:rPr>
  </w:style>
  <w:style w:type="table" w:styleId="ae">
    <w:name w:val="Table Grid"/>
    <w:aliases w:val="ЭЭГ - Сетка таблицы"/>
    <w:basedOn w:val="a1"/>
    <w:uiPriority w:val="59"/>
    <w:rsid w:val="00B351EC"/>
    <w:pPr>
      <w:spacing w:after="0" w:line="240" w:lineRule="auto"/>
    </w:pPr>
    <w:rPr>
      <w:rFonts w:ascii="Times New Roman" w:eastAsiaTheme="minorHAnsi" w:hAnsi="Times New Roman"/>
      <w:sz w:val="28"/>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12"/>
    <w:link w:val="Style1"/>
    <w:rsid w:val="00B351EC"/>
    <w:rPr>
      <w:rFonts w:ascii="Times New Roman" w:eastAsiaTheme="minorHAnsi" w:hAnsi="Times New Roman" w:cs="Times New Roman"/>
      <w:sz w:val="28"/>
      <w:szCs w:val="22"/>
      <w:lang w:eastAsia="en-US" w:bidi="ar-SA"/>
    </w:rPr>
  </w:style>
  <w:style w:type="paragraph" w:customStyle="1" w:styleId="Default">
    <w:name w:val="Default"/>
    <w:rsid w:val="00B351EC"/>
    <w:pPr>
      <w:autoSpaceDE w:val="0"/>
      <w:autoSpaceDN w:val="0"/>
      <w:adjustRightInd w:val="0"/>
      <w:spacing w:after="0" w:line="240" w:lineRule="auto"/>
    </w:pPr>
    <w:rPr>
      <w:rFonts w:ascii="Arial" w:eastAsiaTheme="minorHAnsi" w:hAnsi="Arial" w:cs="Arial"/>
      <w:color w:val="000000"/>
      <w:sz w:val="24"/>
      <w:szCs w:val="24"/>
      <w:lang w:eastAsia="en-US" w:bidi="ar-SA"/>
    </w:rPr>
  </w:style>
  <w:style w:type="table" w:customStyle="1" w:styleId="6">
    <w:name w:val="Сетка таблицы6"/>
    <w:basedOn w:val="a1"/>
    <w:next w:val="ae"/>
    <w:uiPriority w:val="39"/>
    <w:rsid w:val="00EA0DCD"/>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5374A"/>
    <w:pPr>
      <w:widowControl w:val="0"/>
      <w:autoSpaceDE w:val="0"/>
      <w:autoSpaceDN w:val="0"/>
      <w:spacing w:after="0" w:line="240" w:lineRule="auto"/>
    </w:pPr>
    <w:rPr>
      <w:rFonts w:ascii="Arial" w:hAnsi="Arial" w:cs="Arial"/>
      <w:sz w:val="20"/>
      <w:szCs w:val="22"/>
      <w:lang w:eastAsia="ru-RU" w:bidi="ar-SA"/>
    </w:rPr>
  </w:style>
  <w:style w:type="paragraph" w:styleId="af">
    <w:name w:val="Balloon Text"/>
    <w:basedOn w:val="a"/>
    <w:link w:val="af0"/>
    <w:uiPriority w:val="99"/>
    <w:semiHidden/>
    <w:unhideWhenUsed/>
    <w:rsid w:val="009C4461"/>
    <w:rPr>
      <w:rFonts w:ascii="Tahoma" w:hAnsi="Tahoma" w:cs="Tahoma"/>
      <w:sz w:val="16"/>
      <w:szCs w:val="16"/>
    </w:rPr>
  </w:style>
  <w:style w:type="character" w:customStyle="1" w:styleId="af0">
    <w:name w:val="Текст выноски Знак"/>
    <w:basedOn w:val="a0"/>
    <w:link w:val="af"/>
    <w:uiPriority w:val="99"/>
    <w:semiHidden/>
    <w:rsid w:val="009C4461"/>
    <w:rPr>
      <w:rFonts w:ascii="Tahoma" w:eastAsia="Times New Roman" w:hAnsi="Tahoma" w:cs="Tahoma"/>
      <w:sz w:val="16"/>
      <w:szCs w:val="16"/>
      <w:lang w:eastAsia="ru-RU" w:bidi="ar-SA"/>
    </w:rPr>
  </w:style>
  <w:style w:type="character" w:customStyle="1" w:styleId="UnresolvedMention">
    <w:name w:val="Unresolved Mention"/>
    <w:basedOn w:val="a0"/>
    <w:uiPriority w:val="99"/>
    <w:semiHidden/>
    <w:unhideWhenUsed/>
    <w:rsid w:val="00223C8F"/>
    <w:rPr>
      <w:color w:val="605E5C"/>
      <w:shd w:val="clear" w:color="auto" w:fill="E1DFDD"/>
    </w:rPr>
  </w:style>
  <w:style w:type="character" w:customStyle="1" w:styleId="af1">
    <w:name w:val="Привязка сноски"/>
    <w:rsid w:val="00DC5282"/>
    <w:rPr>
      <w:vertAlign w:val="superscript"/>
    </w:rPr>
  </w:style>
  <w:style w:type="character" w:customStyle="1" w:styleId="a5">
    <w:name w:val="Абзац списка Знак"/>
    <w:link w:val="a4"/>
    <w:uiPriority w:val="34"/>
    <w:qFormat/>
    <w:rsid w:val="00DC5282"/>
    <w:rPr>
      <w:rFonts w:ascii="Times New Roman" w:eastAsia="Times New Roman" w:hAnsi="Times New Roman" w:cs="Times New Roman"/>
      <w:sz w:val="24"/>
      <w:szCs w:val="24"/>
      <w:lang w:eastAsia="ru-RU" w:bidi="ar-SA"/>
    </w:rPr>
  </w:style>
  <w:style w:type="character" w:customStyle="1" w:styleId="af2">
    <w:name w:val="Символ сноски"/>
    <w:qFormat/>
    <w:rsid w:val="00DC5282"/>
  </w:style>
  <w:style w:type="character" w:customStyle="1" w:styleId="10">
    <w:name w:val="Заголовок 1 Знак"/>
    <w:basedOn w:val="a0"/>
    <w:link w:val="1"/>
    <w:uiPriority w:val="9"/>
    <w:rsid w:val="00822CA4"/>
    <w:rPr>
      <w:rFonts w:asciiTheme="majorHAnsi" w:eastAsiaTheme="majorEastAsia" w:hAnsiTheme="majorHAnsi" w:cstheme="majorBidi"/>
      <w:color w:val="2F5496" w:themeColor="accent1" w:themeShade="BF"/>
      <w:sz w:val="32"/>
      <w:szCs w:val="32"/>
      <w:lang w:eastAsia="ru-RU" w:bidi="ar-SA"/>
    </w:rPr>
  </w:style>
  <w:style w:type="paragraph" w:styleId="af3">
    <w:name w:val="TOC Heading"/>
    <w:basedOn w:val="1"/>
    <w:next w:val="a"/>
    <w:uiPriority w:val="39"/>
    <w:unhideWhenUsed/>
    <w:qFormat/>
    <w:rsid w:val="00772BE0"/>
    <w:pPr>
      <w:spacing w:line="259" w:lineRule="auto"/>
      <w:outlineLvl w:val="9"/>
    </w:pPr>
  </w:style>
  <w:style w:type="paragraph" w:styleId="13">
    <w:name w:val="toc 1"/>
    <w:basedOn w:val="a"/>
    <w:next w:val="a"/>
    <w:autoRedefine/>
    <w:uiPriority w:val="39"/>
    <w:unhideWhenUsed/>
    <w:rsid w:val="00772BE0"/>
    <w:pPr>
      <w:spacing w:after="100"/>
    </w:pPr>
  </w:style>
  <w:style w:type="paragraph" w:styleId="2">
    <w:name w:val="toc 2"/>
    <w:basedOn w:val="a"/>
    <w:next w:val="a"/>
    <w:autoRedefine/>
    <w:uiPriority w:val="39"/>
    <w:unhideWhenUsed/>
    <w:rsid w:val="0096730A"/>
    <w:pPr>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rsid w:val="0096730A"/>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ogin.consultant.ru/link/?req=doc&amp;base=LAW&amp;n=421832&amp;dst=100103&amp;field=134&amp;date=05.10.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3" Type="http://schemas.openxmlformats.org/officeDocument/2006/relationships/hyperlink" Target="https://rosstat.gov.ru/storage/mediabank/148_07-09-2022.htm" TargetMode="External"/><Relationship Id="rId7" Type="http://schemas.openxmlformats.org/officeDocument/2006/relationships/hyperlink" Target="https://sozd.duma.gov.ru/bill/201622-8" TargetMode="External"/><Relationship Id="rId2" Type="http://schemas.openxmlformats.org/officeDocument/2006/relationships/hyperlink" Target="https://www.consultant.ru/document/cons_doc_LAW_402647/" TargetMode="External"/><Relationship Id="rId1" Type="http://schemas.openxmlformats.org/officeDocument/2006/relationships/hyperlink" Target="https://ach.gov.ru/search" TargetMode="External"/><Relationship Id="rId6" Type="http://schemas.openxmlformats.org/officeDocument/2006/relationships/hyperlink" Target="https://sozd.duma.gov.ru/bill/201614-8" TargetMode="External"/><Relationship Id="rId5" Type="http://schemas.openxmlformats.org/officeDocument/2006/relationships/hyperlink" Target="https://culture.gov.ru/documents/o-prioritetnykh-temakh-gosudarstvennoy-finansovoy-podderzhki-kinoproizvodstva-v-2022-godu1802202201/" TargetMode="External"/><Relationship Id="rId4" Type="http://schemas.openxmlformats.org/officeDocument/2006/relationships/hyperlink" Target="https://sozd.duma.gov.ru/bill/1027744-7" TargetMode="External"/></Relationships>
</file>

<file path=word/charts/_rels/chart6.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Iosa\&#1056;&#1072;&#1073;&#1086;&#1090;&#1072;\&#1048;&#1085;&#1089;&#1090;&#1080;&#1090;&#1091;&#1090;%20&#1101;&#1082;&#1086;&#1085;&#1086;&#1084;&#1080;&#1082;&#1080;\&#1101;&#1082;&#1089;&#1087;&#1077;&#1088;&#1090;&#1080;&#1079;&#1072;%20&#1073;&#1102;&#1076;&#1078;&#1077;&#1090;&#1072;\2023\&#1041;&#1102;&#1076;&#1078;&#1077;&#1090;%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87499999999999"/>
          <c:y val="3.07777777777778E-2"/>
          <c:w val="0.72250000000000003"/>
          <c:h val="0.663333333333333"/>
        </c:manualLayout>
      </c:layout>
      <c:barChart>
        <c:barDir val="col"/>
        <c:grouping val="clustered"/>
        <c:varyColors val="0"/>
        <c:ser>
          <c:idx val="0"/>
          <c:order val="0"/>
          <c:tx>
            <c:strRef>
              <c:f>label 0</c:f>
              <c:strCache>
                <c:ptCount val="1"/>
                <c:pt idx="0">
                  <c:v>Нефтегазовые доходы</c:v>
                </c:pt>
              </c:strCache>
            </c:strRef>
          </c:tx>
          <c:spPr>
            <a:solidFill>
              <a:srgbClr val="385EA2"/>
            </a:solidFill>
            <a:ln w="6480">
              <a:solidFill>
                <a:srgbClr val="FFFFFF"/>
              </a:solidFill>
              <a:round/>
            </a:ln>
          </c:spPr>
          <c:invertIfNegative val="0"/>
          <c:dLbls>
            <c:numFmt formatCode="0.0"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8"/>
                <c:pt idx="0">
                  <c:v>2019 г.</c:v>
                </c:pt>
                <c:pt idx="1">
                  <c:v>2020 г.</c:v>
                </c:pt>
                <c:pt idx="2">
                  <c:v>2021</c:v>
                </c:pt>
                <c:pt idx="3">
                  <c:v>2022 г. полугодие</c:v>
                </c:pt>
                <c:pt idx="4">
                  <c:v>2022 г. (оценка)</c:v>
                </c:pt>
                <c:pt idx="5">
                  <c:v>2023 г.</c:v>
                </c:pt>
                <c:pt idx="6">
                  <c:v>2024 г.</c:v>
                </c:pt>
                <c:pt idx="7">
                  <c:v>2025 г.</c:v>
                </c:pt>
              </c:strCache>
            </c:strRef>
          </c:cat>
          <c:val>
            <c:numRef>
              <c:f>0</c:f>
              <c:numCache>
                <c:formatCode>General</c:formatCode>
                <c:ptCount val="8"/>
                <c:pt idx="0">
                  <c:v>7.5</c:v>
                </c:pt>
                <c:pt idx="1">
                  <c:v>4.9000000000000004</c:v>
                </c:pt>
                <c:pt idx="2">
                  <c:v>6.9</c:v>
                </c:pt>
                <c:pt idx="3">
                  <c:v>9.1999999999999993</c:v>
                </c:pt>
                <c:pt idx="4">
                  <c:v>8</c:v>
                </c:pt>
                <c:pt idx="5">
                  <c:v>6</c:v>
                </c:pt>
                <c:pt idx="6">
                  <c:v>5.4</c:v>
                </c:pt>
                <c:pt idx="7">
                  <c:v>5</c:v>
                </c:pt>
              </c:numCache>
            </c:numRef>
          </c:val>
          <c:extLst xmlns:c16r2="http://schemas.microsoft.com/office/drawing/2015/06/chart">
            <c:ext xmlns:c16="http://schemas.microsoft.com/office/drawing/2014/chart" uri="{C3380CC4-5D6E-409C-BE32-E72D297353CC}">
              <c16:uniqueId val="{00000000-126B-4430-A570-2DCD4902B5C0}"/>
            </c:ext>
          </c:extLst>
        </c:ser>
        <c:ser>
          <c:idx val="1"/>
          <c:order val="1"/>
          <c:tx>
            <c:strRef>
              <c:f>label 1</c:f>
              <c:strCache>
                <c:ptCount val="1"/>
                <c:pt idx="0">
                  <c:v>Ненефтегазовые доходы </c:v>
                </c:pt>
              </c:strCache>
            </c:strRef>
          </c:tx>
          <c:spPr>
            <a:solidFill>
              <a:srgbClr val="4472C4"/>
            </a:solidFill>
            <a:ln w="6480">
              <a:solidFill>
                <a:srgbClr val="FFFFFF"/>
              </a:solidFill>
              <a:round/>
            </a:ln>
          </c:spPr>
          <c:invertIfNegative val="0"/>
          <c:dLbls>
            <c:numFmt formatCode="0.0"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8"/>
                <c:pt idx="0">
                  <c:v>2019 г.</c:v>
                </c:pt>
                <c:pt idx="1">
                  <c:v>2020 г.</c:v>
                </c:pt>
                <c:pt idx="2">
                  <c:v>2021</c:v>
                </c:pt>
                <c:pt idx="3">
                  <c:v>2022 г. полугодие</c:v>
                </c:pt>
                <c:pt idx="4">
                  <c:v>2022 г. (оценка)</c:v>
                </c:pt>
                <c:pt idx="5">
                  <c:v>2023 г.</c:v>
                </c:pt>
                <c:pt idx="6">
                  <c:v>2024 г.</c:v>
                </c:pt>
                <c:pt idx="7">
                  <c:v>2025 г.</c:v>
                </c:pt>
              </c:strCache>
            </c:strRef>
          </c:cat>
          <c:val>
            <c:numRef>
              <c:f>1</c:f>
              <c:numCache>
                <c:formatCode>General</c:formatCode>
                <c:ptCount val="8"/>
                <c:pt idx="0">
                  <c:v>10.8</c:v>
                </c:pt>
                <c:pt idx="1">
                  <c:v>12.6</c:v>
                </c:pt>
                <c:pt idx="2">
                  <c:v>12.4</c:v>
                </c:pt>
                <c:pt idx="3">
                  <c:v>11</c:v>
                </c:pt>
                <c:pt idx="4">
                  <c:v>11</c:v>
                </c:pt>
                <c:pt idx="5">
                  <c:v>11.5</c:v>
                </c:pt>
                <c:pt idx="6">
                  <c:v>11.6</c:v>
                </c:pt>
                <c:pt idx="7">
                  <c:v>11.4</c:v>
                </c:pt>
              </c:numCache>
            </c:numRef>
          </c:val>
          <c:extLst xmlns:c16r2="http://schemas.microsoft.com/office/drawing/2015/06/chart">
            <c:ext xmlns:c16="http://schemas.microsoft.com/office/drawing/2014/chart" uri="{C3380CC4-5D6E-409C-BE32-E72D297353CC}">
              <c16:uniqueId val="{00000001-126B-4430-A570-2DCD4902B5C0}"/>
            </c:ext>
          </c:extLst>
        </c:ser>
        <c:dLbls>
          <c:showLegendKey val="0"/>
          <c:showVal val="0"/>
          <c:showCatName val="0"/>
          <c:showSerName val="0"/>
          <c:showPercent val="0"/>
          <c:showBubbleSize val="0"/>
        </c:dLbls>
        <c:gapWidth val="150"/>
        <c:axId val="116707328"/>
        <c:axId val="116961280"/>
      </c:barChart>
      <c:lineChart>
        <c:grouping val="standard"/>
        <c:varyColors val="0"/>
        <c:ser>
          <c:idx val="2"/>
          <c:order val="2"/>
          <c:tx>
            <c:strRef>
              <c:f>label 2</c:f>
              <c:strCache>
                <c:ptCount val="1"/>
                <c:pt idx="0">
                  <c:v>Цена на нефть Юралс, долл/баррель  (правая шкала)</c:v>
                </c:pt>
              </c:strCache>
            </c:strRef>
          </c:tx>
          <c:spPr>
            <a:ln w="31680">
              <a:solidFill>
                <a:srgbClr val="A7B4DB"/>
              </a:solidFill>
              <a:round/>
            </a:ln>
          </c:spPr>
          <c:dPt>
            <c:idx val="0"/>
            <c:bubble3D val="0"/>
            <c:extLst xmlns:c16r2="http://schemas.microsoft.com/office/drawing/2015/06/chart">
              <c:ext xmlns:c16="http://schemas.microsoft.com/office/drawing/2014/chart" uri="{C3380CC4-5D6E-409C-BE32-E72D297353CC}">
                <c16:uniqueId val="{00000002-126B-4430-A570-2DCD4902B5C0}"/>
              </c:ext>
            </c:extLst>
          </c:dPt>
          <c:dPt>
            <c:idx val="1"/>
            <c:bubble3D val="0"/>
            <c:extLst xmlns:c16r2="http://schemas.microsoft.com/office/drawing/2015/06/chart">
              <c:ext xmlns:c16="http://schemas.microsoft.com/office/drawing/2014/chart" uri="{C3380CC4-5D6E-409C-BE32-E72D297353CC}">
                <c16:uniqueId val="{00000003-126B-4430-A570-2DCD4902B5C0}"/>
              </c:ext>
            </c:extLst>
          </c:dPt>
          <c:dPt>
            <c:idx val="2"/>
            <c:bubble3D val="0"/>
            <c:extLst xmlns:c16r2="http://schemas.microsoft.com/office/drawing/2015/06/chart">
              <c:ext xmlns:c16="http://schemas.microsoft.com/office/drawing/2014/chart" uri="{C3380CC4-5D6E-409C-BE32-E72D297353CC}">
                <c16:uniqueId val="{00000004-126B-4430-A570-2DCD4902B5C0}"/>
              </c:ext>
            </c:extLst>
          </c:dPt>
          <c:dPt>
            <c:idx val="3"/>
            <c:bubble3D val="0"/>
            <c:extLst xmlns:c16r2="http://schemas.microsoft.com/office/drawing/2015/06/chart">
              <c:ext xmlns:c16="http://schemas.microsoft.com/office/drawing/2014/chart" uri="{C3380CC4-5D6E-409C-BE32-E72D297353CC}">
                <c16:uniqueId val="{00000005-126B-4430-A570-2DCD4902B5C0}"/>
              </c:ext>
            </c:extLst>
          </c:dPt>
          <c:dPt>
            <c:idx val="4"/>
            <c:bubble3D val="0"/>
            <c:extLst xmlns:c16r2="http://schemas.microsoft.com/office/drawing/2015/06/chart">
              <c:ext xmlns:c16="http://schemas.microsoft.com/office/drawing/2014/chart" uri="{C3380CC4-5D6E-409C-BE32-E72D297353CC}">
                <c16:uniqueId val="{00000006-126B-4430-A570-2DCD4902B5C0}"/>
              </c:ext>
            </c:extLst>
          </c:dPt>
          <c:dPt>
            <c:idx val="5"/>
            <c:bubble3D val="0"/>
            <c:extLst xmlns:c16r2="http://schemas.microsoft.com/office/drawing/2015/06/chart">
              <c:ext xmlns:c16="http://schemas.microsoft.com/office/drawing/2014/chart" uri="{C3380CC4-5D6E-409C-BE32-E72D297353CC}">
                <c16:uniqueId val="{00000007-126B-4430-A570-2DCD4902B5C0}"/>
              </c:ext>
            </c:extLst>
          </c:dPt>
          <c:dPt>
            <c:idx val="6"/>
            <c:bubble3D val="0"/>
            <c:extLst xmlns:c16r2="http://schemas.microsoft.com/office/drawing/2015/06/chart">
              <c:ext xmlns:c16="http://schemas.microsoft.com/office/drawing/2014/chart" uri="{C3380CC4-5D6E-409C-BE32-E72D297353CC}">
                <c16:uniqueId val="{00000008-126B-4430-A570-2DCD4902B5C0}"/>
              </c:ext>
            </c:extLst>
          </c:dPt>
          <c:dPt>
            <c:idx val="7"/>
            <c:bubble3D val="0"/>
            <c:extLst xmlns:c16r2="http://schemas.microsoft.com/office/drawing/2015/06/chart">
              <c:ext xmlns:c16="http://schemas.microsoft.com/office/drawing/2014/chart" uri="{C3380CC4-5D6E-409C-BE32-E72D297353CC}">
                <c16:uniqueId val="{00000009-126B-4430-A570-2DCD4902B5C0}"/>
              </c:ext>
            </c:extLst>
          </c:dPt>
          <c:dLbls>
            <c:dLbl>
              <c:idx val="0"/>
              <c:layout>
                <c:manualLayout>
                  <c:x val="-6.7117732378739803E-2"/>
                  <c:y val="-2.5078369905956101E-2"/>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6B-4430-A570-2DCD4902B5C0}"/>
                </c:ext>
              </c:extLst>
            </c:dLbl>
            <c:dLbl>
              <c:idx val="1"/>
              <c:layout>
                <c:manualLayout>
                  <c:x val="-8.0108261226237695E-2"/>
                  <c:y val="0"/>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6B-4430-A570-2DCD4902B5C0}"/>
                </c:ext>
              </c:extLst>
            </c:dLbl>
            <c:dLbl>
              <c:idx val="2"/>
              <c:layout>
                <c:manualLayout>
                  <c:x val="2.1650881412496699E-3"/>
                  <c:y val="1.2539184952978E-2"/>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26B-4430-A570-2DCD4902B5C0}"/>
                </c:ext>
              </c:extLst>
            </c:dLbl>
            <c:dLbl>
              <c:idx val="3"/>
              <c:layout>
                <c:manualLayout>
                  <c:x val="-2.5981057694996101E-2"/>
                  <c:y val="-3.5109717868338601E-2"/>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26B-4430-A570-2DCD4902B5C0}"/>
                </c:ext>
              </c:extLst>
            </c:dLbl>
            <c:dLbl>
              <c:idx val="4"/>
              <c:layout>
                <c:manualLayout>
                  <c:x val="-2.1650881412496699E-3"/>
                  <c:y val="-3.2601880877743003E-2"/>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26B-4430-A570-2DCD4902B5C0}"/>
                </c:ext>
              </c:extLst>
            </c:dLbl>
            <c:dLbl>
              <c:idx val="5"/>
              <c:layout>
                <c:manualLayout>
                  <c:x val="8.6603525649985996E-3"/>
                  <c:y val="3.7617554858934199E-2"/>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26B-4430-A570-2DCD4902B5C0}"/>
                </c:ext>
              </c:extLst>
            </c:dLbl>
            <c:dLbl>
              <c:idx val="6"/>
              <c:layout>
                <c:manualLayout>
                  <c:x val="6.4952644237490304E-3"/>
                  <c:y val="5.0156739811912397E-2"/>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26B-4430-A570-2DCD4902B5C0}"/>
                </c:ext>
              </c:extLst>
            </c:dLbl>
            <c:dLbl>
              <c:idx val="7"/>
              <c:layout>
                <c:manualLayout>
                  <c:x val="2.1650881412496699E-3"/>
                  <c:y val="2.5078369905956101E-2"/>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26B-4430-A570-2DCD4902B5C0}"/>
                </c:ext>
              </c:extLst>
            </c:dLbl>
            <c:numFmt formatCode="0.0" sourceLinked="0"/>
            <c:spPr>
              <a:noFill/>
              <a:ln>
                <a:noFill/>
              </a:ln>
              <a:effectLst/>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8"/>
                <c:pt idx="0">
                  <c:v>2019 г.</c:v>
                </c:pt>
                <c:pt idx="1">
                  <c:v>2020 г.</c:v>
                </c:pt>
                <c:pt idx="2">
                  <c:v>2021</c:v>
                </c:pt>
                <c:pt idx="3">
                  <c:v>2022 г. полугодие</c:v>
                </c:pt>
                <c:pt idx="4">
                  <c:v>2022 г. (оценка)</c:v>
                </c:pt>
                <c:pt idx="5">
                  <c:v>2023 г.</c:v>
                </c:pt>
                <c:pt idx="6">
                  <c:v>2024 г.</c:v>
                </c:pt>
                <c:pt idx="7">
                  <c:v>2025 г.</c:v>
                </c:pt>
              </c:strCache>
            </c:strRef>
          </c:cat>
          <c:val>
            <c:numRef>
              <c:f>2</c:f>
              <c:numCache>
                <c:formatCode>General</c:formatCode>
                <c:ptCount val="8"/>
                <c:pt idx="0">
                  <c:v>63.8</c:v>
                </c:pt>
                <c:pt idx="1">
                  <c:v>41.4</c:v>
                </c:pt>
                <c:pt idx="2">
                  <c:v>69.099999999999994</c:v>
                </c:pt>
                <c:pt idx="3">
                  <c:v>85.4</c:v>
                </c:pt>
                <c:pt idx="4">
                  <c:v>80</c:v>
                </c:pt>
                <c:pt idx="5">
                  <c:v>70.099999999999994</c:v>
                </c:pt>
                <c:pt idx="6">
                  <c:v>67.5</c:v>
                </c:pt>
                <c:pt idx="7">
                  <c:v>65</c:v>
                </c:pt>
              </c:numCache>
            </c:numRef>
          </c:val>
          <c:smooth val="0"/>
          <c:extLst xmlns:c16r2="http://schemas.microsoft.com/office/drawing/2015/06/chart">
            <c:ext xmlns:c16="http://schemas.microsoft.com/office/drawing/2014/chart" uri="{C3380CC4-5D6E-409C-BE32-E72D297353CC}">
              <c16:uniqueId val="{0000000A-126B-4430-A570-2DCD4902B5C0}"/>
            </c:ext>
          </c:extLst>
        </c:ser>
        <c:dLbls>
          <c:showLegendKey val="0"/>
          <c:showVal val="0"/>
          <c:showCatName val="0"/>
          <c:showSerName val="0"/>
          <c:showPercent val="0"/>
          <c:showBubbleSize val="0"/>
        </c:dLbls>
        <c:hiLowLines>
          <c:spPr>
            <a:ln w="0">
              <a:noFill/>
            </a:ln>
          </c:spPr>
        </c:hiLowLines>
        <c:marker val="1"/>
        <c:smooth val="0"/>
        <c:axId val="116963200"/>
        <c:axId val="116994048"/>
      </c:lineChart>
      <c:catAx>
        <c:axId val="116707328"/>
        <c:scaling>
          <c:orientation val="minMax"/>
        </c:scaling>
        <c:delete val="0"/>
        <c:axPos val="b"/>
        <c:numFmt formatCode="General" sourceLinked="1"/>
        <c:majorTickMark val="none"/>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116961280"/>
        <c:crosses val="autoZero"/>
        <c:auto val="1"/>
        <c:lblAlgn val="ctr"/>
        <c:lblOffset val="100"/>
        <c:noMultiLvlLbl val="0"/>
      </c:catAx>
      <c:valAx>
        <c:axId val="116961280"/>
        <c:scaling>
          <c:orientation val="minMax"/>
        </c:scaling>
        <c:delete val="0"/>
        <c:axPos val="l"/>
        <c:majorGridlines>
          <c:spPr>
            <a:ln w="6480">
              <a:solidFill>
                <a:srgbClr val="8B8B8B"/>
              </a:solidFill>
              <a:round/>
            </a:ln>
          </c:spPr>
        </c:majorGridlines>
        <c:title>
          <c:tx>
            <c:rich>
              <a:bodyPr rot="-5400000"/>
              <a:lstStyle/>
              <a:p>
                <a:pPr>
                  <a:defRPr lang="ru-RU" sz="1000" b="1" strike="noStrike" spc="-1">
                    <a:solidFill>
                      <a:srgbClr val="000000"/>
                    </a:solidFill>
                    <a:latin typeface="Calibri"/>
                  </a:defRPr>
                </a:pPr>
                <a:r>
                  <a:rPr lang="ru-RU" sz="1000" b="1" strike="noStrike" spc="-1">
                    <a:solidFill>
                      <a:srgbClr val="000000"/>
                    </a:solidFill>
                    <a:latin typeface="Calibri"/>
                  </a:rPr>
                  <a:t>%% ВВП</a:t>
                </a:r>
              </a:p>
            </c:rich>
          </c:tx>
          <c:overlay val="0"/>
          <c:spPr>
            <a:noFill/>
            <a:ln w="0">
              <a:noFill/>
            </a:ln>
          </c:spPr>
        </c:title>
        <c:numFmt formatCode="0.0"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116707328"/>
        <c:crosses val="autoZero"/>
        <c:crossBetween val="between"/>
      </c:valAx>
      <c:catAx>
        <c:axId val="116963200"/>
        <c:scaling>
          <c:orientation val="minMax"/>
        </c:scaling>
        <c:delete val="1"/>
        <c:axPos val="b"/>
        <c:numFmt formatCode="General" sourceLinked="1"/>
        <c:majorTickMark val="out"/>
        <c:minorTickMark val="none"/>
        <c:tickLblPos val="none"/>
        <c:crossAx val="116994048"/>
        <c:crosses val="autoZero"/>
        <c:auto val="1"/>
        <c:lblAlgn val="ctr"/>
        <c:lblOffset val="100"/>
        <c:noMultiLvlLbl val="0"/>
      </c:catAx>
      <c:valAx>
        <c:axId val="116994048"/>
        <c:scaling>
          <c:orientation val="minMax"/>
        </c:scaling>
        <c:delete val="0"/>
        <c:axPos val="r"/>
        <c:numFmt formatCode="0.0"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116963200"/>
        <c:crosses val="max"/>
        <c:crossBetween val="between"/>
      </c:valAx>
      <c:spPr>
        <a:noFill/>
        <a:ln w="0">
          <a:noFill/>
        </a:ln>
      </c:spPr>
    </c:plotArea>
    <c:legend>
      <c:legendPos val="r"/>
      <c:layout>
        <c:manualLayout>
          <c:xMode val="edge"/>
          <c:yMode val="edge"/>
          <c:x val="0.13393749999999999"/>
          <c:y val="0.88288888888888895"/>
          <c:w val="0.72317019813738403"/>
          <c:h val="0.114679408823203"/>
        </c:manualLayout>
      </c:layout>
      <c:overlay val="0"/>
      <c:spPr>
        <a:noFill/>
        <a:ln w="0">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124999999999999E-2"/>
          <c:y val="1.8111111111111099E-2"/>
          <c:w val="0.84587500000000004"/>
          <c:h val="0.72844444444444401"/>
        </c:manualLayout>
      </c:layout>
      <c:barChart>
        <c:barDir val="col"/>
        <c:grouping val="clustered"/>
        <c:varyColors val="0"/>
        <c:ser>
          <c:idx val="0"/>
          <c:order val="0"/>
          <c:tx>
            <c:strRef>
              <c:f>label 0</c:f>
              <c:strCache>
                <c:ptCount val="1"/>
                <c:pt idx="0">
                  <c:v>НДПИ </c:v>
                </c:pt>
              </c:strCache>
            </c:strRef>
          </c:tx>
          <c:spPr>
            <a:solidFill>
              <a:srgbClr val="35599A"/>
            </a:solidFill>
            <a:ln w="6480">
              <a:solidFill>
                <a:srgbClr val="FFFFFF"/>
              </a:solidFill>
              <a:round/>
            </a:ln>
          </c:spPr>
          <c:invertIfNegative val="0"/>
          <c:dLbls>
            <c:numFmt formatCode="General"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2019 г.</c:v>
                </c:pt>
                <c:pt idx="1">
                  <c:v>2020 г. </c:v>
                </c:pt>
                <c:pt idx="2">
                  <c:v>2021 г. </c:v>
                </c:pt>
                <c:pt idx="3">
                  <c:v>2022 г. оценка</c:v>
                </c:pt>
                <c:pt idx="4">
                  <c:v>2023</c:v>
                </c:pt>
                <c:pt idx="5">
                  <c:v>2024</c:v>
                </c:pt>
                <c:pt idx="6">
                  <c:v>2025</c:v>
                </c:pt>
              </c:strCache>
            </c:strRef>
          </c:cat>
          <c:val>
            <c:numRef>
              <c:f>0</c:f>
              <c:numCache>
                <c:formatCode>General</c:formatCode>
                <c:ptCount val="7"/>
                <c:pt idx="0">
                  <c:v>5971.7</c:v>
                </c:pt>
                <c:pt idx="1">
                  <c:v>3819.7</c:v>
                </c:pt>
                <c:pt idx="2">
                  <c:v>7110.9</c:v>
                </c:pt>
                <c:pt idx="3">
                  <c:v>10673.6</c:v>
                </c:pt>
                <c:pt idx="4">
                  <c:v>7945.6061</c:v>
                </c:pt>
                <c:pt idx="5">
                  <c:v>8102.1768000000002</c:v>
                </c:pt>
                <c:pt idx="6">
                  <c:v>8187.9161000000004</c:v>
                </c:pt>
              </c:numCache>
            </c:numRef>
          </c:val>
          <c:extLst xmlns:c16r2="http://schemas.microsoft.com/office/drawing/2015/06/chart">
            <c:ext xmlns:c16="http://schemas.microsoft.com/office/drawing/2014/chart" uri="{C3380CC4-5D6E-409C-BE32-E72D297353CC}">
              <c16:uniqueId val="{00000000-69CE-46FD-B2BC-D66F2994D736}"/>
            </c:ext>
          </c:extLst>
        </c:ser>
        <c:ser>
          <c:idx val="1"/>
          <c:order val="1"/>
          <c:tx>
            <c:strRef>
              <c:f>label 1</c:f>
              <c:strCache>
                <c:ptCount val="1"/>
                <c:pt idx="0">
                  <c:v>НДД</c:v>
                </c:pt>
              </c:strCache>
            </c:strRef>
          </c:tx>
          <c:spPr>
            <a:solidFill>
              <a:srgbClr val="3F6AB7"/>
            </a:solidFill>
            <a:ln w="6480">
              <a:solidFill>
                <a:srgbClr val="FFFFFF"/>
              </a:solidFill>
              <a:round/>
            </a:ln>
          </c:spPr>
          <c:invertIfNegative val="0"/>
          <c:dPt>
            <c:idx val="0"/>
            <c:invertIfNegative val="0"/>
            <c:bubble3D val="0"/>
            <c:extLst xmlns:c16r2="http://schemas.microsoft.com/office/drawing/2015/06/chart">
              <c:ext xmlns:c16="http://schemas.microsoft.com/office/drawing/2014/chart" uri="{C3380CC4-5D6E-409C-BE32-E72D297353CC}">
                <c16:uniqueId val="{00000001-69CE-46FD-B2BC-D66F2994D736}"/>
              </c:ext>
            </c:extLst>
          </c:dPt>
          <c:dPt>
            <c:idx val="1"/>
            <c:invertIfNegative val="0"/>
            <c:bubble3D val="0"/>
            <c:extLst xmlns:c16r2="http://schemas.microsoft.com/office/drawing/2015/06/chart">
              <c:ext xmlns:c16="http://schemas.microsoft.com/office/drawing/2014/chart" uri="{C3380CC4-5D6E-409C-BE32-E72D297353CC}">
                <c16:uniqueId val="{00000002-69CE-46FD-B2BC-D66F2994D736}"/>
              </c:ext>
            </c:extLst>
          </c:dPt>
          <c:dPt>
            <c:idx val="2"/>
            <c:invertIfNegative val="0"/>
            <c:bubble3D val="0"/>
            <c:extLst xmlns:c16r2="http://schemas.microsoft.com/office/drawing/2015/06/chart">
              <c:ext xmlns:c16="http://schemas.microsoft.com/office/drawing/2014/chart" uri="{C3380CC4-5D6E-409C-BE32-E72D297353CC}">
                <c16:uniqueId val="{00000003-69CE-46FD-B2BC-D66F2994D736}"/>
              </c:ext>
            </c:extLst>
          </c:dPt>
          <c:dPt>
            <c:idx val="4"/>
            <c:invertIfNegative val="0"/>
            <c:bubble3D val="0"/>
            <c:extLst xmlns:c16r2="http://schemas.microsoft.com/office/drawing/2015/06/chart">
              <c:ext xmlns:c16="http://schemas.microsoft.com/office/drawing/2014/chart" uri="{C3380CC4-5D6E-409C-BE32-E72D297353CC}">
                <c16:uniqueId val="{00000004-69CE-46FD-B2BC-D66F2994D736}"/>
              </c:ext>
            </c:extLst>
          </c:dPt>
          <c:dPt>
            <c:idx val="5"/>
            <c:invertIfNegative val="0"/>
            <c:bubble3D val="0"/>
            <c:extLst xmlns:c16r2="http://schemas.microsoft.com/office/drawing/2015/06/chart">
              <c:ext xmlns:c16="http://schemas.microsoft.com/office/drawing/2014/chart" uri="{C3380CC4-5D6E-409C-BE32-E72D297353CC}">
                <c16:uniqueId val="{00000005-69CE-46FD-B2BC-D66F2994D736}"/>
              </c:ext>
            </c:extLst>
          </c:dPt>
          <c:dPt>
            <c:idx val="6"/>
            <c:invertIfNegative val="0"/>
            <c:bubble3D val="0"/>
            <c:extLst xmlns:c16r2="http://schemas.microsoft.com/office/drawing/2015/06/chart">
              <c:ext xmlns:c16="http://schemas.microsoft.com/office/drawing/2014/chart" uri="{C3380CC4-5D6E-409C-BE32-E72D297353CC}">
                <c16:uniqueId val="{00000006-69CE-46FD-B2BC-D66F2994D736}"/>
              </c:ext>
            </c:extLst>
          </c:dPt>
          <c:dLbls>
            <c:dLbl>
              <c:idx val="0"/>
              <c:layout>
                <c:manualLayout>
                  <c:x val="7.5011731657638504E-3"/>
                  <c:y val="-9.7777777777777797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CE-46FD-B2BC-D66F2994D736}"/>
                </c:ext>
              </c:extLst>
            </c:dLbl>
            <c:dLbl>
              <c:idx val="1"/>
              <c:layout>
                <c:manualLayout>
                  <c:x val="3.75058658288192E-3"/>
                  <c:y val="-5.9259259259259199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9CE-46FD-B2BC-D66F2994D736}"/>
                </c:ext>
              </c:extLst>
            </c:dLbl>
            <c:dLbl>
              <c:idx val="2"/>
              <c:layout>
                <c:manualLayout>
                  <c:x val="2.2503519497291499E-2"/>
                  <c:y val="-5.3333333333333503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9CE-46FD-B2BC-D66F2994D736}"/>
                </c:ext>
              </c:extLst>
            </c:dLbl>
            <c:dLbl>
              <c:idx val="4"/>
              <c:layout>
                <c:manualLayout>
                  <c:x val="1.50023463315276E-2"/>
                  <c:y val="-5.62962962962964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9CE-46FD-B2BC-D66F2994D736}"/>
                </c:ext>
              </c:extLst>
            </c:dLbl>
            <c:dLbl>
              <c:idx val="5"/>
              <c:layout>
                <c:manualLayout>
                  <c:x val="1.68776396229686E-2"/>
                  <c:y val="-4.7407407407407502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9CE-46FD-B2BC-D66F2994D736}"/>
                </c:ext>
              </c:extLst>
            </c:dLbl>
            <c:dLbl>
              <c:idx val="6"/>
              <c:layout>
                <c:manualLayout>
                  <c:x val="2.4378812788732399E-2"/>
                  <c:y val="-8.8888888888889097E-3"/>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9CE-46FD-B2BC-D66F2994D736}"/>
                </c:ext>
              </c:extLst>
            </c:dLbl>
            <c:numFmt formatCode="General"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2019 г.</c:v>
                </c:pt>
                <c:pt idx="1">
                  <c:v>2020 г. </c:v>
                </c:pt>
                <c:pt idx="2">
                  <c:v>2021 г. </c:v>
                </c:pt>
                <c:pt idx="3">
                  <c:v>2022 г. оценка</c:v>
                </c:pt>
                <c:pt idx="4">
                  <c:v>2023</c:v>
                </c:pt>
                <c:pt idx="5">
                  <c:v>2024</c:v>
                </c:pt>
                <c:pt idx="6">
                  <c:v>2025</c:v>
                </c:pt>
              </c:strCache>
            </c:strRef>
          </c:cat>
          <c:val>
            <c:numRef>
              <c:f>1</c:f>
              <c:numCache>
                <c:formatCode>General</c:formatCode>
                <c:ptCount val="7"/>
                <c:pt idx="0">
                  <c:v>101</c:v>
                </c:pt>
                <c:pt idx="1">
                  <c:v>149</c:v>
                </c:pt>
                <c:pt idx="2">
                  <c:v>1008.7</c:v>
                </c:pt>
                <c:pt idx="3">
                  <c:v>1612.9</c:v>
                </c:pt>
                <c:pt idx="4">
                  <c:v>1081.6010000000001</c:v>
                </c:pt>
                <c:pt idx="5">
                  <c:v>1309.3307</c:v>
                </c:pt>
                <c:pt idx="6">
                  <c:v>1223.6773000000001</c:v>
                </c:pt>
              </c:numCache>
            </c:numRef>
          </c:val>
          <c:extLst xmlns:c16r2="http://schemas.microsoft.com/office/drawing/2015/06/chart">
            <c:ext xmlns:c16="http://schemas.microsoft.com/office/drawing/2014/chart" uri="{C3380CC4-5D6E-409C-BE32-E72D297353CC}">
              <c16:uniqueId val="{00000007-69CE-46FD-B2BC-D66F2994D736}"/>
            </c:ext>
          </c:extLst>
        </c:ser>
        <c:ser>
          <c:idx val="2"/>
          <c:order val="2"/>
          <c:tx>
            <c:strRef>
              <c:f>label 2</c:f>
              <c:strCache>
                <c:ptCount val="1"/>
                <c:pt idx="0">
                  <c:v>Вывозные таможенные пошлины</c:v>
                </c:pt>
              </c:strCache>
            </c:strRef>
          </c:tx>
          <c:spPr>
            <a:solidFill>
              <a:srgbClr val="7991CD"/>
            </a:solidFill>
            <a:ln w="6480">
              <a:solidFill>
                <a:srgbClr val="FFFFFF"/>
              </a:solidFill>
              <a:round/>
            </a:ln>
          </c:spPr>
          <c:invertIfNegative val="0"/>
          <c:dPt>
            <c:idx val="0"/>
            <c:invertIfNegative val="0"/>
            <c:bubble3D val="0"/>
            <c:extLst xmlns:c16r2="http://schemas.microsoft.com/office/drawing/2015/06/chart">
              <c:ext xmlns:c16="http://schemas.microsoft.com/office/drawing/2014/chart" uri="{C3380CC4-5D6E-409C-BE32-E72D297353CC}">
                <c16:uniqueId val="{00000008-69CE-46FD-B2BC-D66F2994D736}"/>
              </c:ext>
            </c:extLst>
          </c:dPt>
          <c:dPt>
            <c:idx val="1"/>
            <c:invertIfNegative val="0"/>
            <c:bubble3D val="0"/>
            <c:extLst xmlns:c16r2="http://schemas.microsoft.com/office/drawing/2015/06/chart">
              <c:ext xmlns:c16="http://schemas.microsoft.com/office/drawing/2014/chart" uri="{C3380CC4-5D6E-409C-BE32-E72D297353CC}">
                <c16:uniqueId val="{00000009-69CE-46FD-B2BC-D66F2994D736}"/>
              </c:ext>
            </c:extLst>
          </c:dPt>
          <c:dPt>
            <c:idx val="2"/>
            <c:invertIfNegative val="0"/>
            <c:bubble3D val="0"/>
            <c:extLst xmlns:c16r2="http://schemas.microsoft.com/office/drawing/2015/06/chart">
              <c:ext xmlns:c16="http://schemas.microsoft.com/office/drawing/2014/chart" uri="{C3380CC4-5D6E-409C-BE32-E72D297353CC}">
                <c16:uniqueId val="{0000000A-69CE-46FD-B2BC-D66F2994D736}"/>
              </c:ext>
            </c:extLst>
          </c:dPt>
          <c:dPt>
            <c:idx val="3"/>
            <c:invertIfNegative val="0"/>
            <c:bubble3D val="0"/>
            <c:extLst xmlns:c16r2="http://schemas.microsoft.com/office/drawing/2015/06/chart">
              <c:ext xmlns:c16="http://schemas.microsoft.com/office/drawing/2014/chart" uri="{C3380CC4-5D6E-409C-BE32-E72D297353CC}">
                <c16:uniqueId val="{0000000B-69CE-46FD-B2BC-D66F2994D736}"/>
              </c:ext>
            </c:extLst>
          </c:dPt>
          <c:dPt>
            <c:idx val="4"/>
            <c:invertIfNegative val="0"/>
            <c:bubble3D val="0"/>
            <c:extLst xmlns:c16r2="http://schemas.microsoft.com/office/drawing/2015/06/chart">
              <c:ext xmlns:c16="http://schemas.microsoft.com/office/drawing/2014/chart" uri="{C3380CC4-5D6E-409C-BE32-E72D297353CC}">
                <c16:uniqueId val="{0000000C-69CE-46FD-B2BC-D66F2994D736}"/>
              </c:ext>
            </c:extLst>
          </c:dPt>
          <c:dPt>
            <c:idx val="5"/>
            <c:invertIfNegative val="0"/>
            <c:bubble3D val="0"/>
            <c:extLst xmlns:c16r2="http://schemas.microsoft.com/office/drawing/2015/06/chart">
              <c:ext xmlns:c16="http://schemas.microsoft.com/office/drawing/2014/chart" uri="{C3380CC4-5D6E-409C-BE32-E72D297353CC}">
                <c16:uniqueId val="{0000000D-69CE-46FD-B2BC-D66F2994D736}"/>
              </c:ext>
            </c:extLst>
          </c:dPt>
          <c:dPt>
            <c:idx val="6"/>
            <c:invertIfNegative val="0"/>
            <c:bubble3D val="0"/>
            <c:extLst xmlns:c16r2="http://schemas.microsoft.com/office/drawing/2015/06/chart">
              <c:ext xmlns:c16="http://schemas.microsoft.com/office/drawing/2014/chart" uri="{C3380CC4-5D6E-409C-BE32-E72D297353CC}">
                <c16:uniqueId val="{0000000E-69CE-46FD-B2BC-D66F2994D736}"/>
              </c:ext>
            </c:extLst>
          </c:dPt>
          <c:dLbls>
            <c:dLbl>
              <c:idx val="0"/>
              <c:layout>
                <c:manualLayout>
                  <c:x val="3.1879985954496197E-2"/>
                  <c:y val="2.37037037037038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9CE-46FD-B2BC-D66F2994D736}"/>
                </c:ext>
              </c:extLst>
            </c:dLbl>
            <c:dLbl>
              <c:idx val="1"/>
              <c:layout>
                <c:manualLayout>
                  <c:x val="3.5630424876489E-2"/>
                  <c:y val="1.18516185476815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9CE-46FD-B2BC-D66F2994D736}"/>
                </c:ext>
              </c:extLst>
            </c:dLbl>
            <c:dLbl>
              <c:idx val="2"/>
              <c:layout>
                <c:manualLayout>
                  <c:x val="4.6882332286023898E-2"/>
                  <c:y val="8.8888888888889198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9CE-46FD-B2BC-D66F2994D736}"/>
                </c:ext>
              </c:extLst>
            </c:dLbl>
            <c:dLbl>
              <c:idx val="3"/>
              <c:layout>
                <c:manualLayout>
                  <c:x val="2.8129399371614398E-2"/>
                  <c:y val="-2.8735632183908601E-3"/>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9CE-46FD-B2BC-D66F2994D736}"/>
                </c:ext>
              </c:extLst>
            </c:dLbl>
            <c:dLbl>
              <c:idx val="4"/>
              <c:layout>
                <c:manualLayout>
                  <c:x val="4.5007038994582901E-2"/>
                  <c:y val="6.5185185185185193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9CE-46FD-B2BC-D66F2994D736}"/>
                </c:ext>
              </c:extLst>
            </c:dLbl>
            <c:dLbl>
              <c:idx val="5"/>
              <c:layout>
                <c:manualLayout>
                  <c:x val="3.0004692663055301E-2"/>
                  <c:y val="1.7777777777777799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9CE-46FD-B2BC-D66F2994D736}"/>
                </c:ext>
              </c:extLst>
            </c:dLbl>
            <c:dLbl>
              <c:idx val="6"/>
              <c:layout>
                <c:manualLayout>
                  <c:x val="5.43835054517878E-2"/>
                  <c:y val="4.7407407407407502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9CE-46FD-B2BC-D66F2994D736}"/>
                </c:ext>
              </c:extLst>
            </c:dLbl>
            <c:numFmt formatCode="General"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2019 г.</c:v>
                </c:pt>
                <c:pt idx="1">
                  <c:v>2020 г. </c:v>
                </c:pt>
                <c:pt idx="2">
                  <c:v>2021 г. </c:v>
                </c:pt>
                <c:pt idx="3">
                  <c:v>2022 г. оценка</c:v>
                </c:pt>
                <c:pt idx="4">
                  <c:v>2023</c:v>
                </c:pt>
                <c:pt idx="5">
                  <c:v>2024</c:v>
                </c:pt>
                <c:pt idx="6">
                  <c:v>2025</c:v>
                </c:pt>
              </c:strCache>
            </c:strRef>
          </c:cat>
          <c:val>
            <c:numRef>
              <c:f>2</c:f>
              <c:numCache>
                <c:formatCode>General</c:formatCode>
                <c:ptCount val="7"/>
                <c:pt idx="0">
                  <c:v>2276</c:v>
                </c:pt>
                <c:pt idx="1">
                  <c:v>1131.5</c:v>
                </c:pt>
                <c:pt idx="2">
                  <c:v>2224.6</c:v>
                </c:pt>
                <c:pt idx="3">
                  <c:v>2546.8000000000002</c:v>
                </c:pt>
                <c:pt idx="4">
                  <c:v>2054.6707999999999</c:v>
                </c:pt>
                <c:pt idx="5">
                  <c:v>1318.4590000000001</c:v>
                </c:pt>
                <c:pt idx="6">
                  <c:v>1047.5491</c:v>
                </c:pt>
              </c:numCache>
            </c:numRef>
          </c:val>
          <c:extLst xmlns:c16r2="http://schemas.microsoft.com/office/drawing/2015/06/chart">
            <c:ext xmlns:c16="http://schemas.microsoft.com/office/drawing/2014/chart" uri="{C3380CC4-5D6E-409C-BE32-E72D297353CC}">
              <c16:uniqueId val="{0000000F-69CE-46FD-B2BC-D66F2994D736}"/>
            </c:ext>
          </c:extLst>
        </c:ser>
        <c:ser>
          <c:idx val="3"/>
          <c:order val="3"/>
          <c:tx>
            <c:strRef>
              <c:f>label 3</c:f>
              <c:strCache>
                <c:ptCount val="1"/>
                <c:pt idx="0">
                  <c:v>Акциз на нефтяное сырье  с учетом демпфера и инвест. вычета</c:v>
                </c:pt>
              </c:strCache>
            </c:strRef>
          </c:tx>
          <c:spPr>
            <a:solidFill>
              <a:srgbClr val="B3BEDF"/>
            </a:solidFill>
            <a:ln w="6480">
              <a:solidFill>
                <a:srgbClr val="FFFFFF"/>
              </a:solidFill>
              <a:round/>
            </a:ln>
          </c:spPr>
          <c:invertIfNegative val="0"/>
          <c:dPt>
            <c:idx val="1"/>
            <c:invertIfNegative val="0"/>
            <c:bubble3D val="0"/>
            <c:extLst xmlns:c16r2="http://schemas.microsoft.com/office/drawing/2015/06/chart">
              <c:ext xmlns:c16="http://schemas.microsoft.com/office/drawing/2014/chart" uri="{C3380CC4-5D6E-409C-BE32-E72D297353CC}">
                <c16:uniqueId val="{00000010-69CE-46FD-B2BC-D66F2994D736}"/>
              </c:ext>
            </c:extLst>
          </c:dPt>
          <c:dPt>
            <c:idx val="3"/>
            <c:invertIfNegative val="0"/>
            <c:bubble3D val="0"/>
            <c:extLst xmlns:c16r2="http://schemas.microsoft.com/office/drawing/2015/06/chart">
              <c:ext xmlns:c16="http://schemas.microsoft.com/office/drawing/2014/chart" uri="{C3380CC4-5D6E-409C-BE32-E72D297353CC}">
                <c16:uniqueId val="{00000011-69CE-46FD-B2BC-D66F2994D736}"/>
              </c:ext>
            </c:extLst>
          </c:dPt>
          <c:dLbls>
            <c:dLbl>
              <c:idx val="1"/>
              <c:layout>
                <c:manualLayout>
                  <c:x val="1.1251759748645699E-2"/>
                  <c:y val="8.2962962962963197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9CE-46FD-B2BC-D66F2994D736}"/>
                </c:ext>
              </c:extLst>
            </c:dLbl>
            <c:dLbl>
              <c:idx val="3"/>
              <c:layout>
                <c:manualLayout>
                  <c:x val="3.5630572537378197E-2"/>
                  <c:y val="3.4482758620689703E-2"/>
                </c:manualLayout>
              </c:layout>
              <c:numFmt formatCode="General"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9CE-46FD-B2BC-D66F2994D736}"/>
                </c:ext>
              </c:extLst>
            </c:dLbl>
            <c:numFmt formatCode="General"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2019 г.</c:v>
                </c:pt>
                <c:pt idx="1">
                  <c:v>2020 г. </c:v>
                </c:pt>
                <c:pt idx="2">
                  <c:v>2021 г. </c:v>
                </c:pt>
                <c:pt idx="3">
                  <c:v>2022 г. оценка</c:v>
                </c:pt>
                <c:pt idx="4">
                  <c:v>2023</c:v>
                </c:pt>
                <c:pt idx="5">
                  <c:v>2024</c:v>
                </c:pt>
                <c:pt idx="6">
                  <c:v>2025</c:v>
                </c:pt>
              </c:strCache>
            </c:strRef>
          </c:cat>
          <c:val>
            <c:numRef>
              <c:f>3</c:f>
              <c:numCache>
                <c:formatCode>General</c:formatCode>
                <c:ptCount val="7"/>
                <c:pt idx="0">
                  <c:v>-424.6</c:v>
                </c:pt>
                <c:pt idx="1">
                  <c:v>135</c:v>
                </c:pt>
                <c:pt idx="2">
                  <c:v>-1287.5999999999999</c:v>
                </c:pt>
                <c:pt idx="3">
                  <c:v>-3167.1559999999999</c:v>
                </c:pt>
                <c:pt idx="4">
                  <c:v>-2142.9083999999998</c:v>
                </c:pt>
                <c:pt idx="5">
                  <c:v>-2073.6552000000001</c:v>
                </c:pt>
                <c:pt idx="6">
                  <c:v>-1970.6243999999999</c:v>
                </c:pt>
              </c:numCache>
            </c:numRef>
          </c:val>
          <c:extLst xmlns:c16r2="http://schemas.microsoft.com/office/drawing/2015/06/chart">
            <c:ext xmlns:c16="http://schemas.microsoft.com/office/drawing/2014/chart" uri="{C3380CC4-5D6E-409C-BE32-E72D297353CC}">
              <c16:uniqueId val="{00000012-69CE-46FD-B2BC-D66F2994D736}"/>
            </c:ext>
          </c:extLst>
        </c:ser>
        <c:dLbls>
          <c:showLegendKey val="0"/>
          <c:showVal val="0"/>
          <c:showCatName val="0"/>
          <c:showSerName val="0"/>
          <c:showPercent val="0"/>
          <c:showBubbleSize val="0"/>
        </c:dLbls>
        <c:gapWidth val="150"/>
        <c:axId val="143395840"/>
        <c:axId val="143426688"/>
      </c:barChart>
      <c:catAx>
        <c:axId val="143395840"/>
        <c:scaling>
          <c:orientation val="minMax"/>
        </c:scaling>
        <c:delete val="0"/>
        <c:axPos val="b"/>
        <c:numFmt formatCode="General" sourceLinked="1"/>
        <c:majorTickMark val="out"/>
        <c:minorTickMark val="none"/>
        <c:tickLblPos val="low"/>
        <c:spPr>
          <a:ln w="6480">
            <a:solidFill>
              <a:srgbClr val="8B8B8B"/>
            </a:solidFill>
            <a:round/>
          </a:ln>
        </c:spPr>
        <c:txPr>
          <a:bodyPr/>
          <a:lstStyle/>
          <a:p>
            <a:pPr>
              <a:defRPr sz="1000" b="0" strike="noStrike" spc="-1">
                <a:solidFill>
                  <a:srgbClr val="000000"/>
                </a:solidFill>
                <a:latin typeface="Calibri"/>
              </a:defRPr>
            </a:pPr>
            <a:endParaRPr lang="ru-RU"/>
          </a:p>
        </c:txPr>
        <c:crossAx val="143426688"/>
        <c:crosses val="autoZero"/>
        <c:auto val="1"/>
        <c:lblAlgn val="ctr"/>
        <c:lblOffset val="100"/>
        <c:noMultiLvlLbl val="0"/>
      </c:catAx>
      <c:valAx>
        <c:axId val="143426688"/>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143395840"/>
        <c:crosses val="autoZero"/>
        <c:crossBetween val="between"/>
      </c:valAx>
      <c:spPr>
        <a:noFill/>
        <a:ln w="0">
          <a:noFill/>
        </a:ln>
      </c:spPr>
    </c:plotArea>
    <c:legend>
      <c:legendPos val="r"/>
      <c:layout>
        <c:manualLayout>
          <c:xMode val="edge"/>
          <c:yMode val="edge"/>
          <c:x val="6.8062499999999998E-2"/>
          <c:y val="0.81599999999999995"/>
          <c:w val="0.86274142133883402"/>
          <c:h val="0.18146460717857499"/>
        </c:manualLayout>
      </c:layout>
      <c:overlay val="0"/>
      <c:spPr>
        <a:noFill/>
        <a:ln w="0">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562500000000006E-2"/>
          <c:y val="2.9000000000000001E-2"/>
          <c:w val="0.85468750000000004"/>
          <c:h val="0.87377777777777799"/>
        </c:manualLayout>
      </c:layout>
      <c:barChart>
        <c:barDir val="col"/>
        <c:grouping val="clustered"/>
        <c:varyColors val="0"/>
        <c:ser>
          <c:idx val="0"/>
          <c:order val="0"/>
          <c:tx>
            <c:strRef>
              <c:f>label 0</c:f>
              <c:strCache>
                <c:ptCount val="1"/>
                <c:pt idx="0">
                  <c:v>2021</c:v>
                </c:pt>
              </c:strCache>
            </c:strRef>
          </c:tx>
          <c:spPr>
            <a:solidFill>
              <a:srgbClr val="325491"/>
            </a:solidFill>
            <a:ln w="6480">
              <a:solidFill>
                <a:srgbClr val="FFFFFF"/>
              </a:solidFill>
              <a:round/>
            </a:ln>
          </c:spPr>
          <c:invertIfNegative val="0"/>
          <c:dPt>
            <c:idx val="2"/>
            <c:invertIfNegative val="0"/>
            <c:bubble3D val="0"/>
            <c:extLst xmlns:c16r2="http://schemas.microsoft.com/office/drawing/2015/06/chart">
              <c:ext xmlns:c16="http://schemas.microsoft.com/office/drawing/2014/chart" uri="{C3380CC4-5D6E-409C-BE32-E72D297353CC}">
                <c16:uniqueId val="{00000000-D8C2-4272-8056-F2CFC1E2E1AE}"/>
              </c:ext>
            </c:extLst>
          </c:dPt>
          <c:dPt>
            <c:idx val="4"/>
            <c:invertIfNegative val="0"/>
            <c:bubble3D val="0"/>
            <c:extLst xmlns:c16r2="http://schemas.microsoft.com/office/drawing/2015/06/chart">
              <c:ext xmlns:c16="http://schemas.microsoft.com/office/drawing/2014/chart" uri="{C3380CC4-5D6E-409C-BE32-E72D297353CC}">
                <c16:uniqueId val="{00000001-D8C2-4272-8056-F2CFC1E2E1AE}"/>
              </c:ext>
            </c:extLst>
          </c:dPt>
          <c:dLbls>
            <c:dLbl>
              <c:idx val="2"/>
              <c:layout>
                <c:manualLayout>
                  <c:x val="-5.1731330830204501E-2"/>
                  <c:y val="7.8277886497064592E-3"/>
                </c:manualLayout>
              </c:layout>
              <c:numFmt formatCode="#,##0.0"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C2-4272-8056-F2CFC1E2E1AE}"/>
                </c:ext>
              </c:extLst>
            </c:dLbl>
            <c:dLbl>
              <c:idx val="4"/>
              <c:layout>
                <c:manualLayout>
                  <c:x val="-1.00125156445557E-2"/>
                  <c:y val="9.5671867175728303E-17"/>
                </c:manualLayout>
              </c:layout>
              <c:numFmt formatCode="#,##0.0" sourceLinked="0"/>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C2-4272-8056-F2CFC1E2E1AE}"/>
                </c:ext>
              </c:extLst>
            </c:dLbl>
            <c:numFmt formatCode="#,##0.0"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6"/>
                <c:pt idx="0">
                  <c:v>Налог на прибыль </c:v>
                </c:pt>
                <c:pt idx="1">
                  <c:v>НДФЛ </c:v>
                </c:pt>
                <c:pt idx="2">
                  <c:v>НДС внутренний</c:v>
                </c:pt>
                <c:pt idx="3">
                  <c:v>НДС ввозной </c:v>
                </c:pt>
                <c:pt idx="4">
                  <c:v>Акцизы всего</c:v>
                </c:pt>
                <c:pt idx="5">
                  <c:v>Ввозные пошлины</c:v>
                </c:pt>
              </c:strCache>
            </c:strRef>
          </c:cat>
          <c:val>
            <c:numRef>
              <c:f>0</c:f>
              <c:numCache>
                <c:formatCode>General</c:formatCode>
                <c:ptCount val="6"/>
                <c:pt idx="0">
                  <c:v>1552.43438472561</c:v>
                </c:pt>
                <c:pt idx="1">
                  <c:v>90.670899370169906</c:v>
                </c:pt>
                <c:pt idx="2">
                  <c:v>5479.2541260442104</c:v>
                </c:pt>
                <c:pt idx="3">
                  <c:v>3732.9858441352899</c:v>
                </c:pt>
                <c:pt idx="4">
                  <c:v>1012.76699473816</c:v>
                </c:pt>
                <c:pt idx="5">
                  <c:v>858.89457939879003</c:v>
                </c:pt>
              </c:numCache>
            </c:numRef>
          </c:val>
          <c:extLst xmlns:c16r2="http://schemas.microsoft.com/office/drawing/2015/06/chart">
            <c:ext xmlns:c16="http://schemas.microsoft.com/office/drawing/2014/chart" uri="{C3380CC4-5D6E-409C-BE32-E72D297353CC}">
              <c16:uniqueId val="{00000002-D8C2-4272-8056-F2CFC1E2E1AE}"/>
            </c:ext>
          </c:extLst>
        </c:ser>
        <c:ser>
          <c:idx val="1"/>
          <c:order val="1"/>
          <c:tx>
            <c:strRef>
              <c:f>label 1</c:f>
              <c:strCache>
                <c:ptCount val="1"/>
                <c:pt idx="0">
                  <c:v>2022 г. оценка</c:v>
                </c:pt>
              </c:strCache>
            </c:strRef>
          </c:tx>
          <c:spPr>
            <a:solidFill>
              <a:srgbClr val="406CBB"/>
            </a:solidFill>
            <a:ln w="6480">
              <a:solidFill>
                <a:srgbClr val="FFFFFF"/>
              </a:solidFill>
              <a:round/>
            </a:ln>
          </c:spPr>
          <c:invertIfNegative val="0"/>
          <c:dLbls>
            <c:spPr>
              <a:noFill/>
              <a:ln>
                <a:noFill/>
              </a:ln>
              <a:effectLst/>
            </c:spPr>
            <c:txPr>
              <a:bodyPr wrap="none"/>
              <a:lstStyle/>
              <a:p>
                <a:pPr>
                  <a:defRPr sz="1000" b="0" strike="noStrike" spc="-1">
                    <a:latin typeface="Arial"/>
                  </a:defRPr>
                </a:pPr>
                <a:endParaRPr lang="ru-RU"/>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6"/>
                <c:pt idx="0">
                  <c:v>Налог на прибыль </c:v>
                </c:pt>
                <c:pt idx="1">
                  <c:v>НДФЛ </c:v>
                </c:pt>
                <c:pt idx="2">
                  <c:v>НДС внутренний</c:v>
                </c:pt>
                <c:pt idx="3">
                  <c:v>НДС ввозной </c:v>
                </c:pt>
                <c:pt idx="4">
                  <c:v>Акцизы всего</c:v>
                </c:pt>
                <c:pt idx="5">
                  <c:v>Ввозные пошлины</c:v>
                </c:pt>
              </c:strCache>
            </c:strRef>
          </c:cat>
          <c:val>
            <c:numRef>
              <c:f>1</c:f>
              <c:numCache>
                <c:formatCode>General</c:formatCode>
                <c:ptCount val="6"/>
                <c:pt idx="0">
                  <c:v>1564.2</c:v>
                </c:pt>
                <c:pt idx="1">
                  <c:v>140.69999999999999</c:v>
                </c:pt>
                <c:pt idx="2">
                  <c:v>6264.5</c:v>
                </c:pt>
                <c:pt idx="3">
                  <c:v>3159.3</c:v>
                </c:pt>
                <c:pt idx="4">
                  <c:v>2476.6559999999999</c:v>
                </c:pt>
              </c:numCache>
            </c:numRef>
          </c:val>
          <c:extLst xmlns:c16r2="http://schemas.microsoft.com/office/drawing/2015/06/chart">
            <c:ext xmlns:c16="http://schemas.microsoft.com/office/drawing/2014/chart" uri="{C3380CC4-5D6E-409C-BE32-E72D297353CC}">
              <c16:uniqueId val="{00000003-D8C2-4272-8056-F2CFC1E2E1AE}"/>
            </c:ext>
          </c:extLst>
        </c:ser>
        <c:ser>
          <c:idx val="2"/>
          <c:order val="2"/>
          <c:tx>
            <c:strRef>
              <c:f>label 2</c:f>
              <c:strCache>
                <c:ptCount val="1"/>
                <c:pt idx="0">
                  <c:v>2023 год</c:v>
                </c:pt>
              </c:strCache>
            </c:strRef>
          </c:tx>
          <c:spPr>
            <a:solidFill>
              <a:srgbClr val="6D89CA"/>
            </a:solidFill>
            <a:ln w="6480">
              <a:solidFill>
                <a:srgbClr val="FFFFFF"/>
              </a:solidFill>
              <a:round/>
            </a:ln>
          </c:spPr>
          <c:invertIfNegative val="0"/>
          <c:dLbls>
            <c:spPr>
              <a:noFill/>
              <a:ln>
                <a:noFill/>
              </a:ln>
              <a:effectLst/>
            </c:spPr>
            <c:txPr>
              <a:bodyPr wrap="none"/>
              <a:lstStyle/>
              <a:p>
                <a:pPr>
                  <a:defRPr sz="1000" b="0" strike="noStrike" spc="-1">
                    <a:latin typeface="Arial"/>
                  </a:defRPr>
                </a:pPr>
                <a:endParaRPr lang="ru-RU"/>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6"/>
                <c:pt idx="0">
                  <c:v>Налог на прибыль </c:v>
                </c:pt>
                <c:pt idx="1">
                  <c:v>НДФЛ </c:v>
                </c:pt>
                <c:pt idx="2">
                  <c:v>НДС внутренний</c:v>
                </c:pt>
                <c:pt idx="3">
                  <c:v>НДС ввозной </c:v>
                </c:pt>
                <c:pt idx="4">
                  <c:v>Акцизы всего</c:v>
                </c:pt>
                <c:pt idx="5">
                  <c:v>Ввозные пошлины</c:v>
                </c:pt>
              </c:strCache>
            </c:strRef>
          </c:cat>
          <c:val>
            <c:numRef>
              <c:f>2</c:f>
              <c:numCache>
                <c:formatCode>General</c:formatCode>
                <c:ptCount val="6"/>
                <c:pt idx="0">
                  <c:v>1632.6070999999999</c:v>
                </c:pt>
                <c:pt idx="1">
                  <c:v>153.38890000000001</c:v>
                </c:pt>
                <c:pt idx="2">
                  <c:v>6968.0236999999997</c:v>
                </c:pt>
                <c:pt idx="3">
                  <c:v>3449.0081</c:v>
                </c:pt>
                <c:pt idx="4">
                  <c:v>1488.9228000000001</c:v>
                </c:pt>
                <c:pt idx="5">
                  <c:v>746.179900000001</c:v>
                </c:pt>
              </c:numCache>
            </c:numRef>
          </c:val>
          <c:extLst xmlns:c16r2="http://schemas.microsoft.com/office/drawing/2015/06/chart">
            <c:ext xmlns:c16="http://schemas.microsoft.com/office/drawing/2014/chart" uri="{C3380CC4-5D6E-409C-BE32-E72D297353CC}">
              <c16:uniqueId val="{00000004-D8C2-4272-8056-F2CFC1E2E1AE}"/>
            </c:ext>
          </c:extLst>
        </c:ser>
        <c:ser>
          <c:idx val="3"/>
          <c:order val="3"/>
          <c:tx>
            <c:strRef>
              <c:f>label 3</c:f>
              <c:strCache>
                <c:ptCount val="1"/>
                <c:pt idx="0">
                  <c:v>2024 год</c:v>
                </c:pt>
              </c:strCache>
            </c:strRef>
          </c:tx>
          <c:spPr>
            <a:solidFill>
              <a:srgbClr val="9EADD7"/>
            </a:solidFill>
            <a:ln w="6480">
              <a:solidFill>
                <a:srgbClr val="FFFFFF"/>
              </a:solidFill>
              <a:round/>
            </a:ln>
          </c:spPr>
          <c:invertIfNegative val="0"/>
          <c:dLbls>
            <c:spPr>
              <a:noFill/>
              <a:ln>
                <a:noFill/>
              </a:ln>
              <a:effectLst/>
            </c:spPr>
            <c:txPr>
              <a:bodyPr wrap="none"/>
              <a:lstStyle/>
              <a:p>
                <a:pPr>
                  <a:defRPr sz="1000" b="0" strike="noStrike" spc="-1">
                    <a:latin typeface="Arial"/>
                  </a:defRPr>
                </a:pPr>
                <a:endParaRPr lang="ru-RU"/>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6"/>
                <c:pt idx="0">
                  <c:v>Налог на прибыль </c:v>
                </c:pt>
                <c:pt idx="1">
                  <c:v>НДФЛ </c:v>
                </c:pt>
                <c:pt idx="2">
                  <c:v>НДС внутренний</c:v>
                </c:pt>
                <c:pt idx="3">
                  <c:v>НДС ввозной </c:v>
                </c:pt>
                <c:pt idx="4">
                  <c:v>Акцизы всего</c:v>
                </c:pt>
                <c:pt idx="5">
                  <c:v>Ввозные пошлины</c:v>
                </c:pt>
              </c:strCache>
            </c:strRef>
          </c:cat>
          <c:val>
            <c:numRef>
              <c:f>3</c:f>
              <c:numCache>
                <c:formatCode>General</c:formatCode>
                <c:ptCount val="6"/>
                <c:pt idx="0">
                  <c:v>1822.7017000000001</c:v>
                </c:pt>
                <c:pt idx="1">
                  <c:v>267.19369999999998</c:v>
                </c:pt>
                <c:pt idx="2">
                  <c:v>7460.4059999999999</c:v>
                </c:pt>
                <c:pt idx="3">
                  <c:v>3747.6005</c:v>
                </c:pt>
                <c:pt idx="4">
                  <c:v>1474.1008999999999</c:v>
                </c:pt>
                <c:pt idx="5">
                  <c:v>841.24710000000005</c:v>
                </c:pt>
              </c:numCache>
            </c:numRef>
          </c:val>
          <c:extLst xmlns:c16r2="http://schemas.microsoft.com/office/drawing/2015/06/chart">
            <c:ext xmlns:c16="http://schemas.microsoft.com/office/drawing/2014/chart" uri="{C3380CC4-5D6E-409C-BE32-E72D297353CC}">
              <c16:uniqueId val="{00000005-D8C2-4272-8056-F2CFC1E2E1AE}"/>
            </c:ext>
          </c:extLst>
        </c:ser>
        <c:ser>
          <c:idx val="4"/>
          <c:order val="4"/>
          <c:tx>
            <c:strRef>
              <c:f>label 4</c:f>
              <c:strCache>
                <c:ptCount val="1"/>
                <c:pt idx="0">
                  <c:v>2025 год</c:v>
                </c:pt>
              </c:strCache>
            </c:strRef>
          </c:tx>
          <c:spPr>
            <a:solidFill>
              <a:srgbClr val="C0C8E3"/>
            </a:solidFill>
            <a:ln w="6480">
              <a:solidFill>
                <a:srgbClr val="FFFFFF"/>
              </a:solidFill>
              <a:round/>
            </a:ln>
          </c:spPr>
          <c:invertIfNegative val="0"/>
          <c:dLbls>
            <c:numFmt formatCode="0.0"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6"/>
                <c:pt idx="0">
                  <c:v>Налог на прибыль </c:v>
                </c:pt>
                <c:pt idx="1">
                  <c:v>НДФЛ </c:v>
                </c:pt>
                <c:pt idx="2">
                  <c:v>НДС внутренний</c:v>
                </c:pt>
                <c:pt idx="3">
                  <c:v>НДС ввозной </c:v>
                </c:pt>
                <c:pt idx="4">
                  <c:v>Акцизы всего</c:v>
                </c:pt>
                <c:pt idx="5">
                  <c:v>Ввозные пошлины</c:v>
                </c:pt>
              </c:strCache>
            </c:strRef>
          </c:cat>
          <c:val>
            <c:numRef>
              <c:f>4</c:f>
              <c:numCache>
                <c:formatCode>General</c:formatCode>
                <c:ptCount val="6"/>
                <c:pt idx="0">
                  <c:v>1968.7850000000001</c:v>
                </c:pt>
                <c:pt idx="1">
                  <c:v>282.05650000000003</c:v>
                </c:pt>
                <c:pt idx="2">
                  <c:v>8075.4508999999998</c:v>
                </c:pt>
                <c:pt idx="3">
                  <c:v>3972.8876</c:v>
                </c:pt>
                <c:pt idx="4">
                  <c:v>1429.2814000000001</c:v>
                </c:pt>
                <c:pt idx="5">
                  <c:v>896.76159999999902</c:v>
                </c:pt>
              </c:numCache>
            </c:numRef>
          </c:val>
          <c:extLst xmlns:c16r2="http://schemas.microsoft.com/office/drawing/2015/06/chart">
            <c:ext xmlns:c16="http://schemas.microsoft.com/office/drawing/2014/chart" uri="{C3380CC4-5D6E-409C-BE32-E72D297353CC}">
              <c16:uniqueId val="{00000006-D8C2-4272-8056-F2CFC1E2E1AE}"/>
            </c:ext>
          </c:extLst>
        </c:ser>
        <c:dLbls>
          <c:showLegendKey val="0"/>
          <c:showVal val="0"/>
          <c:showCatName val="0"/>
          <c:showSerName val="0"/>
          <c:showPercent val="0"/>
          <c:showBubbleSize val="0"/>
        </c:dLbls>
        <c:gapWidth val="150"/>
        <c:axId val="145954688"/>
        <c:axId val="149623552"/>
      </c:barChart>
      <c:catAx>
        <c:axId val="145954688"/>
        <c:scaling>
          <c:orientation val="minMax"/>
        </c:scaling>
        <c:delete val="0"/>
        <c:axPos val="b"/>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149623552"/>
        <c:crosses val="autoZero"/>
        <c:auto val="1"/>
        <c:lblAlgn val="ctr"/>
        <c:lblOffset val="100"/>
        <c:noMultiLvlLbl val="0"/>
      </c:catAx>
      <c:valAx>
        <c:axId val="149623552"/>
        <c:scaling>
          <c:orientation val="minMax"/>
        </c:scaling>
        <c:delete val="0"/>
        <c:axPos val="l"/>
        <c:majorGridlines>
          <c:spPr>
            <a:ln w="6480">
              <a:solidFill>
                <a:srgbClr val="8B8B8B"/>
              </a:solidFill>
              <a:round/>
            </a:ln>
          </c:spPr>
        </c:majorGridlines>
        <c:numFmt formatCode="#,##0.0"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145954688"/>
        <c:crosses val="autoZero"/>
        <c:crossBetween val="between"/>
      </c:valAx>
      <c:spPr>
        <a:noFill/>
        <a:ln w="0">
          <a:noFill/>
        </a:ln>
      </c:spPr>
    </c:plotArea>
    <c:legend>
      <c:legendPos val="r"/>
      <c:layout>
        <c:manualLayout>
          <c:xMode val="edge"/>
          <c:yMode val="edge"/>
          <c:x val="0.78937500000000005"/>
          <c:y val="0.139333333333333"/>
          <c:w val="0.13050815675979699"/>
          <c:h val="0.43471496832981399"/>
        </c:manualLayout>
      </c:layout>
      <c:overlay val="0"/>
      <c:spPr>
        <a:noFill/>
        <a:ln w="0">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6249999999999"/>
          <c:y val="6.4000000000000001E-2"/>
          <c:w val="0.74093750000000003"/>
          <c:h val="0.69822222222222197"/>
        </c:manualLayout>
      </c:layout>
      <c:barChart>
        <c:barDir val="col"/>
        <c:grouping val="stacked"/>
        <c:varyColors val="0"/>
        <c:ser>
          <c:idx val="0"/>
          <c:order val="0"/>
          <c:tx>
            <c:strRef>
              <c:f>label 0</c:f>
              <c:strCache>
                <c:ptCount val="1"/>
                <c:pt idx="0">
                  <c:v>дотации</c:v>
                </c:pt>
              </c:strCache>
            </c:strRef>
          </c:tx>
          <c:spPr>
            <a:solidFill>
              <a:srgbClr val="335695"/>
            </a:solidFill>
            <a:ln w="6480">
              <a:solidFill>
                <a:srgbClr val="FFFFFF"/>
              </a:solidFill>
              <a:round/>
            </a:ln>
          </c:spPr>
          <c:invertIfNegative val="0"/>
          <c:dLbls>
            <c:spPr>
              <a:noFill/>
              <a:ln>
                <a:noFill/>
              </a:ln>
              <a:effectLst/>
            </c:spPr>
            <c:txPr>
              <a:bodyPr wrap="none"/>
              <a:lstStyle/>
              <a:p>
                <a:pPr>
                  <a:defRPr sz="1000" b="0" strike="noStrike" spc="-1">
                    <a:latin typeface="Arial"/>
                  </a:defRPr>
                </a:pPr>
                <a:endParaRPr lang="ru-RU"/>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7"/>
                <c:pt idx="0">
                  <c:v>2019</c:v>
                </c:pt>
                <c:pt idx="1">
                  <c:v>2020</c:v>
                </c:pt>
                <c:pt idx="2">
                  <c:v>2021</c:v>
                </c:pt>
                <c:pt idx="3">
                  <c:v>2022 оценка</c:v>
                </c:pt>
                <c:pt idx="4">
                  <c:v>2023</c:v>
                </c:pt>
                <c:pt idx="5">
                  <c:v>2024</c:v>
                </c:pt>
                <c:pt idx="6">
                  <c:v>2025</c:v>
                </c:pt>
              </c:strCache>
            </c:strRef>
          </c:cat>
          <c:val>
            <c:numRef>
              <c:f>0</c:f>
              <c:numCache>
                <c:formatCode>General</c:formatCode>
                <c:ptCount val="7"/>
                <c:pt idx="0">
                  <c:v>923973.83169999998</c:v>
                </c:pt>
                <c:pt idx="1">
                  <c:v>1303657.7509325701</c:v>
                </c:pt>
                <c:pt idx="2">
                  <c:v>1021874.45358298</c:v>
                </c:pt>
                <c:pt idx="3">
                  <c:v>969618</c:v>
                </c:pt>
                <c:pt idx="4">
                  <c:v>1004072.8</c:v>
                </c:pt>
                <c:pt idx="5">
                  <c:v>1038986.6</c:v>
                </c:pt>
                <c:pt idx="6">
                  <c:v>1074094.5</c:v>
                </c:pt>
              </c:numCache>
            </c:numRef>
          </c:val>
          <c:extLst xmlns:c16r2="http://schemas.microsoft.com/office/drawing/2015/06/chart">
            <c:ext xmlns:c16="http://schemas.microsoft.com/office/drawing/2014/chart" uri="{C3380CC4-5D6E-409C-BE32-E72D297353CC}">
              <c16:uniqueId val="{00000000-665D-4BD8-8F23-16BCA4A279A3}"/>
            </c:ext>
          </c:extLst>
        </c:ser>
        <c:ser>
          <c:idx val="1"/>
          <c:order val="1"/>
          <c:tx>
            <c:strRef>
              <c:f>label 1</c:f>
              <c:strCache>
                <c:ptCount val="1"/>
                <c:pt idx="0">
                  <c:v>субсидии</c:v>
                </c:pt>
              </c:strCache>
            </c:strRef>
          </c:tx>
          <c:spPr>
            <a:solidFill>
              <a:srgbClr val="3C65AE"/>
            </a:solidFill>
            <a:ln w="6480">
              <a:solidFill>
                <a:srgbClr val="FFFFFF"/>
              </a:solidFill>
              <a:round/>
            </a:ln>
          </c:spPr>
          <c:invertIfNegative val="0"/>
          <c:dLbls>
            <c:spPr>
              <a:noFill/>
              <a:ln>
                <a:noFill/>
              </a:ln>
              <a:effectLst/>
            </c:spPr>
            <c:txPr>
              <a:bodyPr wrap="none"/>
              <a:lstStyle/>
              <a:p>
                <a:pPr>
                  <a:defRPr sz="1000" b="0" strike="noStrike" spc="-1">
                    <a:latin typeface="Arial"/>
                  </a:defRPr>
                </a:pPr>
                <a:endParaRPr lang="ru-RU"/>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7"/>
                <c:pt idx="0">
                  <c:v>2019</c:v>
                </c:pt>
                <c:pt idx="1">
                  <c:v>2020</c:v>
                </c:pt>
                <c:pt idx="2">
                  <c:v>2021</c:v>
                </c:pt>
                <c:pt idx="3">
                  <c:v>2022 оценка</c:v>
                </c:pt>
                <c:pt idx="4">
                  <c:v>2023</c:v>
                </c:pt>
                <c:pt idx="5">
                  <c:v>2024</c:v>
                </c:pt>
                <c:pt idx="6">
                  <c:v>2025</c:v>
                </c:pt>
              </c:strCache>
            </c:strRef>
          </c:cat>
          <c:val>
            <c:numRef>
              <c:f>1</c:f>
              <c:numCache>
                <c:formatCode>General</c:formatCode>
                <c:ptCount val="7"/>
                <c:pt idx="0">
                  <c:v>557511.67759245902</c:v>
                </c:pt>
                <c:pt idx="1">
                  <c:v>1012281.0468</c:v>
                </c:pt>
                <c:pt idx="2">
                  <c:v>1193978.6456166899</c:v>
                </c:pt>
                <c:pt idx="3">
                  <c:v>1591941.4</c:v>
                </c:pt>
                <c:pt idx="4">
                  <c:v>1529910.5</c:v>
                </c:pt>
                <c:pt idx="5">
                  <c:v>1495213.2</c:v>
                </c:pt>
                <c:pt idx="6">
                  <c:v>1032482.4</c:v>
                </c:pt>
              </c:numCache>
            </c:numRef>
          </c:val>
          <c:extLst xmlns:c16r2="http://schemas.microsoft.com/office/drawing/2015/06/chart">
            <c:ext xmlns:c16="http://schemas.microsoft.com/office/drawing/2014/chart" uri="{C3380CC4-5D6E-409C-BE32-E72D297353CC}">
              <c16:uniqueId val="{00000001-665D-4BD8-8F23-16BCA4A279A3}"/>
            </c:ext>
          </c:extLst>
        </c:ser>
        <c:ser>
          <c:idx val="2"/>
          <c:order val="2"/>
          <c:tx>
            <c:strRef>
              <c:f>label 2</c:f>
              <c:strCache>
                <c:ptCount val="1"/>
                <c:pt idx="0">
                  <c:v>субвенции</c:v>
                </c:pt>
              </c:strCache>
            </c:strRef>
          </c:tx>
          <c:spPr>
            <a:solidFill>
              <a:srgbClr val="4472C4"/>
            </a:solidFill>
            <a:ln w="6480">
              <a:solidFill>
                <a:srgbClr val="FFFFFF"/>
              </a:solidFill>
              <a:round/>
            </a:ln>
          </c:spPr>
          <c:invertIfNegative val="0"/>
          <c:dLbls>
            <c:spPr>
              <a:noFill/>
              <a:ln>
                <a:noFill/>
              </a:ln>
              <a:effectLst/>
            </c:spPr>
            <c:txPr>
              <a:bodyPr wrap="none"/>
              <a:lstStyle/>
              <a:p>
                <a:pPr>
                  <a:defRPr sz="1000" b="0" strike="noStrike" spc="-1">
                    <a:latin typeface="Arial"/>
                  </a:defRPr>
                </a:pPr>
                <a:endParaRPr lang="ru-RU"/>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7"/>
                <c:pt idx="0">
                  <c:v>2019</c:v>
                </c:pt>
                <c:pt idx="1">
                  <c:v>2020</c:v>
                </c:pt>
                <c:pt idx="2">
                  <c:v>2021</c:v>
                </c:pt>
                <c:pt idx="3">
                  <c:v>2022 оценка</c:v>
                </c:pt>
                <c:pt idx="4">
                  <c:v>2023</c:v>
                </c:pt>
                <c:pt idx="5">
                  <c:v>2024</c:v>
                </c:pt>
                <c:pt idx="6">
                  <c:v>2025</c:v>
                </c:pt>
              </c:strCache>
            </c:strRef>
          </c:cat>
          <c:val>
            <c:numRef>
              <c:f>2</c:f>
              <c:numCache>
                <c:formatCode>General</c:formatCode>
                <c:ptCount val="7"/>
                <c:pt idx="0">
                  <c:v>396613.24077326001</c:v>
                </c:pt>
                <c:pt idx="1">
                  <c:v>606250.17786115</c:v>
                </c:pt>
                <c:pt idx="2">
                  <c:v>519576.31240613002</c:v>
                </c:pt>
                <c:pt idx="3">
                  <c:v>452308.7</c:v>
                </c:pt>
                <c:pt idx="4">
                  <c:v>300401.90000000002</c:v>
                </c:pt>
                <c:pt idx="5">
                  <c:v>330682.8</c:v>
                </c:pt>
                <c:pt idx="6">
                  <c:v>340293</c:v>
                </c:pt>
              </c:numCache>
            </c:numRef>
          </c:val>
          <c:extLst xmlns:c16r2="http://schemas.microsoft.com/office/drawing/2015/06/chart">
            <c:ext xmlns:c16="http://schemas.microsoft.com/office/drawing/2014/chart" uri="{C3380CC4-5D6E-409C-BE32-E72D297353CC}">
              <c16:uniqueId val="{00000002-665D-4BD8-8F23-16BCA4A279A3}"/>
            </c:ext>
          </c:extLst>
        </c:ser>
        <c:ser>
          <c:idx val="3"/>
          <c:order val="3"/>
          <c:tx>
            <c:strRef>
              <c:f>label 3</c:f>
              <c:strCache>
                <c:ptCount val="1"/>
                <c:pt idx="0">
                  <c:v>иные межбюджетные трансферты</c:v>
                </c:pt>
              </c:strCache>
            </c:strRef>
          </c:tx>
          <c:spPr>
            <a:solidFill>
              <a:srgbClr val="90A2D3"/>
            </a:solidFill>
            <a:ln w="6480">
              <a:solidFill>
                <a:srgbClr val="FFFFFF"/>
              </a:solidFill>
              <a:round/>
            </a:ln>
          </c:spPr>
          <c:invertIfNegative val="0"/>
          <c:dLbls>
            <c:spPr>
              <a:noFill/>
              <a:ln>
                <a:noFill/>
              </a:ln>
              <a:effectLst/>
            </c:spPr>
            <c:txPr>
              <a:bodyPr wrap="none"/>
              <a:lstStyle/>
              <a:p>
                <a:pPr>
                  <a:defRPr sz="1000" b="0" strike="noStrike" spc="-1">
                    <a:latin typeface="Arial"/>
                  </a:defRPr>
                </a:pPr>
                <a:endParaRPr lang="ru-RU"/>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7"/>
                <c:pt idx="0">
                  <c:v>2019</c:v>
                </c:pt>
                <c:pt idx="1">
                  <c:v>2020</c:v>
                </c:pt>
                <c:pt idx="2">
                  <c:v>2021</c:v>
                </c:pt>
                <c:pt idx="3">
                  <c:v>2022 оценка</c:v>
                </c:pt>
                <c:pt idx="4">
                  <c:v>2023</c:v>
                </c:pt>
                <c:pt idx="5">
                  <c:v>2024</c:v>
                </c:pt>
                <c:pt idx="6">
                  <c:v>2025</c:v>
                </c:pt>
              </c:strCache>
            </c:strRef>
          </c:cat>
          <c:val>
            <c:numRef>
              <c:f>3</c:f>
              <c:numCache>
                <c:formatCode>General</c:formatCode>
                <c:ptCount val="7"/>
                <c:pt idx="0">
                  <c:v>574956.76953394001</c:v>
                </c:pt>
                <c:pt idx="1">
                  <c:v>853802.53990193002</c:v>
                </c:pt>
                <c:pt idx="2">
                  <c:v>941003.42321073997</c:v>
                </c:pt>
                <c:pt idx="3">
                  <c:v>636487.1</c:v>
                </c:pt>
                <c:pt idx="4">
                  <c:v>372623.9</c:v>
                </c:pt>
                <c:pt idx="5">
                  <c:v>109278.8</c:v>
                </c:pt>
                <c:pt idx="6">
                  <c:v>109706.2</c:v>
                </c:pt>
              </c:numCache>
            </c:numRef>
          </c:val>
          <c:extLst xmlns:c16r2="http://schemas.microsoft.com/office/drawing/2015/06/chart">
            <c:ext xmlns:c16="http://schemas.microsoft.com/office/drawing/2014/chart" uri="{C3380CC4-5D6E-409C-BE32-E72D297353CC}">
              <c16:uniqueId val="{00000003-665D-4BD8-8F23-16BCA4A279A3}"/>
            </c:ext>
          </c:extLst>
        </c:ser>
        <c:dLbls>
          <c:showLegendKey val="0"/>
          <c:showVal val="0"/>
          <c:showCatName val="0"/>
          <c:showSerName val="0"/>
          <c:showPercent val="0"/>
          <c:showBubbleSize val="0"/>
        </c:dLbls>
        <c:gapWidth val="150"/>
        <c:overlap val="100"/>
        <c:axId val="198220800"/>
        <c:axId val="200745728"/>
      </c:barChart>
      <c:lineChart>
        <c:grouping val="stacked"/>
        <c:varyColors val="0"/>
        <c:ser>
          <c:idx val="4"/>
          <c:order val="4"/>
          <c:tx>
            <c:strRef>
              <c:f>label 4</c:f>
              <c:strCache>
                <c:ptCount val="1"/>
                <c:pt idx="0">
                  <c:v>Трансферты в %% от ВВП (правая шкала)</c:v>
                </c:pt>
              </c:strCache>
            </c:strRef>
          </c:tx>
          <c:spPr>
            <a:ln w="31680">
              <a:solidFill>
                <a:srgbClr val="BBC4E2"/>
              </a:solidFill>
              <a:round/>
            </a:ln>
          </c:spPr>
          <c:dPt>
            <c:idx val="2"/>
            <c:bubble3D val="0"/>
            <c:extLst xmlns:c16r2="http://schemas.microsoft.com/office/drawing/2015/06/chart">
              <c:ext xmlns:c16="http://schemas.microsoft.com/office/drawing/2014/chart" uri="{C3380CC4-5D6E-409C-BE32-E72D297353CC}">
                <c16:uniqueId val="{00000004-665D-4BD8-8F23-16BCA4A279A3}"/>
              </c:ext>
            </c:extLst>
          </c:dPt>
          <c:dPt>
            <c:idx val="3"/>
            <c:bubble3D val="0"/>
            <c:extLst xmlns:c16r2="http://schemas.microsoft.com/office/drawing/2015/06/chart">
              <c:ext xmlns:c16="http://schemas.microsoft.com/office/drawing/2014/chart" uri="{C3380CC4-5D6E-409C-BE32-E72D297353CC}">
                <c16:uniqueId val="{00000005-665D-4BD8-8F23-16BCA4A279A3}"/>
              </c:ext>
            </c:extLst>
          </c:dPt>
          <c:dPt>
            <c:idx val="4"/>
            <c:bubble3D val="0"/>
            <c:extLst xmlns:c16r2="http://schemas.microsoft.com/office/drawing/2015/06/chart">
              <c:ext xmlns:c16="http://schemas.microsoft.com/office/drawing/2014/chart" uri="{C3380CC4-5D6E-409C-BE32-E72D297353CC}">
                <c16:uniqueId val="{00000006-665D-4BD8-8F23-16BCA4A279A3}"/>
              </c:ext>
            </c:extLst>
          </c:dPt>
          <c:dPt>
            <c:idx val="5"/>
            <c:bubble3D val="0"/>
            <c:extLst xmlns:c16r2="http://schemas.microsoft.com/office/drawing/2015/06/chart">
              <c:ext xmlns:c16="http://schemas.microsoft.com/office/drawing/2014/chart" uri="{C3380CC4-5D6E-409C-BE32-E72D297353CC}">
                <c16:uniqueId val="{00000007-665D-4BD8-8F23-16BCA4A279A3}"/>
              </c:ext>
            </c:extLst>
          </c:dPt>
          <c:dPt>
            <c:idx val="6"/>
            <c:bubble3D val="0"/>
            <c:extLst xmlns:c16r2="http://schemas.microsoft.com/office/drawing/2015/06/chart">
              <c:ext xmlns:c16="http://schemas.microsoft.com/office/drawing/2014/chart" uri="{C3380CC4-5D6E-409C-BE32-E72D297353CC}">
                <c16:uniqueId val="{00000008-665D-4BD8-8F23-16BCA4A279A3}"/>
              </c:ext>
            </c:extLst>
          </c:dPt>
          <c:dLbls>
            <c:dLbl>
              <c:idx val="2"/>
              <c:layout>
                <c:manualLayout>
                  <c:x val="9.6899224806201497E-3"/>
                  <c:y val="-5.0987890376035698E-3"/>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65D-4BD8-8F23-16BCA4A279A3}"/>
                </c:ext>
              </c:extLst>
            </c:dLbl>
            <c:dLbl>
              <c:idx val="3"/>
              <c:layout>
                <c:manualLayout>
                  <c:x val="1.9379844961240199E-2"/>
                  <c:y val="-2.5493945188017901E-3"/>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65D-4BD8-8F23-16BCA4A279A3}"/>
                </c:ext>
              </c:extLst>
            </c:dLbl>
            <c:dLbl>
              <c:idx val="4"/>
              <c:layout>
                <c:manualLayout>
                  <c:x val="1.16279069767442E-2"/>
                  <c:y val="-2.2944550669216E-2"/>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65D-4BD8-8F23-16BCA4A279A3}"/>
                </c:ext>
              </c:extLst>
            </c:dLbl>
            <c:dLbl>
              <c:idx val="5"/>
              <c:layout>
                <c:manualLayout>
                  <c:x val="1.74418604651163E-2"/>
                  <c:y val="-1.52963671128107E-2"/>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65D-4BD8-8F23-16BCA4A279A3}"/>
                </c:ext>
              </c:extLst>
            </c:dLbl>
            <c:dLbl>
              <c:idx val="6"/>
              <c:layout>
                <c:manualLayout>
                  <c:x val="3.8759689922480598E-3"/>
                  <c:y val="-2.29445506692161E-2"/>
                </c:manualLayout>
              </c:layout>
              <c:numFmt formatCode="0.0%" sourceLinked="0"/>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65D-4BD8-8F23-16BCA4A279A3}"/>
                </c:ext>
              </c:extLst>
            </c:dLbl>
            <c:numFmt formatCode="0.0%" sourceLinked="0"/>
            <c:spPr>
              <a:noFill/>
              <a:ln>
                <a:noFill/>
              </a:ln>
              <a:effectLst/>
            </c:spPr>
            <c:txPr>
              <a:bodyPr wrap="square"/>
              <a:lstStyle/>
              <a:p>
                <a:pPr>
                  <a:defRPr sz="1000" b="0" strike="noStrike" spc="-1">
                    <a:solidFill>
                      <a:srgbClr val="000000"/>
                    </a:solidFill>
                    <a:latin typeface="Calibri"/>
                  </a:defRPr>
                </a:pPr>
                <a:endParaRPr lang="ru-RU"/>
              </a:p>
            </c:txPr>
            <c:dLblPos val="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2019</c:v>
                </c:pt>
                <c:pt idx="1">
                  <c:v>2020</c:v>
                </c:pt>
                <c:pt idx="2">
                  <c:v>2021</c:v>
                </c:pt>
                <c:pt idx="3">
                  <c:v>2022 оценка</c:v>
                </c:pt>
                <c:pt idx="4">
                  <c:v>2023</c:v>
                </c:pt>
                <c:pt idx="5">
                  <c:v>2024</c:v>
                </c:pt>
                <c:pt idx="6">
                  <c:v>2025</c:v>
                </c:pt>
              </c:strCache>
            </c:strRef>
          </c:cat>
          <c:val>
            <c:numRef>
              <c:f>4</c:f>
              <c:numCache>
                <c:formatCode>General</c:formatCode>
                <c:ptCount val="7"/>
                <c:pt idx="0">
                  <c:v>2.22373252167774E-2</c:v>
                </c:pt>
                <c:pt idx="1">
                  <c:v>3.5300936023435502E-2</c:v>
                </c:pt>
                <c:pt idx="2">
                  <c:v>2.8060599259665E-2</c:v>
                </c:pt>
                <c:pt idx="3">
                  <c:v>2.50447753772601E-2</c:v>
                </c:pt>
                <c:pt idx="4">
                  <c:v>2.13552689176933E-2</c:v>
                </c:pt>
                <c:pt idx="5">
                  <c:v>1.86705335354885E-2</c:v>
                </c:pt>
                <c:pt idx="6">
                  <c:v>1.4985255723854E-2</c:v>
                </c:pt>
              </c:numCache>
            </c:numRef>
          </c:val>
          <c:smooth val="0"/>
          <c:extLst xmlns:c16r2="http://schemas.microsoft.com/office/drawing/2015/06/chart">
            <c:ext xmlns:c16="http://schemas.microsoft.com/office/drawing/2014/chart" uri="{C3380CC4-5D6E-409C-BE32-E72D297353CC}">
              <c16:uniqueId val="{00000009-665D-4BD8-8F23-16BCA4A279A3}"/>
            </c:ext>
          </c:extLst>
        </c:ser>
        <c:dLbls>
          <c:showLegendKey val="0"/>
          <c:showVal val="0"/>
          <c:showCatName val="0"/>
          <c:showSerName val="0"/>
          <c:showPercent val="0"/>
          <c:showBubbleSize val="0"/>
        </c:dLbls>
        <c:hiLowLines>
          <c:spPr>
            <a:ln w="0">
              <a:noFill/>
            </a:ln>
          </c:spPr>
        </c:hiLowLines>
        <c:marker val="1"/>
        <c:smooth val="0"/>
        <c:axId val="200747648"/>
        <c:axId val="201655808"/>
      </c:lineChart>
      <c:catAx>
        <c:axId val="198220800"/>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200745728"/>
        <c:crosses val="autoZero"/>
        <c:auto val="1"/>
        <c:lblAlgn val="ctr"/>
        <c:lblOffset val="100"/>
        <c:noMultiLvlLbl val="0"/>
      </c:catAx>
      <c:valAx>
        <c:axId val="200745728"/>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198220800"/>
        <c:crosses val="autoZero"/>
        <c:crossBetween val="between"/>
      </c:valAx>
      <c:catAx>
        <c:axId val="200747648"/>
        <c:scaling>
          <c:orientation val="minMax"/>
        </c:scaling>
        <c:delete val="1"/>
        <c:axPos val="b"/>
        <c:numFmt formatCode="General" sourceLinked="1"/>
        <c:majorTickMark val="out"/>
        <c:minorTickMark val="none"/>
        <c:tickLblPos val="none"/>
        <c:crossAx val="201655808"/>
        <c:crosses val="autoZero"/>
        <c:auto val="1"/>
        <c:lblAlgn val="ctr"/>
        <c:lblOffset val="100"/>
        <c:noMultiLvlLbl val="0"/>
      </c:catAx>
      <c:valAx>
        <c:axId val="201655808"/>
        <c:scaling>
          <c:orientation val="minMax"/>
        </c:scaling>
        <c:delete val="0"/>
        <c:axPos val="r"/>
        <c:numFmt formatCode="0.0%"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200747648"/>
        <c:crosses val="max"/>
        <c:crossBetween val="between"/>
      </c:valAx>
      <c:spPr>
        <a:noFill/>
        <a:ln w="0">
          <a:noFill/>
        </a:ln>
      </c:spPr>
    </c:plotArea>
    <c:legend>
      <c:legendPos val="r"/>
      <c:layout>
        <c:manualLayout>
          <c:xMode val="edge"/>
          <c:yMode val="edge"/>
          <c:x val="1.7375000000000002E-2"/>
          <c:y val="0.88011111111111096"/>
          <c:w val="0.95493468341771404"/>
          <c:h val="0.10934548283142601"/>
        </c:manualLayout>
      </c:layout>
      <c:overlay val="0"/>
      <c:spPr>
        <a:noFill/>
        <a:ln w="0">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999999999999999E-2"/>
          <c:y val="2.9888888888888899E-2"/>
          <c:w val="0.75312500000000004"/>
          <c:h val="0.76244444444444404"/>
        </c:manualLayout>
      </c:layout>
      <c:barChart>
        <c:barDir val="col"/>
        <c:grouping val="stacked"/>
        <c:varyColors val="0"/>
        <c:ser>
          <c:idx val="0"/>
          <c:order val="0"/>
          <c:tx>
            <c:strRef>
              <c:f>label 0</c:f>
              <c:strCache>
                <c:ptCount val="1"/>
                <c:pt idx="0">
                  <c:v>Целевые</c:v>
                </c:pt>
              </c:strCache>
            </c:strRef>
          </c:tx>
          <c:spPr>
            <a:solidFill>
              <a:srgbClr val="385EA2"/>
            </a:solidFill>
            <a:ln w="6480">
              <a:solidFill>
                <a:srgbClr val="FFFFFF"/>
              </a:solidFill>
              <a:round/>
            </a:ln>
          </c:spPr>
          <c:invertIfNegative val="0"/>
          <c:dLbls>
            <c:numFmt formatCode="0.0" sourceLinked="0"/>
            <c:spPr>
              <a:noFill/>
              <a:ln>
                <a:noFill/>
              </a:ln>
              <a:effectLst/>
            </c:spPr>
            <c:txPr>
              <a:bodyPr wrap="square"/>
              <a:lstStyle/>
              <a:p>
                <a:pPr>
                  <a:defRPr sz="1000" b="0" strike="noStrike" spc="-1">
                    <a:solidFill>
                      <a:srgbClr val="000000"/>
                    </a:solidFill>
                    <a:latin typeface="Calibri"/>
                  </a:defRPr>
                </a:pPr>
                <a:endParaRPr lang="ru-RU"/>
              </a:p>
            </c:txPr>
            <c:dLblPos val="ct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2019</c:v>
                </c:pt>
                <c:pt idx="1">
                  <c:v>2020</c:v>
                </c:pt>
                <c:pt idx="2">
                  <c:v>2021</c:v>
                </c:pt>
                <c:pt idx="3">
                  <c:v>2022 оценка</c:v>
                </c:pt>
                <c:pt idx="4">
                  <c:v>2023</c:v>
                </c:pt>
                <c:pt idx="5">
                  <c:v>2024</c:v>
                </c:pt>
                <c:pt idx="6">
                  <c:v>2025</c:v>
                </c:pt>
              </c:strCache>
            </c:strRef>
          </c:cat>
          <c:val>
            <c:numRef>
              <c:f>0</c:f>
              <c:numCache>
                <c:formatCode>General</c:formatCode>
                <c:ptCount val="7"/>
                <c:pt idx="0">
                  <c:v>1529.08168789966</c:v>
                </c:pt>
                <c:pt idx="1">
                  <c:v>2472.33376456308</c:v>
                </c:pt>
                <c:pt idx="2">
                  <c:v>2654.5583812335599</c:v>
                </c:pt>
                <c:pt idx="3">
                  <c:v>2680.7372</c:v>
                </c:pt>
                <c:pt idx="4">
                  <c:v>2202.9362999999998</c:v>
                </c:pt>
                <c:pt idx="5">
                  <c:v>1935.1748</c:v>
                </c:pt>
                <c:pt idx="6">
                  <c:v>1482.4816000000001</c:v>
                </c:pt>
              </c:numCache>
            </c:numRef>
          </c:val>
          <c:extLst xmlns:c16r2="http://schemas.microsoft.com/office/drawing/2015/06/chart">
            <c:ext xmlns:c16="http://schemas.microsoft.com/office/drawing/2014/chart" uri="{C3380CC4-5D6E-409C-BE32-E72D297353CC}">
              <c16:uniqueId val="{00000000-84D4-4E01-9923-187DC970A3DC}"/>
            </c:ext>
          </c:extLst>
        </c:ser>
        <c:ser>
          <c:idx val="1"/>
          <c:order val="1"/>
          <c:tx>
            <c:strRef>
              <c:f>label 1</c:f>
              <c:strCache>
                <c:ptCount val="1"/>
                <c:pt idx="0">
                  <c:v>Нецелевые </c:v>
                </c:pt>
              </c:strCache>
            </c:strRef>
          </c:tx>
          <c:spPr>
            <a:solidFill>
              <a:srgbClr val="4472C4"/>
            </a:solidFill>
            <a:ln w="6480">
              <a:solidFill>
                <a:srgbClr val="FFFFFF"/>
              </a:solidFill>
              <a:round/>
            </a:ln>
          </c:spPr>
          <c:invertIfNegative val="0"/>
          <c:dPt>
            <c:idx val="5"/>
            <c:invertIfNegative val="0"/>
            <c:bubble3D val="0"/>
            <c:extLst xmlns:c16r2="http://schemas.microsoft.com/office/drawing/2015/06/chart">
              <c:ext xmlns:c16="http://schemas.microsoft.com/office/drawing/2014/chart" uri="{C3380CC4-5D6E-409C-BE32-E72D297353CC}">
                <c16:uniqueId val="{00000001-84D4-4E01-9923-187DC970A3DC}"/>
              </c:ext>
            </c:extLst>
          </c:dPt>
          <c:dPt>
            <c:idx val="6"/>
            <c:invertIfNegative val="0"/>
            <c:bubble3D val="0"/>
            <c:extLst xmlns:c16r2="http://schemas.microsoft.com/office/drawing/2015/06/chart">
              <c:ext xmlns:c16="http://schemas.microsoft.com/office/drawing/2014/chart" uri="{C3380CC4-5D6E-409C-BE32-E72D297353CC}">
                <c16:uniqueId val="{00000002-84D4-4E01-9923-187DC970A3DC}"/>
              </c:ext>
            </c:extLst>
          </c:dPt>
          <c:dLbls>
            <c:dLbl>
              <c:idx val="5"/>
              <c:layout>
                <c:manualLayout>
                  <c:x val="-5.12163892445583E-3"/>
                  <c:y val="-5.3763429480266502E-2"/>
                </c:manualLayout>
              </c:layout>
              <c:numFmt formatCode="0.0" sourceLinked="0"/>
              <c:spPr/>
              <c:txPr>
                <a:bodyPr wrap="square"/>
                <a:lstStyle/>
                <a:p>
                  <a:pPr>
                    <a:defRPr sz="1000" b="0" strike="noStrike" spc="-1">
                      <a:solidFill>
                        <a:srgbClr val="000000"/>
                      </a:solidFill>
                      <a:latin typeface="Calibri"/>
                    </a:defRPr>
                  </a:pPr>
                  <a:endParaRPr lang="ru-RU"/>
                </a:p>
              </c:txPr>
              <c:dLblPos val="ct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4D4-4E01-9923-187DC970A3DC}"/>
                </c:ext>
              </c:extLst>
            </c:dLbl>
            <c:dLbl>
              <c:idx val="6"/>
              <c:layout>
                <c:manualLayout>
                  <c:x val="6.82885189927444E-3"/>
                  <c:y val="-5.6451600954279799E-2"/>
                </c:manualLayout>
              </c:layout>
              <c:numFmt formatCode="0.0" sourceLinked="0"/>
              <c:spPr/>
              <c:txPr>
                <a:bodyPr wrap="square"/>
                <a:lstStyle/>
                <a:p>
                  <a:pPr>
                    <a:defRPr sz="1000" b="0" strike="noStrike" spc="-1">
                      <a:solidFill>
                        <a:srgbClr val="000000"/>
                      </a:solidFill>
                      <a:latin typeface="Calibri"/>
                    </a:defRPr>
                  </a:pPr>
                  <a:endParaRPr lang="ru-RU"/>
                </a:p>
              </c:txPr>
              <c:dLblPos val="ct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4D4-4E01-9923-187DC970A3DC}"/>
                </c:ext>
              </c:extLst>
            </c:dLbl>
            <c:numFmt formatCode="0.0" sourceLinked="0"/>
            <c:spPr>
              <a:noFill/>
              <a:ln>
                <a:noFill/>
              </a:ln>
              <a:effectLst/>
            </c:spPr>
            <c:txPr>
              <a:bodyPr wrap="square"/>
              <a:lstStyle/>
              <a:p>
                <a:pPr>
                  <a:defRPr sz="1000" b="0" strike="noStrike" spc="-1">
                    <a:solidFill>
                      <a:srgbClr val="000000"/>
                    </a:solidFill>
                    <a:latin typeface="Calibri"/>
                  </a:defRPr>
                </a:pPr>
                <a:endParaRPr lang="ru-RU"/>
              </a:p>
            </c:txPr>
            <c:dLblPos val="ct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2019</c:v>
                </c:pt>
                <c:pt idx="1">
                  <c:v>2020</c:v>
                </c:pt>
                <c:pt idx="2">
                  <c:v>2021</c:v>
                </c:pt>
                <c:pt idx="3">
                  <c:v>2022 оценка</c:v>
                </c:pt>
                <c:pt idx="4">
                  <c:v>2023</c:v>
                </c:pt>
                <c:pt idx="5">
                  <c:v>2024</c:v>
                </c:pt>
                <c:pt idx="6">
                  <c:v>2025</c:v>
                </c:pt>
              </c:strCache>
            </c:strRef>
          </c:cat>
          <c:val>
            <c:numRef>
              <c:f>1</c:f>
              <c:numCache>
                <c:formatCode>General</c:formatCode>
                <c:ptCount val="7"/>
                <c:pt idx="0">
                  <c:v>923.97383170000001</c:v>
                </c:pt>
                <c:pt idx="1">
                  <c:v>1303.65775093257</c:v>
                </c:pt>
                <c:pt idx="2">
                  <c:v>1021.87445358298</c:v>
                </c:pt>
                <c:pt idx="3">
                  <c:v>969.61800000000005</c:v>
                </c:pt>
                <c:pt idx="4">
                  <c:v>1004.0728</c:v>
                </c:pt>
                <c:pt idx="5">
                  <c:v>1038.9866</c:v>
                </c:pt>
                <c:pt idx="6">
                  <c:v>1074.0944999999999</c:v>
                </c:pt>
              </c:numCache>
            </c:numRef>
          </c:val>
          <c:extLst xmlns:c16r2="http://schemas.microsoft.com/office/drawing/2015/06/chart">
            <c:ext xmlns:c16="http://schemas.microsoft.com/office/drawing/2014/chart" uri="{C3380CC4-5D6E-409C-BE32-E72D297353CC}">
              <c16:uniqueId val="{00000003-84D4-4E01-9923-187DC970A3DC}"/>
            </c:ext>
          </c:extLst>
        </c:ser>
        <c:dLbls>
          <c:showLegendKey val="0"/>
          <c:showVal val="0"/>
          <c:showCatName val="0"/>
          <c:showSerName val="0"/>
          <c:showPercent val="0"/>
          <c:showBubbleSize val="0"/>
        </c:dLbls>
        <c:gapWidth val="150"/>
        <c:overlap val="100"/>
        <c:axId val="217691264"/>
        <c:axId val="217693568"/>
      </c:barChart>
      <c:lineChart>
        <c:grouping val="stacked"/>
        <c:varyColors val="0"/>
        <c:ser>
          <c:idx val="2"/>
          <c:order val="2"/>
          <c:tx>
            <c:strRef>
              <c:f>label 2</c:f>
              <c:strCache>
                <c:ptCount val="1"/>
                <c:pt idx="0">
                  <c:v>Соотношение Целевые/нецелевые</c:v>
                </c:pt>
              </c:strCache>
            </c:strRef>
          </c:tx>
          <c:spPr>
            <a:ln w="31680">
              <a:solidFill>
                <a:srgbClr val="A7B4DB"/>
              </a:solidFill>
              <a:round/>
            </a:ln>
          </c:spPr>
          <c:dPt>
            <c:idx val="0"/>
            <c:bubble3D val="0"/>
            <c:extLst xmlns:c16r2="http://schemas.microsoft.com/office/drawing/2015/06/chart">
              <c:ext xmlns:c16="http://schemas.microsoft.com/office/drawing/2014/chart" uri="{C3380CC4-5D6E-409C-BE32-E72D297353CC}">
                <c16:uniqueId val="{00000004-84D4-4E01-9923-187DC970A3DC}"/>
              </c:ext>
            </c:extLst>
          </c:dPt>
          <c:dPt>
            <c:idx val="1"/>
            <c:bubble3D val="0"/>
            <c:extLst xmlns:c16r2="http://schemas.microsoft.com/office/drawing/2015/06/chart">
              <c:ext xmlns:c16="http://schemas.microsoft.com/office/drawing/2014/chart" uri="{C3380CC4-5D6E-409C-BE32-E72D297353CC}">
                <c16:uniqueId val="{00000005-84D4-4E01-9923-187DC970A3DC}"/>
              </c:ext>
            </c:extLst>
          </c:dPt>
          <c:dPt>
            <c:idx val="2"/>
            <c:bubble3D val="0"/>
            <c:extLst xmlns:c16r2="http://schemas.microsoft.com/office/drawing/2015/06/chart">
              <c:ext xmlns:c16="http://schemas.microsoft.com/office/drawing/2014/chart" uri="{C3380CC4-5D6E-409C-BE32-E72D297353CC}">
                <c16:uniqueId val="{00000006-84D4-4E01-9923-187DC970A3DC}"/>
              </c:ext>
            </c:extLst>
          </c:dPt>
          <c:dPt>
            <c:idx val="3"/>
            <c:bubble3D val="0"/>
            <c:extLst xmlns:c16r2="http://schemas.microsoft.com/office/drawing/2015/06/chart">
              <c:ext xmlns:c16="http://schemas.microsoft.com/office/drawing/2014/chart" uri="{C3380CC4-5D6E-409C-BE32-E72D297353CC}">
                <c16:uniqueId val="{00000007-84D4-4E01-9923-187DC970A3DC}"/>
              </c:ext>
            </c:extLst>
          </c:dPt>
          <c:dPt>
            <c:idx val="4"/>
            <c:bubble3D val="0"/>
            <c:extLst xmlns:c16r2="http://schemas.microsoft.com/office/drawing/2015/06/chart">
              <c:ext xmlns:c16="http://schemas.microsoft.com/office/drawing/2014/chart" uri="{C3380CC4-5D6E-409C-BE32-E72D297353CC}">
                <c16:uniqueId val="{00000008-84D4-4E01-9923-187DC970A3DC}"/>
              </c:ext>
            </c:extLst>
          </c:dPt>
          <c:dPt>
            <c:idx val="5"/>
            <c:bubble3D val="0"/>
            <c:extLst xmlns:c16r2="http://schemas.microsoft.com/office/drawing/2015/06/chart">
              <c:ext xmlns:c16="http://schemas.microsoft.com/office/drawing/2014/chart" uri="{C3380CC4-5D6E-409C-BE32-E72D297353CC}">
                <c16:uniqueId val="{00000009-84D4-4E01-9923-187DC970A3DC}"/>
              </c:ext>
            </c:extLst>
          </c:dPt>
          <c:dPt>
            <c:idx val="6"/>
            <c:bubble3D val="0"/>
            <c:extLst xmlns:c16r2="http://schemas.microsoft.com/office/drawing/2015/06/chart">
              <c:ext xmlns:c16="http://schemas.microsoft.com/office/drawing/2014/chart" uri="{C3380CC4-5D6E-409C-BE32-E72D297353CC}">
                <c16:uniqueId val="{0000000A-84D4-4E01-9923-187DC970A3DC}"/>
              </c:ext>
            </c:extLst>
          </c:dPt>
          <c:dLbls>
            <c:dLbl>
              <c:idx val="0"/>
              <c:layout>
                <c:manualLayout>
                  <c:x val="1.53649167733675E-2"/>
                  <c:y val="4.8387086532239797E-2"/>
                </c:manualLayout>
              </c:layout>
              <c:numFmt formatCode="0.00" sourceLinked="0"/>
              <c:spPr/>
              <c:txPr>
                <a:bodyPr wrap="square"/>
                <a:lstStyle/>
                <a:p>
                  <a:pPr>
                    <a:defRPr sz="1200" b="1" i="1"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4D4-4E01-9923-187DC970A3DC}"/>
                </c:ext>
              </c:extLst>
            </c:dLbl>
            <c:dLbl>
              <c:idx val="1"/>
              <c:layout>
                <c:manualLayout>
                  <c:x val="2.5608194622279201E-2"/>
                  <c:y val="0"/>
                </c:manualLayout>
              </c:layout>
              <c:numFmt formatCode="0.00" sourceLinked="0"/>
              <c:spPr/>
              <c:txPr>
                <a:bodyPr wrap="square"/>
                <a:lstStyle/>
                <a:p>
                  <a:pPr>
                    <a:defRPr sz="1200" b="1" i="1"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4D4-4E01-9923-187DC970A3DC}"/>
                </c:ext>
              </c:extLst>
            </c:dLbl>
            <c:dLbl>
              <c:idx val="2"/>
              <c:layout>
                <c:manualLayout>
                  <c:x val="1.53649167733675E-2"/>
                  <c:y val="-6.18279439023064E-2"/>
                </c:manualLayout>
              </c:layout>
              <c:numFmt formatCode="0.00" sourceLinked="0"/>
              <c:spPr/>
              <c:txPr>
                <a:bodyPr wrap="square"/>
                <a:lstStyle/>
                <a:p>
                  <a:pPr>
                    <a:defRPr sz="1200" b="1" i="1"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4D4-4E01-9923-187DC970A3DC}"/>
                </c:ext>
              </c:extLst>
            </c:dLbl>
            <c:dLbl>
              <c:idx val="3"/>
              <c:layout>
                <c:manualLayout>
                  <c:x val="8.5360648740930491E-3"/>
                  <c:y val="-3.3894404503784802E-2"/>
                </c:manualLayout>
              </c:layout>
              <c:numFmt formatCode="0.00" sourceLinked="0"/>
              <c:spPr/>
              <c:txPr>
                <a:bodyPr wrap="square"/>
                <a:lstStyle/>
                <a:p>
                  <a:pPr>
                    <a:defRPr sz="1200" b="1" i="1"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4D4-4E01-9923-187DC970A3DC}"/>
                </c:ext>
              </c:extLst>
            </c:dLbl>
            <c:dLbl>
              <c:idx val="4"/>
              <c:layout>
                <c:manualLayout>
                  <c:x val="6.82885189927444E-3"/>
                  <c:y val="-3.2257978622237497E-2"/>
                </c:manualLayout>
              </c:layout>
              <c:numFmt formatCode="0.00" sourceLinked="0"/>
              <c:spPr/>
              <c:txPr>
                <a:bodyPr wrap="square"/>
                <a:lstStyle/>
                <a:p>
                  <a:pPr>
                    <a:defRPr sz="1200" b="1" i="1"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4D4-4E01-9923-187DC970A3DC}"/>
                </c:ext>
              </c:extLst>
            </c:dLbl>
            <c:dLbl>
              <c:idx val="5"/>
              <c:layout>
                <c:manualLayout>
                  <c:x val="4.4387537345283903E-2"/>
                  <c:y val="-4.56989150582265E-2"/>
                </c:manualLayout>
              </c:layout>
              <c:numFmt formatCode="0.00" sourceLinked="0"/>
              <c:spPr/>
              <c:txPr>
                <a:bodyPr wrap="square"/>
                <a:lstStyle/>
                <a:p>
                  <a:pPr>
                    <a:defRPr sz="1200" b="1" i="1"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4D4-4E01-9923-187DC970A3DC}"/>
                </c:ext>
              </c:extLst>
            </c:dLbl>
            <c:dLbl>
              <c:idx val="6"/>
              <c:layout>
                <c:manualLayout>
                  <c:x val="1.7072129748186098E-2"/>
                  <c:y val="5.3763429480266503E-3"/>
                </c:manualLayout>
              </c:layout>
              <c:numFmt formatCode="0.00" sourceLinked="0"/>
              <c:spPr/>
              <c:txPr>
                <a:bodyPr wrap="square"/>
                <a:lstStyle/>
                <a:p>
                  <a:pPr>
                    <a:defRPr sz="1200" b="1" i="1" strike="noStrike" spc="-1">
                      <a:solidFill>
                        <a:srgbClr val="000000"/>
                      </a:solidFill>
                      <a:latin typeface="Calibri"/>
                    </a:defRPr>
                  </a:pPr>
                  <a:endParaRPr lang="ru-RU"/>
                </a:p>
              </c:txPr>
              <c:dLblPos val="r"/>
              <c:showLegendKey val="0"/>
              <c:showVal val="1"/>
              <c:showCatName val="0"/>
              <c:showSerName val="0"/>
              <c:showPercent val="0"/>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4D4-4E01-9923-187DC970A3DC}"/>
                </c:ext>
              </c:extLst>
            </c:dLbl>
            <c:numFmt formatCode="0.00" sourceLinked="0"/>
            <c:spPr>
              <a:noFill/>
              <a:ln>
                <a:noFill/>
              </a:ln>
              <a:effectLst/>
            </c:spPr>
            <c:txPr>
              <a:bodyPr wrap="square"/>
              <a:lstStyle/>
              <a:p>
                <a:pPr>
                  <a:defRPr sz="1200" b="1" i="1" strike="noStrike" spc="-1">
                    <a:solidFill>
                      <a:srgbClr val="000000"/>
                    </a:solidFill>
                    <a:latin typeface="Calibri"/>
                  </a:defRPr>
                </a:pPr>
                <a:endParaRPr lang="ru-RU"/>
              </a:p>
            </c:txPr>
            <c:dLblPos val="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2019</c:v>
                </c:pt>
                <c:pt idx="1">
                  <c:v>2020</c:v>
                </c:pt>
                <c:pt idx="2">
                  <c:v>2021</c:v>
                </c:pt>
                <c:pt idx="3">
                  <c:v>2022 оценка</c:v>
                </c:pt>
                <c:pt idx="4">
                  <c:v>2023</c:v>
                </c:pt>
                <c:pt idx="5">
                  <c:v>2024</c:v>
                </c:pt>
                <c:pt idx="6">
                  <c:v>2025</c:v>
                </c:pt>
              </c:strCache>
            </c:strRef>
          </c:cat>
          <c:val>
            <c:numRef>
              <c:f>2</c:f>
              <c:numCache>
                <c:formatCode>General</c:formatCode>
                <c:ptCount val="7"/>
                <c:pt idx="0">
                  <c:v>1.6548971793782701</c:v>
                </c:pt>
                <c:pt idx="1">
                  <c:v>1.89645922236453</c:v>
                </c:pt>
                <c:pt idx="2">
                  <c:v>2.59773436152155</c:v>
                </c:pt>
                <c:pt idx="3">
                  <c:v>2.7647353906383798</c:v>
                </c:pt>
                <c:pt idx="4">
                  <c:v>2.1940005744603401</c:v>
                </c:pt>
                <c:pt idx="5">
                  <c:v>1.8625599213695301</c:v>
                </c:pt>
                <c:pt idx="6">
                  <c:v>1.3802152417687601</c:v>
                </c:pt>
              </c:numCache>
            </c:numRef>
          </c:val>
          <c:smooth val="0"/>
          <c:extLst xmlns:c16r2="http://schemas.microsoft.com/office/drawing/2015/06/chart">
            <c:ext xmlns:c16="http://schemas.microsoft.com/office/drawing/2014/chart" uri="{C3380CC4-5D6E-409C-BE32-E72D297353CC}">
              <c16:uniqueId val="{0000000B-84D4-4E01-9923-187DC970A3DC}"/>
            </c:ext>
          </c:extLst>
        </c:ser>
        <c:dLbls>
          <c:showLegendKey val="0"/>
          <c:showVal val="0"/>
          <c:showCatName val="0"/>
          <c:showSerName val="0"/>
          <c:showPercent val="0"/>
          <c:showBubbleSize val="0"/>
        </c:dLbls>
        <c:hiLowLines>
          <c:spPr>
            <a:ln w="0">
              <a:noFill/>
            </a:ln>
          </c:spPr>
        </c:hiLowLines>
        <c:marker val="1"/>
        <c:smooth val="0"/>
        <c:axId val="218215552"/>
        <c:axId val="218255744"/>
      </c:lineChart>
      <c:catAx>
        <c:axId val="217691264"/>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217693568"/>
        <c:crosses val="autoZero"/>
        <c:auto val="1"/>
        <c:lblAlgn val="ctr"/>
        <c:lblOffset val="100"/>
        <c:noMultiLvlLbl val="0"/>
      </c:catAx>
      <c:valAx>
        <c:axId val="217693568"/>
        <c:scaling>
          <c:orientation val="minMax"/>
        </c:scaling>
        <c:delete val="0"/>
        <c:axPos val="l"/>
        <c:majorGridlines>
          <c:spPr>
            <a:ln w="6480">
              <a:solidFill>
                <a:srgbClr val="8B8B8B"/>
              </a:solidFill>
              <a:round/>
            </a:ln>
          </c:spPr>
        </c:majorGridlines>
        <c:numFmt formatCode="0.0"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217691264"/>
        <c:crosses val="autoZero"/>
        <c:crossBetween val="between"/>
      </c:valAx>
      <c:catAx>
        <c:axId val="218215552"/>
        <c:scaling>
          <c:orientation val="minMax"/>
        </c:scaling>
        <c:delete val="1"/>
        <c:axPos val="b"/>
        <c:numFmt formatCode="General" sourceLinked="1"/>
        <c:majorTickMark val="out"/>
        <c:minorTickMark val="none"/>
        <c:tickLblPos val="none"/>
        <c:crossAx val="218255744"/>
        <c:crosses val="autoZero"/>
        <c:auto val="1"/>
        <c:lblAlgn val="ctr"/>
        <c:lblOffset val="100"/>
        <c:noMultiLvlLbl val="0"/>
      </c:catAx>
      <c:valAx>
        <c:axId val="218255744"/>
        <c:scaling>
          <c:orientation val="minMax"/>
        </c:scaling>
        <c:delete val="0"/>
        <c:axPos val="r"/>
        <c:numFmt formatCode="0.00"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218215552"/>
        <c:crosses val="max"/>
        <c:crossBetween val="between"/>
      </c:valAx>
      <c:spPr>
        <a:noFill/>
        <a:ln w="0">
          <a:noFill/>
        </a:ln>
      </c:spPr>
    </c:plotArea>
    <c:legend>
      <c:legendPos val="r"/>
      <c:layout>
        <c:manualLayout>
          <c:xMode val="edge"/>
          <c:yMode val="edge"/>
          <c:x val="8.7999999999999995E-2"/>
          <c:y val="0.885777777777778"/>
          <c:w val="0.82742671416963598"/>
          <c:h val="0.11256806311812401"/>
        </c:manualLayout>
      </c:layout>
      <c:overlay val="0"/>
      <c:spPr>
        <a:noFill/>
        <a:ln w="0">
          <a:noFill/>
        </a:ln>
      </c:spPr>
      <c:txPr>
        <a:bodyPr/>
        <a:lstStyle/>
        <a:p>
          <a:pPr>
            <a:defRPr sz="1000" b="0" strike="noStrike" spc="-1">
              <a:solidFill>
                <a:srgbClr val="000000"/>
              </a:solidFill>
              <a:latin typeface="Calibri"/>
            </a:defRPr>
          </a:pPr>
          <a:endParaRPr lang="ru-RU"/>
        </a:p>
      </c:txPr>
    </c:legend>
    <c:plotVisOnly val="1"/>
    <c:dispBlanksAs val="zero"/>
    <c:showDLblsOverMax val="1"/>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Средства ФНБ</c:v>
          </c:tx>
          <c:spPr>
            <a:solidFill>
              <a:schemeClr val="tx1">
                <a:lumMod val="75000"/>
                <a:lumOff val="25000"/>
              </a:schemeClr>
            </a:solidFill>
            <a:ln>
              <a:solidFill>
                <a:schemeClr val="tx1"/>
              </a:solidFill>
            </a:ln>
            <a:effectLst/>
          </c:spPr>
          <c:invertIfNegative val="0"/>
          <c:cat>
            <c:strRef>
              <c:f>Лист2!$B$18:$H$18</c:f>
              <c:strCache>
                <c:ptCount val="7"/>
                <c:pt idx="0">
                  <c:v>2019</c:v>
                </c:pt>
                <c:pt idx="1">
                  <c:v>2020</c:v>
                </c:pt>
                <c:pt idx="2">
                  <c:v>2021</c:v>
                </c:pt>
                <c:pt idx="3">
                  <c:v>2022*</c:v>
                </c:pt>
                <c:pt idx="4">
                  <c:v>2023</c:v>
                </c:pt>
                <c:pt idx="5">
                  <c:v>2024</c:v>
                </c:pt>
                <c:pt idx="6">
                  <c:v>2025</c:v>
                </c:pt>
              </c:strCache>
            </c:strRef>
          </c:cat>
          <c:val>
            <c:numRef>
              <c:f>Лист2!$B$21:$H$21</c:f>
              <c:numCache>
                <c:formatCode>General</c:formatCode>
                <c:ptCount val="7"/>
                <c:pt idx="0" formatCode="#,##0.00">
                  <c:v>-2956.8</c:v>
                </c:pt>
                <c:pt idx="1">
                  <c:v>257.10000000000002</c:v>
                </c:pt>
                <c:pt idx="2" formatCode="#,##0.00">
                  <c:v>-3157.9</c:v>
                </c:pt>
                <c:pt idx="3" formatCode="#,##0.00">
                  <c:v>3193.6</c:v>
                </c:pt>
                <c:pt idx="4" formatCode="#,##0.00">
                  <c:v>1961</c:v>
                </c:pt>
                <c:pt idx="5">
                  <c:v>643.70000000000005</c:v>
                </c:pt>
                <c:pt idx="6">
                  <c:v>-488.5</c:v>
                </c:pt>
              </c:numCache>
            </c:numRef>
          </c:val>
          <c:extLst xmlns:c16r2="http://schemas.microsoft.com/office/drawing/2015/06/chart">
            <c:ext xmlns:c16="http://schemas.microsoft.com/office/drawing/2014/chart" uri="{C3380CC4-5D6E-409C-BE32-E72D297353CC}">
              <c16:uniqueId val="{00000000-6D46-43C9-AD69-07605648E58E}"/>
            </c:ext>
          </c:extLst>
        </c:ser>
        <c:ser>
          <c:idx val="1"/>
          <c:order val="1"/>
          <c:tx>
            <c:v>Государственные ценные бумаги</c:v>
          </c:tx>
          <c:spPr>
            <a:solidFill>
              <a:schemeClr val="bg1">
                <a:lumMod val="85000"/>
              </a:schemeClr>
            </a:solidFill>
            <a:ln>
              <a:solidFill>
                <a:schemeClr val="tx1"/>
              </a:solidFill>
            </a:ln>
            <a:effectLst/>
          </c:spPr>
          <c:invertIfNegative val="0"/>
          <c:cat>
            <c:strRef>
              <c:f>Лист2!$B$18:$H$18</c:f>
              <c:strCache>
                <c:ptCount val="7"/>
                <c:pt idx="0">
                  <c:v>2019</c:v>
                </c:pt>
                <c:pt idx="1">
                  <c:v>2020</c:v>
                </c:pt>
                <c:pt idx="2">
                  <c:v>2021</c:v>
                </c:pt>
                <c:pt idx="3">
                  <c:v>2022*</c:v>
                </c:pt>
                <c:pt idx="4">
                  <c:v>2023</c:v>
                </c:pt>
                <c:pt idx="5">
                  <c:v>2024</c:v>
                </c:pt>
                <c:pt idx="6">
                  <c:v>2025</c:v>
                </c:pt>
              </c:strCache>
            </c:strRef>
          </c:cat>
          <c:val>
            <c:numRef>
              <c:f>Лист2!$B$24:$H$24</c:f>
              <c:numCache>
                <c:formatCode>#,##0.00</c:formatCode>
                <c:ptCount val="7"/>
                <c:pt idx="0">
                  <c:v>1377.6</c:v>
                </c:pt>
                <c:pt idx="1">
                  <c:v>4600.6000000000004</c:v>
                </c:pt>
                <c:pt idx="2">
                  <c:v>1538.1</c:v>
                </c:pt>
                <c:pt idx="3" formatCode="General">
                  <c:v>-953.6</c:v>
                </c:pt>
                <c:pt idx="4">
                  <c:v>1747.4</c:v>
                </c:pt>
                <c:pt idx="5">
                  <c:v>1937.6</c:v>
                </c:pt>
                <c:pt idx="6">
                  <c:v>2000.5</c:v>
                </c:pt>
              </c:numCache>
            </c:numRef>
          </c:val>
          <c:extLst xmlns:c16r2="http://schemas.microsoft.com/office/drawing/2015/06/chart">
            <c:ext xmlns:c16="http://schemas.microsoft.com/office/drawing/2014/chart" uri="{C3380CC4-5D6E-409C-BE32-E72D297353CC}">
              <c16:uniqueId val="{00000001-6D46-43C9-AD69-07605648E58E}"/>
            </c:ext>
          </c:extLst>
        </c:ser>
        <c:ser>
          <c:idx val="2"/>
          <c:order val="2"/>
          <c:tx>
            <c:v>Объем финансирования дефицита</c:v>
          </c:tx>
          <c:spPr>
            <a:pattFill prst="wdUpDiag">
              <a:fgClr>
                <a:schemeClr val="tx1"/>
              </a:fgClr>
              <a:bgClr>
                <a:schemeClr val="bg1"/>
              </a:bgClr>
            </a:pattFill>
            <a:ln>
              <a:solidFill>
                <a:schemeClr val="tx1"/>
              </a:solidFill>
            </a:ln>
            <a:effectLst/>
          </c:spPr>
          <c:invertIfNegative val="0"/>
          <c:val>
            <c:numRef>
              <c:f>Лист2!$B$19:$H$19</c:f>
              <c:numCache>
                <c:formatCode>#,##0.00</c:formatCode>
                <c:ptCount val="7"/>
                <c:pt idx="0">
                  <c:v>-1974.3</c:v>
                </c:pt>
                <c:pt idx="1">
                  <c:v>4102.5</c:v>
                </c:pt>
                <c:pt idx="2" formatCode="General">
                  <c:v>-524.29999999999995</c:v>
                </c:pt>
                <c:pt idx="3">
                  <c:v>1313.1</c:v>
                </c:pt>
                <c:pt idx="4">
                  <c:v>2925.3</c:v>
                </c:pt>
                <c:pt idx="5">
                  <c:v>2192.6</c:v>
                </c:pt>
                <c:pt idx="6">
                  <c:v>1264.3</c:v>
                </c:pt>
              </c:numCache>
            </c:numRef>
          </c:val>
          <c:extLst xmlns:c16r2="http://schemas.microsoft.com/office/drawing/2015/06/chart">
            <c:ext xmlns:c16="http://schemas.microsoft.com/office/drawing/2014/chart" uri="{C3380CC4-5D6E-409C-BE32-E72D297353CC}">
              <c16:uniqueId val="{00000002-6D46-43C9-AD69-07605648E58E}"/>
            </c:ext>
          </c:extLst>
        </c:ser>
        <c:dLbls>
          <c:showLegendKey val="0"/>
          <c:showVal val="0"/>
          <c:showCatName val="0"/>
          <c:showSerName val="0"/>
          <c:showPercent val="0"/>
          <c:showBubbleSize val="0"/>
        </c:dLbls>
        <c:gapWidth val="100"/>
        <c:overlap val="-24"/>
        <c:axId val="228097024"/>
        <c:axId val="228325248"/>
      </c:barChart>
      <c:catAx>
        <c:axId val="2280970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8325248"/>
        <c:crosses val="autoZero"/>
        <c:auto val="1"/>
        <c:lblAlgn val="ctr"/>
        <c:lblOffset val="100"/>
        <c:noMultiLvlLbl val="0"/>
      </c:catAx>
      <c:valAx>
        <c:axId val="228325248"/>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2809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7CAE-129A-487E-A496-CC6E0001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84</Pages>
  <Words>21240</Words>
  <Characters>121068</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Караваева</dc:creator>
  <cp:lastModifiedBy>МИХАЙЛОВ Данила Михайлович</cp:lastModifiedBy>
  <cp:revision>11</cp:revision>
  <dcterms:created xsi:type="dcterms:W3CDTF">2022-10-13T20:05:00Z</dcterms:created>
  <dcterms:modified xsi:type="dcterms:W3CDTF">2022-10-15T12:27:00Z</dcterms:modified>
</cp:coreProperties>
</file>