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E3" w:rsidRDefault="005753D3" w:rsidP="0093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 на</w:t>
      </w:r>
      <w:r w:rsidR="00933545">
        <w:rPr>
          <w:rFonts w:ascii="Times New Roman" w:hAnsi="Times New Roman" w:cs="Times New Roman"/>
          <w:b/>
          <w:sz w:val="28"/>
          <w:szCs w:val="28"/>
        </w:rPr>
        <w:t xml:space="preserve"> проект Закона о федеральном бюджете и Основных направлений бюджетной, налоговой и таможенно-тарифной политики (далее - </w:t>
      </w:r>
      <w:r w:rsidR="00441C36" w:rsidRPr="00441C36">
        <w:rPr>
          <w:rFonts w:ascii="Times New Roman" w:hAnsi="Times New Roman" w:cs="Times New Roman"/>
          <w:b/>
          <w:sz w:val="28"/>
          <w:szCs w:val="28"/>
        </w:rPr>
        <w:t>ОНБП</w:t>
      </w:r>
      <w:r w:rsidR="00933545">
        <w:rPr>
          <w:rFonts w:ascii="Times New Roman" w:hAnsi="Times New Roman" w:cs="Times New Roman"/>
          <w:b/>
          <w:sz w:val="28"/>
          <w:szCs w:val="28"/>
        </w:rPr>
        <w:t>)</w:t>
      </w:r>
      <w:r w:rsidR="00441C36" w:rsidRPr="00441C3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77143">
        <w:rPr>
          <w:rFonts w:ascii="Times New Roman" w:hAnsi="Times New Roman" w:cs="Times New Roman"/>
          <w:b/>
          <w:sz w:val="28"/>
          <w:szCs w:val="28"/>
        </w:rPr>
        <w:t>20</w:t>
      </w:r>
      <w:r w:rsidR="00441C36" w:rsidRPr="00441C36">
        <w:rPr>
          <w:rFonts w:ascii="Times New Roman" w:hAnsi="Times New Roman" w:cs="Times New Roman"/>
          <w:b/>
          <w:sz w:val="28"/>
          <w:szCs w:val="28"/>
        </w:rPr>
        <w:t>-202</w:t>
      </w:r>
      <w:r w:rsidR="00477143">
        <w:rPr>
          <w:rFonts w:ascii="Times New Roman" w:hAnsi="Times New Roman" w:cs="Times New Roman"/>
          <w:b/>
          <w:sz w:val="28"/>
          <w:szCs w:val="28"/>
        </w:rPr>
        <w:t>2</w:t>
      </w:r>
      <w:r w:rsidR="00441C36" w:rsidRPr="00441C3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0A59A9" w:rsidRPr="000A59A9" w:rsidRDefault="000A59A9" w:rsidP="009335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9A9">
        <w:rPr>
          <w:rFonts w:ascii="Times New Roman" w:hAnsi="Times New Roman" w:cs="Times New Roman"/>
          <w:bCs/>
          <w:sz w:val="28"/>
          <w:szCs w:val="28"/>
        </w:rPr>
        <w:t>(</w:t>
      </w:r>
      <w:r w:rsidR="00AC330C">
        <w:rPr>
          <w:rFonts w:ascii="Times New Roman" w:hAnsi="Times New Roman" w:cs="Times New Roman"/>
          <w:bCs/>
          <w:sz w:val="28"/>
          <w:szCs w:val="28"/>
        </w:rPr>
        <w:t xml:space="preserve">использованы материалы </w:t>
      </w:r>
      <w:proofErr w:type="spellStart"/>
      <w:r w:rsidRPr="000A59A9">
        <w:rPr>
          <w:rFonts w:ascii="Times New Roman" w:hAnsi="Times New Roman" w:cs="Times New Roman"/>
          <w:bCs/>
          <w:sz w:val="28"/>
          <w:szCs w:val="28"/>
        </w:rPr>
        <w:t>Н.Акиндинов</w:t>
      </w:r>
      <w:r w:rsidR="00AC330C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0A59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753D3">
        <w:rPr>
          <w:rFonts w:ascii="Times New Roman" w:hAnsi="Times New Roman" w:cs="Times New Roman"/>
          <w:bCs/>
          <w:sz w:val="28"/>
          <w:szCs w:val="28"/>
        </w:rPr>
        <w:t>С.Мисихин</w:t>
      </w:r>
      <w:r w:rsidR="00AC330C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575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59A9">
        <w:rPr>
          <w:rFonts w:ascii="Times New Roman" w:hAnsi="Times New Roman" w:cs="Times New Roman"/>
          <w:bCs/>
          <w:sz w:val="28"/>
          <w:szCs w:val="28"/>
        </w:rPr>
        <w:t>А.Назаров</w:t>
      </w:r>
      <w:r w:rsidR="00AC330C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0A59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753D3">
        <w:rPr>
          <w:rFonts w:ascii="Times New Roman" w:hAnsi="Times New Roman" w:cs="Times New Roman"/>
          <w:bCs/>
          <w:sz w:val="28"/>
          <w:szCs w:val="28"/>
        </w:rPr>
        <w:t>Ю.Симачев</w:t>
      </w:r>
      <w:r w:rsidR="00AC330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575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753D3">
        <w:rPr>
          <w:rFonts w:ascii="Times New Roman" w:hAnsi="Times New Roman" w:cs="Times New Roman"/>
          <w:bCs/>
          <w:sz w:val="28"/>
          <w:szCs w:val="28"/>
        </w:rPr>
        <w:t>С.Смирнов</w:t>
      </w:r>
      <w:r w:rsidR="00AC330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575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753D3">
        <w:rPr>
          <w:rFonts w:ascii="Times New Roman" w:hAnsi="Times New Roman" w:cs="Times New Roman"/>
          <w:bCs/>
          <w:sz w:val="28"/>
          <w:szCs w:val="28"/>
        </w:rPr>
        <w:t>А.Чепель</w:t>
      </w:r>
      <w:proofErr w:type="spellEnd"/>
      <w:r w:rsidR="00575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59A9">
        <w:rPr>
          <w:rFonts w:ascii="Times New Roman" w:hAnsi="Times New Roman" w:cs="Times New Roman"/>
          <w:bCs/>
          <w:sz w:val="28"/>
          <w:szCs w:val="28"/>
        </w:rPr>
        <w:t>А.Чернявск</w:t>
      </w:r>
      <w:r w:rsidR="00AC330C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0A59A9">
        <w:rPr>
          <w:rFonts w:ascii="Times New Roman" w:hAnsi="Times New Roman" w:cs="Times New Roman"/>
          <w:bCs/>
          <w:sz w:val="28"/>
          <w:szCs w:val="28"/>
        </w:rPr>
        <w:t>)</w:t>
      </w:r>
    </w:p>
    <w:p w:rsidR="000A59A9" w:rsidRDefault="000A59A9" w:rsidP="00933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FC" w:rsidRPr="00C33CFC" w:rsidRDefault="00C33CFC" w:rsidP="00182B52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C">
        <w:rPr>
          <w:rFonts w:ascii="Times New Roman" w:hAnsi="Times New Roman" w:cs="Times New Roman"/>
          <w:b/>
          <w:sz w:val="24"/>
          <w:szCs w:val="24"/>
        </w:rPr>
        <w:t>Макроэкономический прогноз</w:t>
      </w:r>
    </w:p>
    <w:p w:rsidR="005753D3" w:rsidRPr="007E04A0" w:rsidRDefault="005F72B8" w:rsidP="00C33CF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Российской Федерации на 2020 год и на плановый период 2021 и 2022 годов (далее – прогноз), представленный Минэкономразвития России в сентябре 2019 года, был заметно пересмотрен по сравнению с прогнозом от 22 апреля 2019 года. </w:t>
      </w:r>
      <w:r w:rsidR="005753D3" w:rsidRPr="007E04A0">
        <w:rPr>
          <w:rFonts w:ascii="Times New Roman" w:hAnsi="Times New Roman" w:cs="Times New Roman"/>
          <w:sz w:val="24"/>
          <w:szCs w:val="24"/>
        </w:rPr>
        <w:t xml:space="preserve">С известной степенью условности макропоказатели, прогнозируемые МЭР, можно разделить на две группы. К первой группе относятся показатели, для которых явно или неявно установлены целевые ориентиры: прирост ВВП, потребительская инфляция, динамика реальных располагаемых доходов населения. К этой же группе примыкают показатели, характеризующие траекторию важнейших компонент ВВП - внутреннего потребительского и инвестиционного спроса, а точнее, индикаторов их отражающих: оборота розничной торговли и инвестиций в основной капитал. Ко второй группе относятся все показатели, так или иначе связанные с мировой экономикой: нефтяные цены, валютный курс, стоимостные объемы внешней торговли. По показателям первой группы МЭР скорректировал прогнозы только на ближайшие (обычно 2019-2020) годы, по показателям второй – на весь горизонт прогнозирования до 2024 года (см. Табл. 1). </w:t>
      </w:r>
    </w:p>
    <w:p w:rsidR="005753D3" w:rsidRPr="008E7C42" w:rsidRDefault="005753D3" w:rsidP="005753D3">
      <w:pPr>
        <w:rPr>
          <w:rFonts w:ascii="Times New Roman" w:hAnsi="Times New Roman" w:cs="Times New Roman"/>
          <w:b/>
          <w:bCs/>
        </w:rPr>
      </w:pPr>
      <w:r w:rsidRPr="008E7C42">
        <w:rPr>
          <w:rFonts w:ascii="Times New Roman" w:hAnsi="Times New Roman" w:cs="Times New Roman"/>
          <w:b/>
          <w:bCs/>
        </w:rPr>
        <w:t>Таблица 1 Среднесрочные прогнозы МЭР до 2024 года (базовый сценарий)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1138"/>
        <w:gridCol w:w="840"/>
        <w:gridCol w:w="710"/>
        <w:gridCol w:w="883"/>
        <w:gridCol w:w="883"/>
        <w:gridCol w:w="888"/>
        <w:gridCol w:w="907"/>
      </w:tblGrid>
      <w:tr w:rsidR="005753D3" w:rsidRPr="00293503" w:rsidTr="005753D3">
        <w:trPr>
          <w:trHeight w:val="24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C1710D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r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2022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2024</w:t>
            </w:r>
          </w:p>
        </w:tc>
      </w:tr>
      <w:tr w:rsidR="005753D3" w:rsidRPr="00293503" w:rsidTr="005753D3">
        <w:trPr>
          <w:trHeight w:val="235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27F">
              <w:rPr>
                <w:rFonts w:ascii="Times New Roman" w:hAnsi="Times New Roman" w:cs="Times New Roman"/>
                <w:b/>
                <w:sz w:val="20"/>
                <w:szCs w:val="20"/>
              </w:rPr>
              <w:t>Цена на нефть марки «Юралс» (мировые), долларов США за баррель</w:t>
            </w:r>
          </w:p>
        </w:tc>
      </w:tr>
      <w:tr w:rsidR="005753D3" w:rsidRPr="00B301A9" w:rsidTr="005753D3">
        <w:trPr>
          <w:trHeight w:val="21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70,0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62,2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57,0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56,0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55,0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53,0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53,5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Курс доллара среднегодовой*, рублей за доллар США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62,5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65,4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67,4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62,5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65,1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64,9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65,4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66,2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67,0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68,6</w:t>
            </w:r>
          </w:p>
        </w:tc>
      </w:tr>
      <w:tr w:rsidR="005753D3" w:rsidRPr="00B301A9" w:rsidTr="005753D3">
        <w:trPr>
          <w:trHeight w:val="211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Индекс потребительских цен на конец года,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декабрю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3,8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</w:tr>
      <w:tr w:rsidR="005753D3" w:rsidRPr="00B301A9" w:rsidTr="005753D3">
        <w:trPr>
          <w:trHeight w:val="21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4,0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Валовой внутренний продукт,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3,2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3,3</w:t>
            </w:r>
          </w:p>
        </w:tc>
      </w:tr>
      <w:tr w:rsidR="005753D3" w:rsidRPr="00B301A9" w:rsidTr="005753D3">
        <w:trPr>
          <w:trHeight w:val="20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3,3</w:t>
            </w:r>
          </w:p>
        </w:tc>
      </w:tr>
      <w:tr w:rsidR="005753D3" w:rsidRPr="00B301A9" w:rsidTr="005753D3">
        <w:trPr>
          <w:trHeight w:val="202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Инвестиции в основной капитал,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5,8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5,3</w:t>
            </w:r>
          </w:p>
        </w:tc>
      </w:tr>
      <w:tr w:rsidR="005753D3" w:rsidRPr="00B301A9" w:rsidTr="005753D3">
        <w:trPr>
          <w:trHeight w:val="20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4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7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6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5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5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5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  <w:lang w:val="ru"/>
              </w:rPr>
              <w:t>,</w:t>
            </w:r>
            <w:r w:rsidRPr="00B301A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3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Промышленность,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2,9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2,4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2,9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3,1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</w:t>
            </w:r>
            <w:r w:rsidRPr="00B301A9">
              <w:rPr>
                <w:sz w:val="20"/>
                <w:szCs w:val="20"/>
                <w:lang w:val="ru"/>
              </w:rPr>
              <w:t>,</w:t>
            </w:r>
            <w:r w:rsidRPr="00B301A9">
              <w:rPr>
                <w:sz w:val="20"/>
                <w:szCs w:val="20"/>
              </w:rPr>
              <w:t>2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Реальные располагаемые доходы населения,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0,1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2,4</w:t>
            </w:r>
          </w:p>
        </w:tc>
      </w:tr>
      <w:tr w:rsidR="005753D3" w:rsidRPr="00B301A9" w:rsidTr="005753D3">
        <w:trPr>
          <w:trHeight w:val="20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1,0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1,5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2,3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2,3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rStyle w:val="22"/>
                <w:bCs/>
                <w:sz w:val="20"/>
                <w:szCs w:val="20"/>
              </w:rPr>
              <w:t>2,4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Реальная заработная плата,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8,5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6,8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1,1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Оборот розничной торговли, % год к году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2,8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1,6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2,8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Экспорт товаров,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долларов США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443,1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406,8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405,7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426,2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447,7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478,2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515,6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438,6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450,5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491,2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512,2</w:t>
            </w:r>
          </w:p>
        </w:tc>
      </w:tr>
      <w:tr w:rsidR="005753D3" w:rsidRPr="00B301A9" w:rsidTr="005753D3">
        <w:trPr>
          <w:trHeight w:val="211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Импорт товаров,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долл</w:t>
            </w:r>
            <w:proofErr w:type="spell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, США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248,7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247,7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259,2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276,0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296,0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318,1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343,9</w:t>
            </w:r>
          </w:p>
        </w:tc>
      </w:tr>
      <w:tr w:rsidR="005753D3" w:rsidRPr="00B301A9" w:rsidTr="005753D3">
        <w:trPr>
          <w:trHeight w:val="235"/>
        </w:trPr>
        <w:tc>
          <w:tcPr>
            <w:tcW w:w="3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</w:t>
            </w:r>
            <w:r w:rsidRPr="00B301A9">
              <w:rPr>
                <w:sz w:val="20"/>
                <w:szCs w:val="20"/>
              </w:rPr>
              <w:t>22</w:t>
            </w:r>
            <w:r w:rsidRPr="00B301A9">
              <w:rPr>
                <w:sz w:val="20"/>
                <w:szCs w:val="20"/>
                <w:lang w:val="en-US"/>
              </w:rPr>
              <w:t>-0</w:t>
            </w:r>
            <w:r w:rsidRPr="00B301A9">
              <w:rPr>
                <w:sz w:val="20"/>
                <w:szCs w:val="20"/>
              </w:rPr>
              <w:t>4-2019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292,8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360,6</w:t>
            </w:r>
          </w:p>
        </w:tc>
      </w:tr>
    </w:tbl>
    <w:p w:rsidR="005753D3" w:rsidRPr="00C12143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 w:rsidRPr="00B301A9">
        <w:rPr>
          <w:sz w:val="20"/>
          <w:szCs w:val="20"/>
        </w:rPr>
        <w:t xml:space="preserve">Источник: </w:t>
      </w:r>
      <w:r w:rsidR="005F72B8" w:rsidRPr="005F72B8">
        <w:rPr>
          <w:sz w:val="20"/>
          <w:szCs w:val="20"/>
        </w:rPr>
        <w:t xml:space="preserve">Минэкономразвития </w:t>
      </w:r>
      <w:r w:rsidRPr="00B301A9">
        <w:rPr>
          <w:sz w:val="20"/>
          <w:szCs w:val="20"/>
        </w:rPr>
        <w:t>Р</w:t>
      </w:r>
      <w:r w:rsidR="00AA3129">
        <w:rPr>
          <w:sz w:val="20"/>
          <w:szCs w:val="20"/>
        </w:rPr>
        <w:t>оссии</w:t>
      </w:r>
      <w:r w:rsidRPr="00B301A9">
        <w:rPr>
          <w:sz w:val="20"/>
          <w:szCs w:val="20"/>
        </w:rPr>
        <w:t>.</w:t>
      </w:r>
    </w:p>
    <w:p w:rsidR="005753D3" w:rsidRDefault="005753D3" w:rsidP="005753D3">
      <w:pPr>
        <w:rPr>
          <w:rFonts w:ascii="Times New Roman" w:hAnsi="Times New Roman" w:cs="Times New Roman"/>
        </w:rPr>
      </w:pPr>
    </w:p>
    <w:p w:rsidR="005753D3" w:rsidRPr="00182B52" w:rsidRDefault="005753D3" w:rsidP="0004234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b/>
          <w:sz w:val="24"/>
          <w:szCs w:val="24"/>
        </w:rPr>
        <w:t xml:space="preserve">Основной смысл корректировок, внесенных в прогнозы показателей первой группы, в том, что, хотя текущие темпы отклоняются от прогнозных значений в 2019-2020 годах, в последующие годы российская экономика выйдет на запланированные параметры, и поставленные цели (в частности, по ускорению роста ВВП) будут достигнуты. Между тем, по многим показателям прогнозы </w:t>
      </w:r>
      <w:r w:rsidR="005F72B8" w:rsidRPr="005F72B8">
        <w:rPr>
          <w:rFonts w:ascii="Times New Roman" w:hAnsi="Times New Roman" w:cs="Times New Roman"/>
          <w:b/>
          <w:sz w:val="24"/>
          <w:szCs w:val="24"/>
        </w:rPr>
        <w:t xml:space="preserve">Минэкономразвития </w:t>
      </w:r>
      <w:proofErr w:type="spellStart"/>
      <w:r w:rsidR="00AA3129">
        <w:rPr>
          <w:rFonts w:ascii="Times New Roman" w:hAnsi="Times New Roman" w:cs="Times New Roman"/>
          <w:b/>
          <w:sz w:val="24"/>
          <w:szCs w:val="24"/>
        </w:rPr>
        <w:t>России</w:t>
      </w:r>
      <w:r w:rsidRPr="005F72B8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5F72B8">
        <w:rPr>
          <w:rFonts w:ascii="Times New Roman" w:hAnsi="Times New Roman" w:cs="Times New Roman"/>
          <w:b/>
          <w:sz w:val="24"/>
          <w:szCs w:val="24"/>
        </w:rPr>
        <w:t xml:space="preserve"> на 2019 год, так и на более отдаленную перспективу представляются </w:t>
      </w:r>
      <w:r w:rsidR="005F72B8" w:rsidRPr="005F72B8">
        <w:rPr>
          <w:rFonts w:ascii="Times New Roman" w:hAnsi="Times New Roman" w:cs="Times New Roman"/>
          <w:b/>
          <w:sz w:val="24"/>
          <w:szCs w:val="24"/>
        </w:rPr>
        <w:t>дискуссионными</w:t>
      </w:r>
      <w:r w:rsidRPr="005F72B8">
        <w:rPr>
          <w:rFonts w:ascii="Times New Roman" w:hAnsi="Times New Roman" w:cs="Times New Roman"/>
          <w:b/>
          <w:sz w:val="24"/>
          <w:szCs w:val="24"/>
        </w:rPr>
        <w:t xml:space="preserve"> на фоне текущей экономической динамики.</w:t>
      </w:r>
      <w:r w:rsidRPr="00182B52">
        <w:rPr>
          <w:rFonts w:ascii="Times New Roman" w:hAnsi="Times New Roman" w:cs="Times New Roman"/>
          <w:sz w:val="24"/>
          <w:szCs w:val="24"/>
        </w:rPr>
        <w:t xml:space="preserve"> Что касается 2019 года (см</w:t>
      </w:r>
      <w:proofErr w:type="gramStart"/>
      <w:r w:rsidRPr="00182B5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82B52">
        <w:rPr>
          <w:rFonts w:ascii="Times New Roman" w:hAnsi="Times New Roman" w:cs="Times New Roman"/>
          <w:sz w:val="24"/>
          <w:szCs w:val="24"/>
        </w:rPr>
        <w:t xml:space="preserve">абл. 2), то чрезмерно оптимистическими выглядят оценки темпов прироста ВВП, инвестиций в основной капитал и реальных располагаемых доходов (базовый прогноз </w:t>
      </w:r>
      <w:r w:rsidR="005F72B8" w:rsidRPr="005F72B8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proofErr w:type="spellStart"/>
      <w:r w:rsidR="00AA3129">
        <w:rPr>
          <w:rFonts w:ascii="Times New Roman" w:hAnsi="Times New Roman" w:cs="Times New Roman"/>
          <w:sz w:val="24"/>
          <w:szCs w:val="24"/>
        </w:rPr>
        <w:t>России</w:t>
      </w:r>
      <w:r w:rsidRPr="00182B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82B52">
        <w:rPr>
          <w:rFonts w:ascii="Times New Roman" w:hAnsi="Times New Roman" w:cs="Times New Roman"/>
          <w:sz w:val="24"/>
          <w:szCs w:val="24"/>
        </w:rPr>
        <w:t xml:space="preserve"> этим индикаторам предполагает резкое ускорение в оставшуюся часть года). Напротив, чрезмерно пессимистическими выглядят оценки нефтяных цен, а также темпов прироста промышленного производства, оборота розничной торговли, реальной заработной платы. По всем этим показателям предполагается изменение (ускорение или замедление) среднемесячных темпов в оставшуюся часть года в полтора – два раза в сравнении со среднемесячными темпами в прошедшую часть года. Текущая динамика </w:t>
      </w:r>
      <w:proofErr w:type="spellStart"/>
      <w:r w:rsidRPr="00182B52">
        <w:rPr>
          <w:rFonts w:ascii="Times New Roman" w:hAnsi="Times New Roman" w:cs="Times New Roman"/>
          <w:sz w:val="24"/>
          <w:szCs w:val="24"/>
        </w:rPr>
        <w:t>макроиндикаторов</w:t>
      </w:r>
      <w:proofErr w:type="spellEnd"/>
      <w:r w:rsidRPr="00182B52">
        <w:rPr>
          <w:rFonts w:ascii="Times New Roman" w:hAnsi="Times New Roman" w:cs="Times New Roman"/>
          <w:sz w:val="24"/>
          <w:szCs w:val="24"/>
        </w:rPr>
        <w:t xml:space="preserve">, наряду с отсутствием серьезных шоков, способных вызвать существенное изменение их траекторий, на наш </w:t>
      </w:r>
      <w:r w:rsidRPr="00182B52">
        <w:rPr>
          <w:rFonts w:ascii="Times New Roman" w:hAnsi="Times New Roman" w:cs="Times New Roman"/>
          <w:sz w:val="24"/>
          <w:szCs w:val="24"/>
        </w:rPr>
        <w:lastRenderedPageBreak/>
        <w:t xml:space="preserve">взгляд, </w:t>
      </w:r>
      <w:r w:rsidR="005F72B8" w:rsidRPr="005F72B8">
        <w:rPr>
          <w:rFonts w:ascii="Times New Roman" w:hAnsi="Times New Roman" w:cs="Times New Roman"/>
          <w:sz w:val="24"/>
          <w:szCs w:val="24"/>
        </w:rPr>
        <w:t>предполагает обоснование закладываемых в прогноз скачков</w:t>
      </w:r>
      <w:r w:rsidRPr="00182B52">
        <w:rPr>
          <w:rFonts w:ascii="Times New Roman" w:hAnsi="Times New Roman" w:cs="Times New Roman"/>
          <w:sz w:val="24"/>
          <w:szCs w:val="24"/>
        </w:rPr>
        <w:t xml:space="preserve">. К этому можно добавить, что прогноз </w:t>
      </w:r>
      <w:r w:rsidR="005F72B8" w:rsidRPr="005F72B8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Pr="00182B52">
        <w:rPr>
          <w:rFonts w:ascii="Times New Roman" w:hAnsi="Times New Roman" w:cs="Times New Roman"/>
          <w:sz w:val="24"/>
          <w:szCs w:val="24"/>
        </w:rPr>
        <w:t>предполагает одновременное ускорение роста ВВП и замедление роста промышленности, что является достаточно редким сочетанием. То же можно сказать об одновременном росте реальных располагаемых доходов и снижении реальной заработной платы в оставшуюся часть года. Тем более</w:t>
      </w:r>
      <w:proofErr w:type="gramStart"/>
      <w:r w:rsidRPr="00182B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2B52">
        <w:rPr>
          <w:rFonts w:ascii="Times New Roman" w:hAnsi="Times New Roman" w:cs="Times New Roman"/>
          <w:sz w:val="24"/>
          <w:szCs w:val="24"/>
        </w:rPr>
        <w:t xml:space="preserve"> что в прошедшую часть года наблюдалась противоположная картина (снижение реальных доходов при росте реальных зарплат). </w:t>
      </w:r>
    </w:p>
    <w:p w:rsidR="005753D3" w:rsidRPr="008E7C42" w:rsidRDefault="005753D3" w:rsidP="005753D3">
      <w:pPr>
        <w:rPr>
          <w:rFonts w:ascii="Times New Roman" w:hAnsi="Times New Roman" w:cs="Times New Roman"/>
          <w:b/>
          <w:bCs/>
        </w:rPr>
      </w:pPr>
      <w:r w:rsidRPr="008E7C42">
        <w:rPr>
          <w:rFonts w:ascii="Times New Roman" w:hAnsi="Times New Roman" w:cs="Times New Roman"/>
          <w:b/>
          <w:bCs/>
        </w:rPr>
        <w:t>Таблица 2</w:t>
      </w:r>
      <w:r w:rsidR="00D71342">
        <w:rPr>
          <w:rFonts w:ascii="Times New Roman" w:hAnsi="Times New Roman" w:cs="Times New Roman"/>
          <w:b/>
          <w:bCs/>
        </w:rPr>
        <w:t>.</w:t>
      </w:r>
      <w:r w:rsidRPr="008E7C42">
        <w:rPr>
          <w:rFonts w:ascii="Times New Roman" w:hAnsi="Times New Roman" w:cs="Times New Roman"/>
          <w:b/>
          <w:bCs/>
        </w:rPr>
        <w:t xml:space="preserve"> Промежуточные итоги 2019 года и прогнозы на оставшуюся часть 2019 года (базовый сценарий, 30-09-2019)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560"/>
      </w:tblGrid>
      <w:tr w:rsidR="005753D3" w:rsidRPr="00293503" w:rsidTr="005753D3">
        <w:trPr>
          <w:trHeight w:val="5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21107" w:rsidRDefault="005753D3" w:rsidP="005753D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93503">
              <w:rPr>
                <w:rStyle w:val="22"/>
                <w:rFonts w:eastAsia="Tahoma"/>
                <w:sz w:val="20"/>
                <w:szCs w:val="20"/>
              </w:rPr>
              <w:t>2019</w:t>
            </w:r>
            <w:r>
              <w:rPr>
                <w:rStyle w:val="22"/>
                <w:rFonts w:eastAsia="Tahoma"/>
                <w:sz w:val="20"/>
                <w:szCs w:val="20"/>
              </w:rPr>
              <w:t xml:space="preserve"> в целом, прогноз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Default="005753D3" w:rsidP="005753D3">
            <w:pPr>
              <w:ind w:left="160"/>
              <w:rPr>
                <w:rStyle w:val="22"/>
                <w:rFonts w:eastAsia="Tahoma"/>
                <w:sz w:val="20"/>
                <w:szCs w:val="20"/>
              </w:rPr>
            </w:pPr>
            <w:r>
              <w:rPr>
                <w:rStyle w:val="22"/>
                <w:rFonts w:eastAsia="Tahoma"/>
                <w:sz w:val="20"/>
                <w:szCs w:val="20"/>
              </w:rPr>
              <w:t xml:space="preserve">С начала </w:t>
            </w:r>
            <w:r w:rsidRPr="00293503">
              <w:rPr>
                <w:rStyle w:val="22"/>
                <w:rFonts w:eastAsia="Tahoma"/>
                <w:sz w:val="20"/>
                <w:szCs w:val="20"/>
              </w:rPr>
              <w:t>20</w:t>
            </w:r>
            <w:r>
              <w:rPr>
                <w:rStyle w:val="22"/>
                <w:rFonts w:eastAsia="Tahoma"/>
                <w:sz w:val="20"/>
                <w:szCs w:val="20"/>
              </w:rPr>
              <w:t>19, факт</w:t>
            </w:r>
          </w:p>
          <w:p w:rsidR="005753D3" w:rsidRPr="00221107" w:rsidRDefault="005753D3" w:rsidP="005753D3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Default="005753D3" w:rsidP="005753D3">
            <w:pPr>
              <w:ind w:left="340"/>
              <w:rPr>
                <w:rStyle w:val="22"/>
                <w:rFonts w:eastAsia="Tahoma"/>
                <w:sz w:val="20"/>
                <w:szCs w:val="20"/>
              </w:rPr>
            </w:pPr>
            <w:r>
              <w:rPr>
                <w:rStyle w:val="22"/>
                <w:rFonts w:eastAsia="Tahoma"/>
                <w:sz w:val="20"/>
                <w:szCs w:val="20"/>
              </w:rPr>
              <w:t>Оставшаяся часть 2019,</w:t>
            </w:r>
          </w:p>
          <w:p w:rsidR="005753D3" w:rsidRPr="00293503" w:rsidRDefault="005753D3" w:rsidP="005753D3">
            <w:p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rFonts w:eastAsia="Tahoma"/>
                <w:sz w:val="20"/>
                <w:szCs w:val="20"/>
              </w:rPr>
              <w:t>оценка</w:t>
            </w:r>
          </w:p>
        </w:tc>
      </w:tr>
      <w:tr w:rsidR="005753D3" w:rsidRPr="00293503" w:rsidTr="005753D3">
        <w:trPr>
          <w:trHeight w:val="21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Цена на нефть марки «Юралс», долл./</w:t>
            </w:r>
            <w:proofErr w:type="spellStart"/>
            <w:r w:rsidRPr="00B301A9">
              <w:rPr>
                <w:sz w:val="20"/>
                <w:szCs w:val="20"/>
              </w:rPr>
              <w:t>барр</w:t>
            </w:r>
            <w:proofErr w:type="spellEnd"/>
            <w:r w:rsidRPr="00B301A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62,2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64,6</w:t>
            </w:r>
            <w:r w:rsidRPr="00B301A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55,0</w:t>
            </w:r>
          </w:p>
        </w:tc>
      </w:tr>
      <w:tr w:rsidR="005753D3" w:rsidRPr="00293503" w:rsidTr="005753D3">
        <w:trPr>
          <w:trHeight w:val="221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Курс доллара среднегодовой, руб./долл.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65,4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64,9</w:t>
            </w:r>
            <w:r w:rsidRPr="00B301A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66,9</w:t>
            </w:r>
          </w:p>
        </w:tc>
      </w:tr>
      <w:tr w:rsidR="005753D3" w:rsidRPr="00293503" w:rsidTr="005753D3">
        <w:trPr>
          <w:trHeight w:val="221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 xml:space="preserve">ИПЦ на конец года, </w:t>
            </w:r>
            <w:proofErr w:type="gramStart"/>
            <w:r w:rsidRPr="00B301A9">
              <w:rPr>
                <w:sz w:val="20"/>
                <w:szCs w:val="20"/>
              </w:rPr>
              <w:t>в</w:t>
            </w:r>
            <w:proofErr w:type="gramEnd"/>
            <w:r w:rsidRPr="00B301A9">
              <w:rPr>
                <w:sz w:val="20"/>
                <w:szCs w:val="20"/>
              </w:rPr>
              <w:t xml:space="preserve"> % </w:t>
            </w:r>
            <w:proofErr w:type="gramStart"/>
            <w:r w:rsidRPr="00B301A9">
              <w:rPr>
                <w:sz w:val="20"/>
                <w:szCs w:val="20"/>
              </w:rPr>
              <w:t>к</w:t>
            </w:r>
            <w:proofErr w:type="gramEnd"/>
            <w:r w:rsidRPr="00B301A9">
              <w:rPr>
                <w:sz w:val="20"/>
                <w:szCs w:val="20"/>
              </w:rPr>
              <w:t xml:space="preserve"> декабрю (всего/в среднем в месяц)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3,8</w:t>
            </w:r>
            <w:r w:rsidRPr="00B301A9">
              <w:rPr>
                <w:sz w:val="20"/>
                <w:szCs w:val="20"/>
                <w:lang w:val="en-US"/>
              </w:rPr>
              <w:t>/0</w:t>
            </w:r>
            <w:r w:rsidRPr="00B301A9">
              <w:rPr>
                <w:sz w:val="20"/>
                <w:szCs w:val="20"/>
              </w:rPr>
              <w:t>,</w:t>
            </w:r>
            <w:r w:rsidRPr="00B301A9">
              <w:rPr>
                <w:sz w:val="20"/>
                <w:szCs w:val="20"/>
                <w:lang w:val="en-US"/>
              </w:rPr>
              <w:t>3</w:t>
            </w:r>
            <w:r w:rsidRPr="00B301A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2,4/0,29</w:t>
            </w:r>
            <w:r w:rsidRPr="00B301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1,4/0,34</w:t>
            </w:r>
          </w:p>
        </w:tc>
      </w:tr>
      <w:tr w:rsidR="005753D3" w:rsidRPr="00293503" w:rsidTr="005753D3">
        <w:trPr>
          <w:trHeight w:val="22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Валовой внутренний продукт, % год к году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1,1</w:t>
            </w:r>
            <w:r w:rsidRPr="00B301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1,7</w:t>
            </w:r>
          </w:p>
        </w:tc>
      </w:tr>
      <w:tr w:rsidR="005753D3" w:rsidRPr="00293503" w:rsidTr="005753D3">
        <w:trPr>
          <w:trHeight w:val="22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Инвестиции в основной капитал, % год к году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0,6</w:t>
            </w:r>
            <w:r w:rsidRPr="00B301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3,4</w:t>
            </w:r>
          </w:p>
        </w:tc>
      </w:tr>
      <w:tr w:rsidR="005753D3" w:rsidRPr="00E02807" w:rsidTr="005753D3">
        <w:trPr>
          <w:trHeight w:val="22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proofErr w:type="spellStart"/>
            <w:r w:rsidRPr="00B301A9">
              <w:rPr>
                <w:sz w:val="20"/>
                <w:szCs w:val="20"/>
                <w:lang w:val="en-US"/>
              </w:rPr>
              <w:t>Промышленность</w:t>
            </w:r>
            <w:proofErr w:type="spellEnd"/>
            <w:r w:rsidRPr="00B301A9">
              <w:rPr>
                <w:sz w:val="20"/>
                <w:szCs w:val="20"/>
                <w:lang w:val="en-US"/>
              </w:rPr>
              <w:t xml:space="preserve">, % </w:t>
            </w:r>
            <w:proofErr w:type="spellStart"/>
            <w:r w:rsidRPr="00B301A9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B301A9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B301A9"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  <w:r w:rsidRPr="00B301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1,7</w:t>
            </w:r>
          </w:p>
        </w:tc>
      </w:tr>
      <w:tr w:rsidR="005753D3" w:rsidRPr="00293503" w:rsidTr="005753D3">
        <w:trPr>
          <w:trHeight w:val="22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Реальные располагаемые доходы, % год к году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-1,3</w:t>
            </w:r>
            <w:r w:rsidRPr="00B301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</w:tr>
      <w:tr w:rsidR="005753D3" w:rsidRPr="00293503" w:rsidTr="005753D3">
        <w:trPr>
          <w:trHeight w:val="211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Реальная заработная плата, % год к году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  <w:r w:rsidRPr="00B301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-0,1</w:t>
            </w:r>
          </w:p>
        </w:tc>
      </w:tr>
      <w:tr w:rsidR="005753D3" w:rsidRPr="00293503" w:rsidTr="005753D3">
        <w:trPr>
          <w:trHeight w:val="22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Оборот розничной торговли, % год к году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  <w:r w:rsidRPr="00B301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0,9</w:t>
            </w:r>
          </w:p>
        </w:tc>
      </w:tr>
      <w:tr w:rsidR="005753D3" w:rsidRPr="00293503" w:rsidTr="005753D3">
        <w:trPr>
          <w:trHeight w:val="211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Экспорт товаров, млрд. долл. США (всего/в среднем в месяц)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406,8/33,9</w:t>
            </w:r>
          </w:p>
        </w:tc>
        <w:tc>
          <w:tcPr>
            <w:tcW w:w="1559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237,6/33,9</w:t>
            </w:r>
            <w:r w:rsidRPr="00B301A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169,2/33,8</w:t>
            </w:r>
          </w:p>
        </w:tc>
      </w:tr>
      <w:tr w:rsidR="005753D3" w:rsidRPr="00293503" w:rsidTr="005753D3">
        <w:trPr>
          <w:trHeight w:val="23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Импорт товаров, млрд. долл., США (всего/в среднем в месяц)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247,7/20,6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140,0/20,0</w:t>
            </w:r>
            <w:r w:rsidRPr="00B301A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5753D3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107,7/21,5</w:t>
            </w:r>
          </w:p>
        </w:tc>
      </w:tr>
    </w:tbl>
    <w:p w:rsidR="005753D3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 w:rsidRPr="00C12143">
        <w:rPr>
          <w:sz w:val="20"/>
          <w:szCs w:val="20"/>
        </w:rPr>
        <w:t>Примечани</w:t>
      </w:r>
      <w:r>
        <w:rPr>
          <w:sz w:val="20"/>
          <w:szCs w:val="20"/>
        </w:rPr>
        <w:t>я</w:t>
      </w:r>
      <w:r w:rsidRPr="00C1214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1. За 9 мес. 2. За 8 мес. 3. За 6 мес. 4. За 7 мес. </w:t>
      </w:r>
    </w:p>
    <w:p w:rsidR="005753D3" w:rsidRPr="00C12143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Источник: </w:t>
      </w:r>
      <w:r w:rsidR="005F72B8" w:rsidRPr="005F72B8">
        <w:rPr>
          <w:sz w:val="20"/>
          <w:szCs w:val="20"/>
        </w:rPr>
        <w:t xml:space="preserve">Минэкономразвития </w:t>
      </w:r>
      <w:r>
        <w:rPr>
          <w:sz w:val="20"/>
          <w:szCs w:val="20"/>
        </w:rPr>
        <w:t>Р</w:t>
      </w:r>
      <w:r w:rsidR="00AA3129">
        <w:rPr>
          <w:sz w:val="20"/>
          <w:szCs w:val="20"/>
        </w:rPr>
        <w:t>оссии</w:t>
      </w:r>
      <w:r>
        <w:rPr>
          <w:sz w:val="20"/>
          <w:szCs w:val="20"/>
        </w:rPr>
        <w:t>, Росстат</w:t>
      </w:r>
      <w:r w:rsidRPr="00C1214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Банк России. Расчеты: Институт «Центр развития» НИУ ВШЭ  </w:t>
      </w:r>
    </w:p>
    <w:p w:rsidR="005753D3" w:rsidRDefault="005753D3" w:rsidP="005753D3">
      <w:pPr>
        <w:rPr>
          <w:rFonts w:ascii="Times New Roman" w:hAnsi="Times New Roman" w:cs="Times New Roman"/>
        </w:rPr>
      </w:pPr>
    </w:p>
    <w:p w:rsidR="005753D3" w:rsidRPr="00D71342" w:rsidRDefault="005F72B8" w:rsidP="00D71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B8">
        <w:rPr>
          <w:rFonts w:ascii="Times New Roman" w:hAnsi="Times New Roman" w:cs="Times New Roman"/>
          <w:sz w:val="24"/>
          <w:szCs w:val="24"/>
        </w:rPr>
        <w:t xml:space="preserve">Вызывает вопросы оценка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53D3" w:rsidRPr="00D71342">
        <w:rPr>
          <w:rFonts w:ascii="Times New Roman" w:hAnsi="Times New Roman" w:cs="Times New Roman"/>
          <w:sz w:val="24"/>
          <w:szCs w:val="24"/>
        </w:rPr>
        <w:t>адение нефтяных цен в среднем почти на 10 долл./</w:t>
      </w:r>
      <w:proofErr w:type="spellStart"/>
      <w:r w:rsidR="005753D3" w:rsidRPr="00D71342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="005753D3" w:rsidRPr="00D71342">
        <w:rPr>
          <w:rFonts w:ascii="Times New Roman" w:hAnsi="Times New Roman" w:cs="Times New Roman"/>
          <w:sz w:val="24"/>
          <w:szCs w:val="24"/>
        </w:rPr>
        <w:t xml:space="preserve">. в последние три месяца 2019 года, заложенное в прогноз </w:t>
      </w:r>
      <w:r w:rsidRPr="005F72B8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="00AA3129">
        <w:rPr>
          <w:rFonts w:ascii="Times New Roman" w:hAnsi="Times New Roman" w:cs="Times New Roman"/>
          <w:sz w:val="24"/>
          <w:szCs w:val="24"/>
        </w:rPr>
        <w:t>России</w:t>
      </w:r>
      <w:r w:rsidR="005753D3" w:rsidRPr="00D71342">
        <w:rPr>
          <w:rFonts w:ascii="Times New Roman" w:hAnsi="Times New Roman" w:cs="Times New Roman"/>
          <w:sz w:val="24"/>
          <w:szCs w:val="24"/>
        </w:rPr>
        <w:t xml:space="preserve">. Действительно, если ориентироваться на динамику фьючерсов по нефти марки </w:t>
      </w:r>
      <w:proofErr w:type="spellStart"/>
      <w:r w:rsidR="005753D3" w:rsidRPr="00D71342">
        <w:rPr>
          <w:rFonts w:ascii="Times New Roman" w:hAnsi="Times New Roman" w:cs="Times New Roman"/>
          <w:sz w:val="24"/>
          <w:szCs w:val="24"/>
        </w:rPr>
        <w:t>Brent</w:t>
      </w:r>
      <w:proofErr w:type="spellEnd"/>
      <w:r w:rsidR="005753D3" w:rsidRPr="00D71342">
        <w:rPr>
          <w:rFonts w:ascii="Times New Roman" w:hAnsi="Times New Roman" w:cs="Times New Roman"/>
          <w:sz w:val="24"/>
          <w:szCs w:val="24"/>
        </w:rPr>
        <w:t xml:space="preserve"> в последние дни сентября (см. Рисунок 1), к концу 2019 года цена российской нефти может опуститься примерно на 7%, то есть до 55 долл./</w:t>
      </w:r>
      <w:proofErr w:type="spellStart"/>
      <w:r w:rsidR="005753D3" w:rsidRPr="00D71342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="005753D3" w:rsidRPr="00D71342">
        <w:rPr>
          <w:rFonts w:ascii="Times New Roman" w:hAnsi="Times New Roman" w:cs="Times New Roman"/>
          <w:sz w:val="24"/>
          <w:szCs w:val="24"/>
        </w:rPr>
        <w:t xml:space="preserve">. Однако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3D3" w:rsidRPr="00D71342">
        <w:rPr>
          <w:rFonts w:ascii="Times New Roman" w:hAnsi="Times New Roman" w:cs="Times New Roman"/>
          <w:sz w:val="24"/>
          <w:szCs w:val="24"/>
        </w:rPr>
        <w:t xml:space="preserve"> в этом случае (при предположении о постепенном – по линейной траектории - удешевлении нефти) средняя цена за последний квартал составит 57 долл./</w:t>
      </w:r>
      <w:proofErr w:type="spellStart"/>
      <w:r w:rsidR="005753D3" w:rsidRPr="00D71342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="005753D3" w:rsidRPr="00D71342">
        <w:rPr>
          <w:rFonts w:ascii="Times New Roman" w:hAnsi="Times New Roman" w:cs="Times New Roman"/>
          <w:sz w:val="24"/>
          <w:szCs w:val="24"/>
        </w:rPr>
        <w:t>.</w:t>
      </w:r>
    </w:p>
    <w:p w:rsidR="008E7C42" w:rsidRPr="008E7C42" w:rsidRDefault="008E7C42" w:rsidP="008E7C42">
      <w:pPr>
        <w:rPr>
          <w:rFonts w:ascii="Times New Roman" w:hAnsi="Times New Roman" w:cs="Times New Roman"/>
          <w:b/>
          <w:bCs/>
        </w:rPr>
      </w:pPr>
      <w:r w:rsidRPr="008E7C42">
        <w:rPr>
          <w:rFonts w:ascii="Times New Roman" w:hAnsi="Times New Roman" w:cs="Times New Roman"/>
          <w:b/>
          <w:bCs/>
        </w:rPr>
        <w:t>Рис 1</w:t>
      </w:r>
      <w:r>
        <w:rPr>
          <w:rFonts w:ascii="Times New Roman" w:hAnsi="Times New Roman" w:cs="Times New Roman"/>
          <w:b/>
          <w:bCs/>
        </w:rPr>
        <w:t xml:space="preserve">. </w:t>
      </w:r>
      <w:r w:rsidRPr="008E7C42">
        <w:rPr>
          <w:rFonts w:ascii="Times New Roman" w:hAnsi="Times New Roman" w:cs="Times New Roman"/>
          <w:b/>
          <w:bCs/>
        </w:rPr>
        <w:t xml:space="preserve">Разность между фьючерсом на 30, 60 и 90 дней и ценой </w:t>
      </w:r>
      <w:r w:rsidRPr="008E7C42">
        <w:rPr>
          <w:rFonts w:ascii="Times New Roman" w:hAnsi="Times New Roman" w:cs="Times New Roman"/>
          <w:b/>
          <w:bCs/>
          <w:lang w:val="en-US"/>
        </w:rPr>
        <w:t>spot</w:t>
      </w:r>
      <w:r w:rsidRPr="008E7C42">
        <w:rPr>
          <w:rFonts w:ascii="Times New Roman" w:hAnsi="Times New Roman" w:cs="Times New Roman"/>
          <w:b/>
          <w:bCs/>
        </w:rPr>
        <w:t xml:space="preserve"> нефти марки </w:t>
      </w:r>
      <w:r w:rsidRPr="008E7C42">
        <w:rPr>
          <w:rFonts w:ascii="Times New Roman" w:hAnsi="Times New Roman" w:cs="Times New Roman"/>
          <w:b/>
          <w:bCs/>
          <w:lang w:val="en-US"/>
        </w:rPr>
        <w:t>Brent</w:t>
      </w:r>
    </w:p>
    <w:p w:rsidR="005753D3" w:rsidRDefault="005753D3" w:rsidP="005753D3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3D3" w:rsidRPr="00C12143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Источник</w:t>
      </w:r>
      <w:r w:rsidRPr="00C87627">
        <w:rPr>
          <w:sz w:val="20"/>
          <w:szCs w:val="20"/>
          <w:lang w:val="en-US"/>
        </w:rPr>
        <w:t xml:space="preserve">: </w:t>
      </w:r>
      <w:proofErr w:type="spellStart"/>
      <w:proofErr w:type="gramStart"/>
      <w:r w:rsidRPr="00C87627">
        <w:rPr>
          <w:sz w:val="20"/>
          <w:szCs w:val="20"/>
          <w:lang w:val="en-US"/>
        </w:rPr>
        <w:t>Refinitiv</w:t>
      </w:r>
      <w:proofErr w:type="spellEnd"/>
      <w:r w:rsidRPr="00C87627">
        <w:rPr>
          <w:sz w:val="20"/>
          <w:szCs w:val="20"/>
          <w:lang w:val="en-US"/>
        </w:rPr>
        <w:t>, U.S. Energy Information Administration.</w:t>
      </w:r>
      <w:proofErr w:type="gramEnd"/>
      <w:r w:rsidRPr="00C8762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Расчеты: Институт «Центр развития» НИУ ВШЭ  </w:t>
      </w:r>
    </w:p>
    <w:p w:rsidR="005753D3" w:rsidRDefault="005753D3" w:rsidP="005753D3">
      <w:pPr>
        <w:rPr>
          <w:rFonts w:ascii="Times New Roman" w:hAnsi="Times New Roman" w:cs="Times New Roman"/>
        </w:rPr>
      </w:pPr>
    </w:p>
    <w:p w:rsidR="00AA3129" w:rsidRPr="00AA3129" w:rsidRDefault="00AA3129" w:rsidP="00D713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29">
        <w:rPr>
          <w:rFonts w:ascii="Times New Roman" w:hAnsi="Times New Roman" w:cs="Times New Roman"/>
          <w:b/>
          <w:sz w:val="24"/>
          <w:szCs w:val="24"/>
        </w:rPr>
        <w:t>Б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>азов</w:t>
      </w:r>
      <w:r w:rsidRPr="00AA3129">
        <w:rPr>
          <w:rFonts w:ascii="Times New Roman" w:hAnsi="Times New Roman" w:cs="Times New Roman"/>
          <w:b/>
          <w:sz w:val="24"/>
          <w:szCs w:val="24"/>
        </w:rPr>
        <w:t>ый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 сценари</w:t>
      </w:r>
      <w:r w:rsidRPr="00AA3129">
        <w:rPr>
          <w:rFonts w:ascii="Times New Roman" w:hAnsi="Times New Roman" w:cs="Times New Roman"/>
          <w:b/>
          <w:sz w:val="24"/>
          <w:szCs w:val="24"/>
        </w:rPr>
        <w:t>й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129">
        <w:rPr>
          <w:rFonts w:ascii="Times New Roman" w:hAnsi="Times New Roman" w:cs="Times New Roman"/>
          <w:b/>
          <w:sz w:val="24"/>
          <w:szCs w:val="24"/>
        </w:rPr>
        <w:t xml:space="preserve">Минэкономразвития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России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 2021-2024 годы по </w:t>
      </w:r>
      <w:r>
        <w:rPr>
          <w:rFonts w:ascii="Times New Roman" w:hAnsi="Times New Roman" w:cs="Times New Roman"/>
          <w:b/>
          <w:sz w:val="24"/>
          <w:szCs w:val="24"/>
        </w:rPr>
        <w:t>ряду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 расходится с </w:t>
      </w:r>
      <w:proofErr w:type="gramStart"/>
      <w:r w:rsidR="005753D3" w:rsidRPr="00AA3129">
        <w:rPr>
          <w:rFonts w:ascii="Times New Roman" w:hAnsi="Times New Roman" w:cs="Times New Roman"/>
          <w:b/>
          <w:sz w:val="24"/>
          <w:szCs w:val="24"/>
        </w:rPr>
        <w:t>консенсус-прогнозом</w:t>
      </w:r>
      <w:proofErr w:type="gramEnd"/>
      <w:r w:rsidR="005753D3" w:rsidRPr="00AA3129">
        <w:rPr>
          <w:rFonts w:ascii="Times New Roman" w:hAnsi="Times New Roman" w:cs="Times New Roman"/>
          <w:b/>
          <w:sz w:val="24"/>
          <w:szCs w:val="24"/>
        </w:rPr>
        <w:t xml:space="preserve">, который рассчитан на основе опроса 25 профессиональных прогнозистов из России и других стран, проведенного Институтом «Центр развития» НИУ ВШЭ в конце июля текущего года (см. Табл. 3). </w:t>
      </w:r>
    </w:p>
    <w:p w:rsidR="00AA3129" w:rsidRDefault="005753D3" w:rsidP="00D71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42">
        <w:rPr>
          <w:rFonts w:ascii="Times New Roman" w:hAnsi="Times New Roman" w:cs="Times New Roman"/>
          <w:sz w:val="24"/>
          <w:szCs w:val="24"/>
        </w:rPr>
        <w:t xml:space="preserve">Так, уже с 2021 г. МЭР ожидает ускорения экономического роста в России до 3,1–3,3% в год, </w:t>
      </w:r>
      <w:r w:rsidR="00AA3129" w:rsidRPr="00AA3129">
        <w:rPr>
          <w:rFonts w:ascii="Times New Roman" w:hAnsi="Times New Roman" w:cs="Times New Roman"/>
          <w:sz w:val="24"/>
          <w:szCs w:val="24"/>
        </w:rPr>
        <w:t xml:space="preserve">тогда как в </w:t>
      </w:r>
      <w:proofErr w:type="gramStart"/>
      <w:r w:rsidR="00AA3129" w:rsidRPr="00AA3129">
        <w:rPr>
          <w:rFonts w:ascii="Times New Roman" w:hAnsi="Times New Roman" w:cs="Times New Roman"/>
          <w:sz w:val="24"/>
          <w:szCs w:val="24"/>
        </w:rPr>
        <w:t>консенсус-прогнозе</w:t>
      </w:r>
      <w:proofErr w:type="gramEnd"/>
      <w:r w:rsidR="00AA3129" w:rsidRPr="00AA3129">
        <w:rPr>
          <w:rFonts w:ascii="Times New Roman" w:hAnsi="Times New Roman" w:cs="Times New Roman"/>
          <w:sz w:val="24"/>
          <w:szCs w:val="24"/>
        </w:rPr>
        <w:t xml:space="preserve"> фигурируют существенно иные оценки</w:t>
      </w:r>
      <w:r w:rsidRPr="00D71342">
        <w:rPr>
          <w:rFonts w:ascii="Times New Roman" w:hAnsi="Times New Roman" w:cs="Times New Roman"/>
          <w:sz w:val="24"/>
          <w:szCs w:val="24"/>
        </w:rPr>
        <w:t xml:space="preserve">. Прогноз инвестиционной активности (хотя </w:t>
      </w:r>
      <w:r w:rsidR="00AA3129" w:rsidRPr="00AA3129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proofErr w:type="spellStart"/>
      <w:r w:rsidR="00AA3129">
        <w:rPr>
          <w:rFonts w:ascii="Times New Roman" w:hAnsi="Times New Roman" w:cs="Times New Roman"/>
          <w:sz w:val="24"/>
          <w:szCs w:val="24"/>
        </w:rPr>
        <w:t>России</w:t>
      </w:r>
      <w:r w:rsidRPr="00D71342">
        <w:rPr>
          <w:rFonts w:ascii="Times New Roman" w:hAnsi="Times New Roman" w:cs="Times New Roman"/>
          <w:sz w:val="24"/>
          <w:szCs w:val="24"/>
        </w:rPr>
        <w:t>существенно</w:t>
      </w:r>
      <w:proofErr w:type="spellEnd"/>
      <w:r w:rsidRPr="00D71342">
        <w:rPr>
          <w:rFonts w:ascii="Times New Roman" w:hAnsi="Times New Roman" w:cs="Times New Roman"/>
          <w:sz w:val="24"/>
          <w:szCs w:val="24"/>
        </w:rPr>
        <w:t xml:space="preserve"> его снизил при последней корректировке) также выглядит излишне оптимистичным на фоне </w:t>
      </w:r>
      <w:proofErr w:type="gramStart"/>
      <w:r w:rsidRPr="00D71342">
        <w:rPr>
          <w:rFonts w:ascii="Times New Roman" w:hAnsi="Times New Roman" w:cs="Times New Roman"/>
          <w:sz w:val="24"/>
          <w:szCs w:val="24"/>
        </w:rPr>
        <w:t>консенсус-прогноза</w:t>
      </w:r>
      <w:proofErr w:type="gramEnd"/>
      <w:r w:rsidRPr="00D71342">
        <w:rPr>
          <w:rFonts w:ascii="Times New Roman" w:hAnsi="Times New Roman" w:cs="Times New Roman"/>
          <w:sz w:val="24"/>
          <w:szCs w:val="24"/>
        </w:rPr>
        <w:t xml:space="preserve">. Напротив, по отношению к динамике потребительского спроса (оборота розничной торговли) эксперты настроены более оптимистично, чем </w:t>
      </w:r>
      <w:r w:rsidR="00AA3129" w:rsidRPr="00AA3129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Pr="00D71342">
        <w:rPr>
          <w:rFonts w:ascii="Times New Roman" w:hAnsi="Times New Roman" w:cs="Times New Roman"/>
          <w:sz w:val="24"/>
          <w:szCs w:val="24"/>
        </w:rPr>
        <w:t xml:space="preserve">(возможно, они не прогнозируют столь существенного сокращения темпов роста потребительского кредитования, как прогнозирует </w:t>
      </w:r>
      <w:r w:rsidR="00AA3129" w:rsidRPr="00AA3129">
        <w:rPr>
          <w:rFonts w:ascii="Times New Roman" w:hAnsi="Times New Roman" w:cs="Times New Roman"/>
          <w:sz w:val="24"/>
          <w:szCs w:val="24"/>
        </w:rPr>
        <w:t>Минэкономразвития России</w:t>
      </w:r>
      <w:r w:rsidRPr="00D71342">
        <w:rPr>
          <w:rFonts w:ascii="Times New Roman" w:hAnsi="Times New Roman" w:cs="Times New Roman"/>
          <w:sz w:val="24"/>
          <w:szCs w:val="24"/>
        </w:rPr>
        <w:t xml:space="preserve">). </w:t>
      </w:r>
      <w:r w:rsidR="00AA3129">
        <w:rPr>
          <w:rFonts w:ascii="Times New Roman" w:hAnsi="Times New Roman" w:cs="Times New Roman"/>
          <w:sz w:val="24"/>
          <w:szCs w:val="24"/>
        </w:rPr>
        <w:t>Э</w:t>
      </w:r>
      <w:r w:rsidRPr="00D71342">
        <w:rPr>
          <w:rFonts w:ascii="Times New Roman" w:hAnsi="Times New Roman" w:cs="Times New Roman"/>
          <w:sz w:val="24"/>
          <w:szCs w:val="24"/>
        </w:rPr>
        <w:t xml:space="preserve">ксперты также не столь пессимистично смотрят на перспективы нефтяных цен; они, скорее, ожидают не резкого снижения цен, а их стабилизации на текущем уровне. </w:t>
      </w:r>
      <w:proofErr w:type="gramStart"/>
      <w:r w:rsidRPr="00D71342">
        <w:rPr>
          <w:rFonts w:ascii="Times New Roman" w:hAnsi="Times New Roman" w:cs="Times New Roman"/>
          <w:sz w:val="24"/>
          <w:szCs w:val="24"/>
        </w:rPr>
        <w:t xml:space="preserve">При этом консенсус-прогноз валютного курса предполагает несколько более быстрое обесценение рубля; впрочем, различия не столь уж велики: к 2024 году они достигают всего лишь пяти рублей за доллар, а такие изменения вполне могут произойти на существенно более коротком временном горизонте </w:t>
      </w:r>
      <w:r w:rsidRPr="00D71342">
        <w:rPr>
          <w:rFonts w:ascii="Times New Roman" w:hAnsi="Times New Roman" w:cs="Times New Roman"/>
          <w:sz w:val="24"/>
          <w:szCs w:val="24"/>
        </w:rPr>
        <w:noBreakHyphen/>
        <w:t xml:space="preserve"> не за 5-6 лет, а за 5-6 месяцев или даже недель.</w:t>
      </w:r>
      <w:proofErr w:type="gramEnd"/>
    </w:p>
    <w:p w:rsidR="00AA3129" w:rsidRPr="00AA3129" w:rsidRDefault="008E7C42" w:rsidP="00AA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3129" w:rsidRPr="00AA3129">
        <w:rPr>
          <w:rFonts w:ascii="Times New Roman" w:hAnsi="Times New Roman" w:cs="Times New Roman"/>
          <w:sz w:val="24"/>
          <w:szCs w:val="24"/>
        </w:rPr>
        <w:t xml:space="preserve">Очевидно, консенсус-прогноз в большей мере, чем прогноз Минэкономразвития России опирается на наблюдаемые в последнее время тенденции, тогда как Министерство прогнозирует их перелом. Это предполагает присутствие в прогнозе идентификации конкретных факторов, которые повлекут существенное изменение тенденций. В данном отношении </w:t>
      </w:r>
      <w:proofErr w:type="gramStart"/>
      <w:r w:rsidR="00AA3129" w:rsidRPr="00AA3129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AA3129" w:rsidRPr="00AA3129">
        <w:rPr>
          <w:rFonts w:ascii="Times New Roman" w:hAnsi="Times New Roman" w:cs="Times New Roman"/>
          <w:sz w:val="24"/>
          <w:szCs w:val="24"/>
        </w:rPr>
        <w:t xml:space="preserve"> по-видимому требует доработки.  </w:t>
      </w:r>
    </w:p>
    <w:p w:rsidR="008E7C42" w:rsidRPr="00D71342" w:rsidRDefault="00AA3129" w:rsidP="00AA31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129">
        <w:rPr>
          <w:rFonts w:ascii="Times New Roman" w:hAnsi="Times New Roman" w:cs="Times New Roman"/>
          <w:sz w:val="24"/>
          <w:szCs w:val="24"/>
        </w:rPr>
        <w:t>Минэкономразвития России констатирует, что «полный эффект мер реализуется на долгосрочном горизонте», однако резкое ускорение роста ВВП с 2021 г. предполагает, что основной потенциал реализуется уже в этот период. При этом масштаб ускорения роста экономики определяется на основе модели, посчитанной для других стран, что само по себе не плохо, но создает некоторые риски того, что в России изменение структурных параметров может дать эффект, не обязательно соответствующий модельному. Примечательно, что, перечисляя основные риски прогноза, Минэкономразвития России на первом месте ставит риск глобальной рецессии, а риск того, что меры структурной политики не дадут ожидаемого эффекта – лишь на третьем месте (вслед за динамикой потребительского кредитования). И если первые два риска носят временный характер, то риск недостаточной действенности мер способен оказать сильное влияние на средне- и долгосрочные темпы роста экономики.</w:t>
      </w:r>
    </w:p>
    <w:p w:rsidR="005753D3" w:rsidRPr="008E7C42" w:rsidRDefault="005753D3" w:rsidP="008E7C42">
      <w:pPr>
        <w:rPr>
          <w:rFonts w:ascii="Times New Roman" w:hAnsi="Times New Roman" w:cs="Times New Roman"/>
          <w:b/>
          <w:bCs/>
        </w:rPr>
      </w:pPr>
      <w:r w:rsidRPr="008E7C42">
        <w:rPr>
          <w:rFonts w:ascii="Times New Roman" w:hAnsi="Times New Roman" w:cs="Times New Roman"/>
          <w:b/>
          <w:bCs/>
        </w:rPr>
        <w:t>Таблица 3 Среднесрочные прогнозы социально-экономического развития Российской Федерации до 2024 года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1138"/>
        <w:gridCol w:w="840"/>
        <w:gridCol w:w="710"/>
        <w:gridCol w:w="883"/>
        <w:gridCol w:w="883"/>
        <w:gridCol w:w="888"/>
        <w:gridCol w:w="907"/>
      </w:tblGrid>
      <w:tr w:rsidR="005753D3" w:rsidRPr="00B301A9" w:rsidTr="005753D3">
        <w:trPr>
          <w:trHeight w:val="24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293503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2022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Style w:val="22"/>
                <w:rFonts w:eastAsia="Tahoma"/>
                <w:sz w:val="20"/>
                <w:szCs w:val="20"/>
              </w:rPr>
              <w:t>2024</w:t>
            </w:r>
          </w:p>
        </w:tc>
      </w:tr>
      <w:tr w:rsidR="005753D3" w:rsidRPr="00B301A9" w:rsidTr="005753D3">
        <w:trPr>
          <w:trHeight w:val="235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Цена на нефть марки «Юралс» (мировые), долларов США за баррель</w:t>
            </w:r>
          </w:p>
        </w:tc>
      </w:tr>
      <w:tr w:rsidR="005753D3" w:rsidRPr="00B301A9" w:rsidTr="005753D3">
        <w:trPr>
          <w:trHeight w:val="158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64,3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62,6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62,0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61,1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61,7</w:t>
            </w:r>
          </w:p>
        </w:tc>
      </w:tr>
      <w:tr w:rsidR="005753D3" w:rsidRPr="00B301A9" w:rsidTr="005753D3">
        <w:trPr>
          <w:trHeight w:val="21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70,0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62,2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57,0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56,0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55,0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53,0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Курс доллара среднегодовой*, рублей за доллар США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1A9">
              <w:rPr>
                <w:rFonts w:ascii="Times New Roman" w:hAnsi="Times New Roman" w:cs="Times New Roman"/>
              </w:rPr>
              <w:t>72,6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62,5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65,4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65,7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66,9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67,4</w:t>
            </w:r>
          </w:p>
        </w:tc>
      </w:tr>
      <w:tr w:rsidR="005753D3" w:rsidRPr="00B301A9" w:rsidTr="005753D3">
        <w:trPr>
          <w:trHeight w:val="211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Индекс потребительских цен на конец года,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декабрю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4,1</w:t>
            </w:r>
          </w:p>
        </w:tc>
      </w:tr>
      <w:tr w:rsidR="005753D3" w:rsidRPr="00B301A9" w:rsidTr="005753D3">
        <w:trPr>
          <w:trHeight w:val="22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3,8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4,0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Валовой внутренний продукт, % год к году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iCs/>
                <w:sz w:val="20"/>
                <w:szCs w:val="20"/>
              </w:rPr>
              <w:t>1,8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3,2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3,3</w:t>
            </w:r>
          </w:p>
        </w:tc>
      </w:tr>
      <w:tr w:rsidR="005753D3" w:rsidRPr="00B301A9" w:rsidTr="005753D3">
        <w:trPr>
          <w:trHeight w:val="202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Инвестиции в основной капитал, % год к году</w:t>
            </w:r>
          </w:p>
        </w:tc>
      </w:tr>
      <w:tr w:rsidR="005753D3" w:rsidRPr="00B301A9" w:rsidTr="005753D3">
        <w:trPr>
          <w:trHeight w:val="20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01A9">
              <w:rPr>
                <w:sz w:val="20"/>
                <w:szCs w:val="20"/>
              </w:rPr>
              <w:t>Н.д</w:t>
            </w:r>
            <w:proofErr w:type="spellEnd"/>
            <w:r w:rsidRPr="00B301A9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4,3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6,5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5,8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5,3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Промышленность, % год к году</w:t>
            </w:r>
          </w:p>
        </w:tc>
      </w:tr>
      <w:tr w:rsidR="005753D3" w:rsidRPr="00B301A9" w:rsidTr="005753D3">
        <w:trPr>
          <w:trHeight w:val="202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2,9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2,4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2,9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3,1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Реальные располагаемые доходы населения, % год к году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0,1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2,4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Реальная заработная плата, % год к году</w:t>
            </w:r>
          </w:p>
        </w:tc>
      </w:tr>
      <w:tr w:rsidR="005753D3" w:rsidRPr="00B301A9" w:rsidTr="005753D3">
        <w:trPr>
          <w:trHeight w:val="202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8,5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Оборот розничной торговли, % год к году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lastRenderedPageBreak/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26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2,8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1,3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0,6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2,5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2,7</w:t>
            </w:r>
          </w:p>
        </w:tc>
      </w:tr>
      <w:tr w:rsidR="005753D3" w:rsidRPr="00B301A9" w:rsidTr="005753D3">
        <w:trPr>
          <w:trHeight w:val="206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Экспорт товаров,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долларов США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427,9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443,1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406,8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405,7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426,2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447,7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478,2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515,6</w:t>
            </w:r>
          </w:p>
        </w:tc>
      </w:tr>
      <w:tr w:rsidR="005753D3" w:rsidRPr="00B301A9" w:rsidTr="005753D3">
        <w:trPr>
          <w:trHeight w:val="211"/>
        </w:trPr>
        <w:tc>
          <w:tcPr>
            <w:tcW w:w="93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Импорт товаров, </w:t>
            </w:r>
            <w:proofErr w:type="gram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долл</w:t>
            </w:r>
            <w:proofErr w:type="spellEnd"/>
            <w:r w:rsidRPr="00B301A9">
              <w:rPr>
                <w:rFonts w:ascii="Times New Roman" w:hAnsi="Times New Roman" w:cs="Times New Roman"/>
                <w:b/>
                <w:sz w:val="20"/>
                <w:szCs w:val="20"/>
              </w:rPr>
              <w:t>, США</w:t>
            </w:r>
          </w:p>
        </w:tc>
      </w:tr>
      <w:tr w:rsidR="005753D3" w:rsidRPr="00B301A9" w:rsidTr="005753D3">
        <w:trPr>
          <w:trHeight w:val="197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Консенсус_29-07-2019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B3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3D3" w:rsidRPr="00B301A9" w:rsidTr="005753D3">
        <w:trPr>
          <w:trHeight w:val="211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  <w:lang w:val="en-US"/>
              </w:rPr>
            </w:pPr>
            <w:r w:rsidRPr="00B301A9">
              <w:rPr>
                <w:sz w:val="20"/>
                <w:szCs w:val="20"/>
              </w:rPr>
              <w:t>Базовый</w:t>
            </w:r>
            <w:r w:rsidRPr="00B301A9">
              <w:rPr>
                <w:sz w:val="20"/>
                <w:szCs w:val="20"/>
                <w:lang w:val="en-US"/>
              </w:rPr>
              <w:t>_30</w:t>
            </w:r>
            <w:r w:rsidRPr="00B301A9">
              <w:rPr>
                <w:sz w:val="20"/>
                <w:szCs w:val="20"/>
              </w:rPr>
              <w:t xml:space="preserve"> </w:t>
            </w:r>
            <w:r w:rsidRPr="00B301A9">
              <w:rPr>
                <w:sz w:val="20"/>
                <w:szCs w:val="20"/>
                <w:lang w:val="en-US"/>
              </w:rPr>
              <w:t>-09</w:t>
            </w:r>
            <w:r w:rsidRPr="00B301A9">
              <w:rPr>
                <w:sz w:val="20"/>
                <w:szCs w:val="20"/>
              </w:rPr>
              <w:t>-2019</w:t>
            </w:r>
          </w:p>
        </w:tc>
        <w:tc>
          <w:tcPr>
            <w:tcW w:w="113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248,7</w:t>
            </w:r>
          </w:p>
        </w:tc>
        <w:tc>
          <w:tcPr>
            <w:tcW w:w="84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247,7</w:t>
            </w:r>
          </w:p>
        </w:tc>
        <w:tc>
          <w:tcPr>
            <w:tcW w:w="710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259,2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276,0</w:t>
            </w:r>
          </w:p>
        </w:tc>
        <w:tc>
          <w:tcPr>
            <w:tcW w:w="883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296,0</w:t>
            </w:r>
          </w:p>
        </w:tc>
        <w:tc>
          <w:tcPr>
            <w:tcW w:w="888" w:type="dxa"/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318,1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FFFFFF"/>
          </w:tcPr>
          <w:p w:rsidR="005753D3" w:rsidRPr="00B301A9" w:rsidRDefault="005753D3" w:rsidP="007E04A0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1A9">
              <w:rPr>
                <w:sz w:val="20"/>
                <w:szCs w:val="20"/>
              </w:rPr>
              <w:t>343,9</w:t>
            </w:r>
          </w:p>
        </w:tc>
      </w:tr>
    </w:tbl>
    <w:p w:rsidR="005753D3" w:rsidRPr="007F3117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 w:rsidRPr="00B301A9">
        <w:rPr>
          <w:sz w:val="20"/>
          <w:szCs w:val="20"/>
        </w:rPr>
        <w:t>Примечание: * Эксперты, принимавшие участие в опросе, прогнозировали курс на конец календарного года. Среднегодовой курс рассчитан как среднее арифметическое из курсов на начало и конец года.</w:t>
      </w:r>
      <w:r w:rsidRPr="007F3117">
        <w:rPr>
          <w:sz w:val="20"/>
          <w:szCs w:val="20"/>
        </w:rPr>
        <w:t xml:space="preserve"> </w:t>
      </w:r>
    </w:p>
    <w:p w:rsidR="005753D3" w:rsidRDefault="005753D3" w:rsidP="005753D3">
      <w:pPr>
        <w:pStyle w:val="24"/>
        <w:shd w:val="clear" w:color="auto" w:fill="auto"/>
        <w:spacing w:line="240" w:lineRule="auto"/>
        <w:rPr>
          <w:sz w:val="20"/>
          <w:szCs w:val="20"/>
        </w:rPr>
      </w:pPr>
      <w:r w:rsidRPr="007F3117">
        <w:rPr>
          <w:sz w:val="20"/>
          <w:szCs w:val="20"/>
        </w:rPr>
        <w:t>Источник: Институт «Центр развития» НИУ ВШЭ, МЭР РФ.</w:t>
      </w:r>
    </w:p>
    <w:p w:rsidR="005753D3" w:rsidRDefault="005753D3" w:rsidP="005753D3">
      <w:pPr>
        <w:pStyle w:val="24"/>
        <w:shd w:val="clear" w:color="auto" w:fill="auto"/>
        <w:spacing w:line="240" w:lineRule="auto"/>
        <w:rPr>
          <w:b/>
          <w:sz w:val="28"/>
          <w:szCs w:val="28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8E7C42" w:rsidRDefault="008E7C42" w:rsidP="005753D3">
      <w:pPr>
        <w:pStyle w:val="24"/>
        <w:shd w:val="clear" w:color="auto" w:fill="auto"/>
        <w:spacing w:line="240" w:lineRule="auto"/>
        <w:rPr>
          <w:bCs/>
          <w:sz w:val="22"/>
          <w:szCs w:val="22"/>
        </w:rPr>
      </w:pPr>
    </w:p>
    <w:p w:rsidR="005753D3" w:rsidRPr="008E7C42" w:rsidRDefault="005753D3" w:rsidP="005753D3">
      <w:pPr>
        <w:pStyle w:val="24"/>
        <w:shd w:val="clear" w:color="auto" w:fill="auto"/>
        <w:spacing w:line="240" w:lineRule="auto"/>
        <w:rPr>
          <w:b/>
          <w:sz w:val="22"/>
          <w:szCs w:val="22"/>
        </w:rPr>
      </w:pPr>
      <w:r w:rsidRPr="008E7C42">
        <w:rPr>
          <w:b/>
          <w:sz w:val="22"/>
          <w:szCs w:val="22"/>
        </w:rPr>
        <w:t>Таблица 4. Участники Опроса профессиональных прогнозистов</w:t>
      </w:r>
    </w:p>
    <w:p w:rsidR="005753D3" w:rsidRDefault="005753D3" w:rsidP="005753D3">
      <w:pPr>
        <w:pStyle w:val="2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53D3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proofErr w:type="spellStart"/>
            <w:r w:rsidRPr="00A87A6F">
              <w:rPr>
                <w:sz w:val="18"/>
                <w:szCs w:val="18"/>
              </w:rPr>
              <w:t>Альфа-банк</w:t>
            </w:r>
            <w:proofErr w:type="spellEnd"/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proofErr w:type="spellStart"/>
            <w:r w:rsidRPr="00A87A6F">
              <w:rPr>
                <w:sz w:val="18"/>
                <w:szCs w:val="18"/>
                <w:lang w:val="en-US"/>
              </w:rPr>
              <w:t>Nordea</w:t>
            </w:r>
            <w:proofErr w:type="spellEnd"/>
            <w:r w:rsidRPr="00A87A6F">
              <w:rPr>
                <w:sz w:val="18"/>
                <w:szCs w:val="18"/>
                <w:lang w:val="en-US"/>
              </w:rPr>
              <w:t xml:space="preserve"> Bank</w:t>
            </w:r>
          </w:p>
        </w:tc>
      </w:tr>
      <w:tr w:rsidR="005753D3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Центр макроэкономического анализа и краткосрочного прогнозирования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ПФ «Капитал»</w:t>
            </w:r>
          </w:p>
        </w:tc>
      </w:tr>
      <w:tr w:rsidR="005753D3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Экономическая экспертная группа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Промсвязьбанк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  <w:lang w:val="en-US"/>
              </w:rPr>
            </w:pPr>
            <w:r w:rsidRPr="00A87A6F">
              <w:rPr>
                <w:sz w:val="18"/>
                <w:szCs w:val="18"/>
                <w:lang w:val="en-US"/>
              </w:rPr>
              <w:t>Economist Intelligence Unit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  <w:lang w:val="en-US"/>
              </w:rPr>
            </w:pPr>
            <w:r w:rsidRPr="00A87A6F">
              <w:rPr>
                <w:sz w:val="18"/>
                <w:szCs w:val="18"/>
              </w:rPr>
              <w:t>Российский фонд прямых инвестиций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shd w:val="clear" w:color="auto" w:fill="auto"/>
              <w:rPr>
                <w:sz w:val="18"/>
                <w:szCs w:val="18"/>
                <w:lang w:val="en-US"/>
              </w:rPr>
            </w:pPr>
            <w:r w:rsidRPr="00A87A6F">
              <w:rPr>
                <w:sz w:val="18"/>
                <w:szCs w:val="18"/>
              </w:rPr>
              <w:t>Институт</w:t>
            </w:r>
            <w:r w:rsidRPr="00A87A6F">
              <w:rPr>
                <w:sz w:val="18"/>
                <w:szCs w:val="18"/>
                <w:lang w:val="en-US"/>
              </w:rPr>
              <w:t xml:space="preserve"> </w:t>
            </w:r>
            <w:r w:rsidRPr="00A87A6F">
              <w:rPr>
                <w:sz w:val="18"/>
                <w:szCs w:val="18"/>
              </w:rPr>
              <w:t>Внешэкономбанка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shd w:val="clear" w:color="auto" w:fill="auto"/>
              <w:rPr>
                <w:sz w:val="18"/>
                <w:szCs w:val="18"/>
                <w:lang w:val="en-US"/>
              </w:rPr>
            </w:pPr>
            <w:r w:rsidRPr="00A87A6F">
              <w:rPr>
                <w:sz w:val="18"/>
                <w:szCs w:val="18"/>
                <w:lang w:val="en-US"/>
              </w:rPr>
              <w:t>Renaissance Capital</w:t>
            </w:r>
          </w:p>
        </w:tc>
      </w:tr>
      <w:tr w:rsidR="005753D3" w:rsidRPr="00A87A6F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Институт народнохозяйственного прогнозирования РАН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  <w:lang w:val="en-US"/>
              </w:rPr>
              <w:t>S&amp;P Global Ratings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Институт «Центр развития» НИУ ВШЭ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proofErr w:type="spellStart"/>
            <w:r w:rsidRPr="00A87A6F">
              <w:rPr>
                <w:sz w:val="18"/>
                <w:szCs w:val="18"/>
                <w:lang w:val="en-US"/>
              </w:rPr>
              <w:t>Sberbank</w:t>
            </w:r>
            <w:proofErr w:type="spellEnd"/>
            <w:r w:rsidRPr="00A87A6F">
              <w:rPr>
                <w:sz w:val="18"/>
                <w:szCs w:val="18"/>
                <w:lang w:val="en-US"/>
              </w:rPr>
              <w:t xml:space="preserve"> CIB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Институт экономики РАН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shd w:val="clear" w:color="auto" w:fill="auto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Центр макроэкономических исследований (Сбербанк РФ)</w:t>
            </w:r>
          </w:p>
        </w:tc>
      </w:tr>
      <w:tr w:rsidR="005753D3" w:rsidRPr="00A87A6F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  <w:lang w:val="en-US"/>
              </w:rPr>
              <w:t>ING</w:t>
            </w:r>
            <w:r w:rsidRPr="00A87A6F">
              <w:rPr>
                <w:sz w:val="18"/>
                <w:szCs w:val="18"/>
              </w:rPr>
              <w:t xml:space="preserve"> </w:t>
            </w:r>
            <w:r w:rsidRPr="00A87A6F">
              <w:rPr>
                <w:sz w:val="18"/>
                <w:szCs w:val="18"/>
                <w:lang w:val="en-US"/>
              </w:rPr>
              <w:t>Bank</w:t>
            </w:r>
            <w:r w:rsidRPr="00A87A6F">
              <w:rPr>
                <w:sz w:val="18"/>
                <w:szCs w:val="18"/>
              </w:rPr>
              <w:t xml:space="preserve"> (</w:t>
            </w:r>
            <w:r w:rsidRPr="00A87A6F">
              <w:rPr>
                <w:sz w:val="18"/>
                <w:szCs w:val="18"/>
                <w:lang w:val="en-US"/>
              </w:rPr>
              <w:t>EURASIA</w:t>
            </w:r>
            <w:r w:rsidRPr="00A87A6F">
              <w:rPr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proofErr w:type="spellStart"/>
            <w:r w:rsidRPr="00A87A6F">
              <w:rPr>
                <w:sz w:val="18"/>
                <w:szCs w:val="18"/>
              </w:rPr>
              <w:t>The</w:t>
            </w:r>
            <w:proofErr w:type="spellEnd"/>
            <w:r w:rsidRPr="00A87A6F">
              <w:rPr>
                <w:sz w:val="18"/>
                <w:szCs w:val="18"/>
              </w:rPr>
              <w:t xml:space="preserve"> </w:t>
            </w:r>
            <w:proofErr w:type="spellStart"/>
            <w:r w:rsidRPr="00A87A6F">
              <w:rPr>
                <w:sz w:val="18"/>
                <w:szCs w:val="18"/>
              </w:rPr>
              <w:t>Conference</w:t>
            </w:r>
            <w:proofErr w:type="spellEnd"/>
            <w:r w:rsidRPr="00A87A6F">
              <w:rPr>
                <w:sz w:val="18"/>
                <w:szCs w:val="18"/>
              </w:rPr>
              <w:t xml:space="preserve"> </w:t>
            </w:r>
            <w:proofErr w:type="spellStart"/>
            <w:r w:rsidRPr="00A87A6F">
              <w:rPr>
                <w:sz w:val="18"/>
                <w:szCs w:val="18"/>
              </w:rPr>
              <w:t>Board</w:t>
            </w:r>
            <w:proofErr w:type="spellEnd"/>
          </w:p>
        </w:tc>
      </w:tr>
      <w:tr w:rsidR="005753D3" w:rsidRPr="00E23EF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  <w:lang w:val="en-US"/>
              </w:rPr>
              <w:t>JPMorgan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shd w:val="clear" w:color="auto" w:fill="auto"/>
              <w:rPr>
                <w:sz w:val="18"/>
                <w:szCs w:val="18"/>
                <w:lang w:val="en-US"/>
              </w:rPr>
            </w:pPr>
            <w:r w:rsidRPr="00A87A6F">
              <w:rPr>
                <w:sz w:val="18"/>
                <w:szCs w:val="18"/>
                <w:lang w:val="en-US"/>
              </w:rPr>
              <w:t>The Vienna Institute for International Economic Studies (WIIW)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ПАО</w:t>
            </w:r>
            <w:r w:rsidRPr="00A87A6F">
              <w:rPr>
                <w:sz w:val="18"/>
                <w:szCs w:val="18"/>
                <w:lang w:val="en-US"/>
              </w:rPr>
              <w:t xml:space="preserve"> «</w:t>
            </w:r>
            <w:r w:rsidRPr="00A87A6F">
              <w:rPr>
                <w:sz w:val="18"/>
                <w:szCs w:val="18"/>
              </w:rPr>
              <w:t>КАМАЗ</w:t>
            </w:r>
            <w:r w:rsidRPr="00A87A6F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UBS</w:t>
            </w:r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</w:rPr>
              <w:t>Лукойл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A87A6F">
              <w:rPr>
                <w:sz w:val="18"/>
                <w:szCs w:val="18"/>
              </w:rPr>
              <w:t>UniCredit</w:t>
            </w:r>
            <w:proofErr w:type="spellEnd"/>
            <w:r w:rsidRPr="00A87A6F">
              <w:rPr>
                <w:sz w:val="18"/>
                <w:szCs w:val="18"/>
              </w:rPr>
              <w:t xml:space="preserve"> </w:t>
            </w:r>
            <w:proofErr w:type="spellStart"/>
            <w:r w:rsidRPr="00A87A6F">
              <w:rPr>
                <w:sz w:val="18"/>
                <w:szCs w:val="18"/>
              </w:rPr>
              <w:t>Bank</w:t>
            </w:r>
            <w:proofErr w:type="spellEnd"/>
          </w:p>
        </w:tc>
      </w:tr>
      <w:tr w:rsidR="005753D3" w:rsidRPr="00B301A9" w:rsidTr="007E04A0">
        <w:tc>
          <w:tcPr>
            <w:tcW w:w="4785" w:type="dxa"/>
          </w:tcPr>
          <w:p w:rsidR="005753D3" w:rsidRPr="00A87A6F" w:rsidRDefault="005753D3" w:rsidP="005753D3">
            <w:pPr>
              <w:pStyle w:val="24"/>
              <w:rPr>
                <w:sz w:val="18"/>
                <w:szCs w:val="18"/>
              </w:rPr>
            </w:pPr>
            <w:r w:rsidRPr="00A87A6F">
              <w:rPr>
                <w:sz w:val="18"/>
                <w:szCs w:val="18"/>
                <w:lang w:val="en-US"/>
              </w:rPr>
              <w:t>Morgan Stanley</w:t>
            </w:r>
          </w:p>
        </w:tc>
        <w:tc>
          <w:tcPr>
            <w:tcW w:w="4786" w:type="dxa"/>
          </w:tcPr>
          <w:p w:rsidR="005753D3" w:rsidRPr="00A87A6F" w:rsidRDefault="005753D3" w:rsidP="005753D3">
            <w:pPr>
              <w:pStyle w:val="24"/>
              <w:shd w:val="clear" w:color="auto" w:fill="auto"/>
              <w:rPr>
                <w:sz w:val="18"/>
                <w:szCs w:val="18"/>
                <w:lang w:val="en-US"/>
              </w:rPr>
            </w:pPr>
          </w:p>
        </w:tc>
      </w:tr>
    </w:tbl>
    <w:p w:rsidR="005753D3" w:rsidRDefault="005753D3" w:rsidP="005753D3">
      <w:pPr>
        <w:pStyle w:val="24"/>
        <w:rPr>
          <w:sz w:val="20"/>
          <w:szCs w:val="20"/>
        </w:rPr>
      </w:pPr>
    </w:p>
    <w:p w:rsidR="005753D3" w:rsidRPr="008519EC" w:rsidRDefault="005753D3" w:rsidP="007E04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1342" w:rsidRPr="00D71342" w:rsidRDefault="00A179CC" w:rsidP="00182B52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б</w:t>
      </w:r>
      <w:r w:rsidR="00D71342">
        <w:rPr>
          <w:rFonts w:ascii="Times New Roman" w:hAnsi="Times New Roman" w:cs="Times New Roman"/>
          <w:b/>
          <w:sz w:val="24"/>
          <w:szCs w:val="24"/>
        </w:rPr>
        <w:t>юджетн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71342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71342" w:rsidRDefault="00CB75FA" w:rsidP="00D71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342">
        <w:rPr>
          <w:rFonts w:ascii="Times New Roman" w:hAnsi="Times New Roman" w:cs="Times New Roman"/>
          <w:sz w:val="24"/>
          <w:szCs w:val="24"/>
        </w:rPr>
        <w:t>В 2018 году завершился процесс бюджетной консолидации</w:t>
      </w:r>
      <w:r w:rsidR="007C54B6" w:rsidRPr="00D71342">
        <w:rPr>
          <w:rFonts w:ascii="Times New Roman" w:hAnsi="Times New Roman" w:cs="Times New Roman"/>
          <w:sz w:val="24"/>
          <w:szCs w:val="24"/>
        </w:rPr>
        <w:t xml:space="preserve"> и переход к </w:t>
      </w:r>
      <w:r w:rsidR="007513CB" w:rsidRPr="00D71342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7C54B6" w:rsidRPr="00D71342">
        <w:rPr>
          <w:rFonts w:ascii="Times New Roman" w:hAnsi="Times New Roman" w:cs="Times New Roman"/>
          <w:sz w:val="24"/>
          <w:szCs w:val="24"/>
        </w:rPr>
        <w:t>бюджетному правилу</w:t>
      </w:r>
      <w:r w:rsidRPr="00D71342">
        <w:rPr>
          <w:rFonts w:ascii="Times New Roman" w:hAnsi="Times New Roman" w:cs="Times New Roman"/>
          <w:sz w:val="24"/>
          <w:szCs w:val="24"/>
        </w:rPr>
        <w:t>, в ре</w:t>
      </w:r>
      <w:r w:rsidR="00ED5A3B" w:rsidRPr="00D71342">
        <w:rPr>
          <w:rFonts w:ascii="Times New Roman" w:hAnsi="Times New Roman" w:cs="Times New Roman"/>
          <w:sz w:val="24"/>
          <w:szCs w:val="24"/>
        </w:rPr>
        <w:t xml:space="preserve">зультате </w:t>
      </w:r>
      <w:r w:rsidR="007C54B6" w:rsidRPr="00D71342">
        <w:rPr>
          <w:rFonts w:ascii="Times New Roman" w:hAnsi="Times New Roman" w:cs="Times New Roman"/>
          <w:sz w:val="24"/>
          <w:szCs w:val="24"/>
        </w:rPr>
        <w:t>че</w:t>
      </w:r>
      <w:r w:rsidR="00ED5A3B" w:rsidRPr="00D71342">
        <w:rPr>
          <w:rFonts w:ascii="Times New Roman" w:hAnsi="Times New Roman" w:cs="Times New Roman"/>
          <w:sz w:val="24"/>
          <w:szCs w:val="24"/>
        </w:rPr>
        <w:t xml:space="preserve">го уровень </w:t>
      </w:r>
      <w:proofErr w:type="spellStart"/>
      <w:r w:rsidR="00ED5A3B" w:rsidRPr="00D71342">
        <w:rPr>
          <w:rFonts w:ascii="Times New Roman" w:hAnsi="Times New Roman" w:cs="Times New Roman"/>
          <w:sz w:val="24"/>
          <w:szCs w:val="24"/>
        </w:rPr>
        <w:t>ненефтегазового</w:t>
      </w:r>
      <w:proofErr w:type="spellEnd"/>
      <w:r w:rsidR="00ED5A3B" w:rsidRPr="00D71342">
        <w:rPr>
          <w:rFonts w:ascii="Times New Roman" w:hAnsi="Times New Roman" w:cs="Times New Roman"/>
          <w:sz w:val="24"/>
          <w:szCs w:val="24"/>
        </w:rPr>
        <w:t xml:space="preserve"> дефицита федерального бюджета снизился по сравнению с 2014 годом на 3,7 </w:t>
      </w:r>
      <w:proofErr w:type="spellStart"/>
      <w:r w:rsidR="00ED5A3B" w:rsidRPr="00D7134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D5A3B" w:rsidRPr="00D71342">
        <w:rPr>
          <w:rFonts w:ascii="Times New Roman" w:hAnsi="Times New Roman" w:cs="Times New Roman"/>
          <w:sz w:val="24"/>
          <w:szCs w:val="24"/>
        </w:rPr>
        <w:t xml:space="preserve">. ВВП, а </w:t>
      </w:r>
      <w:r w:rsidR="007C54B6" w:rsidRPr="00D71342">
        <w:rPr>
          <w:rFonts w:ascii="Times New Roman" w:hAnsi="Times New Roman" w:cs="Times New Roman"/>
          <w:sz w:val="24"/>
          <w:szCs w:val="24"/>
        </w:rPr>
        <w:t xml:space="preserve">его </w:t>
      </w:r>
      <w:r w:rsidR="00ED5A3B" w:rsidRPr="00D71342">
        <w:rPr>
          <w:rFonts w:ascii="Times New Roman" w:hAnsi="Times New Roman" w:cs="Times New Roman"/>
          <w:sz w:val="24"/>
          <w:szCs w:val="24"/>
        </w:rPr>
        <w:t xml:space="preserve">расходы сократились в реальном выражении. Начало реализации национальных проектов </w:t>
      </w:r>
      <w:r w:rsidR="00023B79" w:rsidRPr="00D71342">
        <w:rPr>
          <w:rFonts w:ascii="Times New Roman" w:hAnsi="Times New Roman" w:cs="Times New Roman"/>
          <w:sz w:val="24"/>
          <w:szCs w:val="24"/>
        </w:rPr>
        <w:t>в</w:t>
      </w:r>
      <w:r w:rsidR="00ED5A3B" w:rsidRPr="00D71342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023B79" w:rsidRPr="00D71342">
        <w:rPr>
          <w:rFonts w:ascii="Times New Roman" w:hAnsi="Times New Roman" w:cs="Times New Roman"/>
          <w:sz w:val="24"/>
          <w:szCs w:val="24"/>
        </w:rPr>
        <w:t>у</w:t>
      </w:r>
      <w:r w:rsidR="00ED5A3B" w:rsidRPr="00D71342">
        <w:rPr>
          <w:rFonts w:ascii="Times New Roman" w:hAnsi="Times New Roman" w:cs="Times New Roman"/>
          <w:sz w:val="24"/>
          <w:szCs w:val="24"/>
        </w:rPr>
        <w:t xml:space="preserve"> </w:t>
      </w:r>
      <w:r w:rsidR="002E2452" w:rsidRPr="00D71342">
        <w:rPr>
          <w:rFonts w:ascii="Times New Roman" w:hAnsi="Times New Roman" w:cs="Times New Roman"/>
          <w:sz w:val="24"/>
          <w:szCs w:val="24"/>
        </w:rPr>
        <w:t xml:space="preserve">должно было сопровождаться </w:t>
      </w:r>
      <w:r w:rsidR="002A31B7" w:rsidRPr="00D71342">
        <w:rPr>
          <w:rFonts w:ascii="Times New Roman" w:hAnsi="Times New Roman" w:cs="Times New Roman"/>
          <w:sz w:val="24"/>
          <w:szCs w:val="24"/>
        </w:rPr>
        <w:t>возобновлением роста расходов</w:t>
      </w:r>
      <w:r w:rsidR="00023B79" w:rsidRPr="00D7134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E2452" w:rsidRPr="00D71342">
        <w:rPr>
          <w:rFonts w:ascii="Times New Roman" w:hAnsi="Times New Roman" w:cs="Times New Roman"/>
          <w:sz w:val="24"/>
          <w:szCs w:val="24"/>
        </w:rPr>
        <w:t xml:space="preserve"> </w:t>
      </w:r>
      <w:r w:rsidR="00DA46C4" w:rsidRPr="00D71342">
        <w:rPr>
          <w:rFonts w:ascii="Times New Roman" w:hAnsi="Times New Roman" w:cs="Times New Roman"/>
          <w:sz w:val="24"/>
          <w:szCs w:val="24"/>
        </w:rPr>
        <w:t xml:space="preserve">в </w:t>
      </w:r>
      <w:r w:rsidR="002E2452" w:rsidRPr="00D71342">
        <w:rPr>
          <w:rFonts w:ascii="Times New Roman" w:hAnsi="Times New Roman" w:cs="Times New Roman"/>
          <w:sz w:val="24"/>
          <w:szCs w:val="24"/>
        </w:rPr>
        <w:t>реальном выражении</w:t>
      </w:r>
      <w:r w:rsidR="002A31B7" w:rsidRPr="00D71342">
        <w:rPr>
          <w:rFonts w:ascii="Times New Roman" w:hAnsi="Times New Roman" w:cs="Times New Roman"/>
          <w:sz w:val="24"/>
          <w:szCs w:val="24"/>
        </w:rPr>
        <w:t>. Однако</w:t>
      </w:r>
      <w:r w:rsidR="002E2452" w:rsidRPr="00D71342">
        <w:rPr>
          <w:rFonts w:ascii="Times New Roman" w:hAnsi="Times New Roman" w:cs="Times New Roman"/>
          <w:sz w:val="24"/>
          <w:szCs w:val="24"/>
        </w:rPr>
        <w:t xml:space="preserve">, фактически в первой половине 2019 г. этот рост оказался отрицательным. Отчасти это произошло из-за задержки с финансированием ряда национальных проектов, отчасти из-за замедления экономики, вызванного увеличением ставки НДС. </w:t>
      </w:r>
    </w:p>
    <w:p w:rsidR="00291B1C" w:rsidRDefault="003F3E93" w:rsidP="00D71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1C">
        <w:rPr>
          <w:rFonts w:ascii="Times New Roman" w:hAnsi="Times New Roman" w:cs="Times New Roman"/>
          <w:sz w:val="24"/>
          <w:szCs w:val="24"/>
        </w:rPr>
        <w:lastRenderedPageBreak/>
        <w:t>Наряду с обеспечением устойчивого уровня бюджетных доходо</w:t>
      </w:r>
      <w:r w:rsidR="00DE75F7" w:rsidRPr="00291B1C">
        <w:rPr>
          <w:rFonts w:ascii="Times New Roman" w:hAnsi="Times New Roman" w:cs="Times New Roman"/>
          <w:sz w:val="24"/>
          <w:szCs w:val="24"/>
        </w:rPr>
        <w:t xml:space="preserve">в, в соответствии </w:t>
      </w:r>
      <w:r w:rsidR="000B5EB7" w:rsidRPr="00291B1C">
        <w:rPr>
          <w:rFonts w:ascii="Times New Roman" w:hAnsi="Times New Roman" w:cs="Times New Roman"/>
          <w:sz w:val="24"/>
          <w:szCs w:val="24"/>
        </w:rPr>
        <w:t>с ОНБП</w:t>
      </w:r>
      <w:r w:rsidR="00C431CF" w:rsidRPr="00291B1C">
        <w:rPr>
          <w:rFonts w:ascii="Times New Roman" w:hAnsi="Times New Roman" w:cs="Times New Roman"/>
          <w:sz w:val="24"/>
          <w:szCs w:val="24"/>
        </w:rPr>
        <w:t>,</w:t>
      </w:r>
      <w:r w:rsidR="00DE75F7" w:rsidRPr="00291B1C">
        <w:rPr>
          <w:rFonts w:ascii="Times New Roman" w:hAnsi="Times New Roman" w:cs="Times New Roman"/>
          <w:sz w:val="24"/>
          <w:szCs w:val="24"/>
        </w:rPr>
        <w:t xml:space="preserve"> ключевым направлением бюджетной политики </w:t>
      </w:r>
      <w:r w:rsidR="000B5EB7" w:rsidRPr="00291B1C">
        <w:rPr>
          <w:rFonts w:ascii="Times New Roman" w:hAnsi="Times New Roman" w:cs="Times New Roman"/>
          <w:sz w:val="24"/>
          <w:szCs w:val="24"/>
        </w:rPr>
        <w:t>является формирование стабильных фискальных условий</w:t>
      </w:r>
      <w:r w:rsidR="00DE75F7" w:rsidRPr="00291B1C">
        <w:rPr>
          <w:rFonts w:ascii="Times New Roman" w:hAnsi="Times New Roman" w:cs="Times New Roman"/>
          <w:sz w:val="24"/>
          <w:szCs w:val="24"/>
        </w:rPr>
        <w:t xml:space="preserve">, что должно стать одним из инструментов для </w:t>
      </w:r>
      <w:r w:rsidR="00A83340" w:rsidRPr="00291B1C">
        <w:rPr>
          <w:rFonts w:ascii="Times New Roman" w:hAnsi="Times New Roman" w:cs="Times New Roman"/>
          <w:sz w:val="24"/>
          <w:szCs w:val="24"/>
        </w:rPr>
        <w:t xml:space="preserve">повышения качества инвестиций в основной капитал и увеличения их объема до 25% ВВП. 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C11002" w:rsidRPr="00291B1C">
        <w:rPr>
          <w:rFonts w:ascii="Times New Roman" w:hAnsi="Times New Roman" w:cs="Times New Roman"/>
          <w:sz w:val="24"/>
          <w:szCs w:val="24"/>
        </w:rPr>
        <w:t xml:space="preserve">текущая 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политика в налоговой сфере в 2018 и 2019 гг. </w:t>
      </w:r>
      <w:r w:rsidR="00C11002" w:rsidRPr="00291B1C">
        <w:rPr>
          <w:rFonts w:ascii="Times New Roman" w:hAnsi="Times New Roman" w:cs="Times New Roman"/>
          <w:sz w:val="24"/>
          <w:szCs w:val="24"/>
        </w:rPr>
        <w:t xml:space="preserve">пока не </w:t>
      </w:r>
      <w:r w:rsidR="00DE75F7" w:rsidRPr="00291B1C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C11002" w:rsidRPr="00291B1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3F6958">
        <w:rPr>
          <w:rFonts w:ascii="Times New Roman" w:hAnsi="Times New Roman" w:cs="Times New Roman"/>
          <w:sz w:val="24"/>
          <w:szCs w:val="24"/>
        </w:rPr>
        <w:t>этому намерению.</w:t>
      </w:r>
      <w:r w:rsidR="00DE75F7"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="002E2452" w:rsidRPr="00291B1C">
        <w:rPr>
          <w:rFonts w:ascii="Times New Roman" w:hAnsi="Times New Roman" w:cs="Times New Roman"/>
          <w:sz w:val="24"/>
          <w:szCs w:val="24"/>
        </w:rPr>
        <w:t xml:space="preserve">Увеличение ставки 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НДС </w:t>
      </w:r>
      <w:r w:rsidR="00C11002" w:rsidRPr="00291B1C">
        <w:rPr>
          <w:rFonts w:ascii="Times New Roman" w:hAnsi="Times New Roman" w:cs="Times New Roman"/>
          <w:sz w:val="24"/>
          <w:szCs w:val="24"/>
        </w:rPr>
        <w:t>привело к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="00C11002" w:rsidRPr="00291B1C">
        <w:rPr>
          <w:rFonts w:ascii="Times New Roman" w:hAnsi="Times New Roman" w:cs="Times New Roman"/>
          <w:sz w:val="24"/>
          <w:szCs w:val="24"/>
        </w:rPr>
        <w:t>временному повышению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инфляции, замедлени</w:t>
      </w:r>
      <w:r w:rsidR="00C11002" w:rsidRPr="00291B1C">
        <w:rPr>
          <w:rFonts w:ascii="Times New Roman" w:hAnsi="Times New Roman" w:cs="Times New Roman"/>
          <w:sz w:val="24"/>
          <w:szCs w:val="24"/>
        </w:rPr>
        <w:t>ю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экономического роста и </w:t>
      </w:r>
      <w:r w:rsidR="00C11002" w:rsidRPr="00291B1C">
        <w:rPr>
          <w:rFonts w:ascii="Times New Roman" w:hAnsi="Times New Roman" w:cs="Times New Roman"/>
          <w:sz w:val="24"/>
          <w:szCs w:val="24"/>
        </w:rPr>
        <w:t>ухудшению динамики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C11002" w:rsidRPr="00291B1C">
        <w:rPr>
          <w:rFonts w:ascii="Times New Roman" w:hAnsi="Times New Roman" w:cs="Times New Roman"/>
          <w:sz w:val="24"/>
          <w:szCs w:val="24"/>
        </w:rPr>
        <w:t>й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. Кроме того, важнейшие </w:t>
      </w:r>
      <w:proofErr w:type="spellStart"/>
      <w:r w:rsidR="000C02EB" w:rsidRPr="00291B1C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7C54B6" w:rsidRPr="00291B1C">
        <w:rPr>
          <w:rFonts w:ascii="Times New Roman" w:hAnsi="Times New Roman" w:cs="Times New Roman"/>
          <w:sz w:val="24"/>
          <w:szCs w:val="24"/>
        </w:rPr>
        <w:t>-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налоговые платежи, такие как </w:t>
      </w:r>
      <w:r w:rsidR="00C431CF" w:rsidRPr="00291B1C">
        <w:rPr>
          <w:rFonts w:ascii="Times New Roman" w:hAnsi="Times New Roman" w:cs="Times New Roman"/>
          <w:sz w:val="24"/>
          <w:szCs w:val="24"/>
        </w:rPr>
        <w:t>утилизационный сбор, налог на доходы операторов сети связи общего пользования, туристический сбор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="00C431CF" w:rsidRPr="00291B1C">
        <w:rPr>
          <w:rFonts w:ascii="Times New Roman" w:hAnsi="Times New Roman" w:cs="Times New Roman"/>
          <w:sz w:val="24"/>
          <w:szCs w:val="24"/>
        </w:rPr>
        <w:t>предполагается включить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в Налоговый кодекс, что</w:t>
      </w:r>
      <w:r w:rsidR="007C54B6" w:rsidRPr="00291B1C">
        <w:rPr>
          <w:rFonts w:ascii="Times New Roman" w:hAnsi="Times New Roman" w:cs="Times New Roman"/>
          <w:sz w:val="24"/>
          <w:szCs w:val="24"/>
        </w:rPr>
        <w:t>,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="007C54B6" w:rsidRPr="00291B1C">
        <w:rPr>
          <w:rFonts w:ascii="Times New Roman" w:hAnsi="Times New Roman" w:cs="Times New Roman"/>
          <w:sz w:val="24"/>
          <w:szCs w:val="24"/>
        </w:rPr>
        <w:t xml:space="preserve">даже с учетом отложенного введения предусмотренных кодексом мер ответственности, </w:t>
      </w:r>
      <w:proofErr w:type="gramStart"/>
      <w:r w:rsidR="000C02EB" w:rsidRPr="00291B1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0C02EB" w:rsidRPr="00291B1C">
        <w:rPr>
          <w:rFonts w:ascii="Times New Roman" w:hAnsi="Times New Roman" w:cs="Times New Roman"/>
          <w:sz w:val="24"/>
          <w:szCs w:val="24"/>
        </w:rPr>
        <w:t xml:space="preserve"> по сути является увеличением </w:t>
      </w:r>
      <w:r w:rsidR="00C11002" w:rsidRPr="00291B1C">
        <w:rPr>
          <w:rFonts w:ascii="Times New Roman" w:hAnsi="Times New Roman" w:cs="Times New Roman"/>
          <w:sz w:val="24"/>
          <w:szCs w:val="24"/>
        </w:rPr>
        <w:t>фискальной</w:t>
      </w:r>
      <w:r w:rsidR="000C02EB" w:rsidRPr="00291B1C">
        <w:rPr>
          <w:rFonts w:ascii="Times New Roman" w:hAnsi="Times New Roman" w:cs="Times New Roman"/>
          <w:sz w:val="24"/>
          <w:szCs w:val="24"/>
        </w:rPr>
        <w:t xml:space="preserve"> нагрузки. </w:t>
      </w:r>
      <w:r w:rsidR="007C54B6" w:rsidRPr="00291B1C">
        <w:rPr>
          <w:rFonts w:ascii="Times New Roman" w:hAnsi="Times New Roman" w:cs="Times New Roman"/>
          <w:sz w:val="24"/>
          <w:szCs w:val="24"/>
        </w:rPr>
        <w:t>При этом на данный момент сохраняется неопределенность относительно</w:t>
      </w:r>
      <w:r w:rsidR="00E85BBF" w:rsidRPr="00291B1C">
        <w:rPr>
          <w:rFonts w:ascii="Times New Roman" w:hAnsi="Times New Roman" w:cs="Times New Roman"/>
          <w:sz w:val="24"/>
          <w:szCs w:val="24"/>
        </w:rPr>
        <w:t xml:space="preserve"> других многочисленных </w:t>
      </w:r>
      <w:proofErr w:type="spellStart"/>
      <w:r w:rsidR="00E85BBF" w:rsidRPr="00291B1C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="00B51425" w:rsidRPr="00291B1C">
        <w:rPr>
          <w:rFonts w:ascii="Times New Roman" w:hAnsi="Times New Roman" w:cs="Times New Roman"/>
          <w:sz w:val="24"/>
          <w:szCs w:val="24"/>
        </w:rPr>
        <w:t>-</w:t>
      </w:r>
      <w:r w:rsidR="00E85BBF" w:rsidRPr="00291B1C">
        <w:rPr>
          <w:rFonts w:ascii="Times New Roman" w:hAnsi="Times New Roman" w:cs="Times New Roman"/>
          <w:sz w:val="24"/>
          <w:szCs w:val="24"/>
        </w:rPr>
        <w:t xml:space="preserve">налоговых платежей. </w:t>
      </w:r>
    </w:p>
    <w:p w:rsidR="00CB39D9" w:rsidRPr="00291B1C" w:rsidRDefault="00E85BBF" w:rsidP="00291B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1C">
        <w:rPr>
          <w:rFonts w:ascii="Times New Roman" w:hAnsi="Times New Roman" w:cs="Times New Roman"/>
          <w:sz w:val="24"/>
          <w:szCs w:val="24"/>
        </w:rPr>
        <w:t xml:space="preserve">В числе системных </w:t>
      </w:r>
      <w:proofErr w:type="gramStart"/>
      <w:r w:rsidRPr="00291B1C">
        <w:rPr>
          <w:rFonts w:ascii="Times New Roman" w:hAnsi="Times New Roman" w:cs="Times New Roman"/>
          <w:sz w:val="24"/>
          <w:szCs w:val="24"/>
        </w:rPr>
        <w:t xml:space="preserve">мер обеспечения </w:t>
      </w:r>
      <w:r w:rsidR="00EC1CE8" w:rsidRPr="00291B1C">
        <w:rPr>
          <w:rFonts w:ascii="Times New Roman" w:hAnsi="Times New Roman" w:cs="Times New Roman"/>
          <w:sz w:val="24"/>
          <w:szCs w:val="24"/>
        </w:rPr>
        <w:t>роста</w:t>
      </w:r>
      <w:r w:rsidRPr="00291B1C">
        <w:rPr>
          <w:rFonts w:ascii="Times New Roman" w:hAnsi="Times New Roman" w:cs="Times New Roman"/>
          <w:sz w:val="24"/>
          <w:szCs w:val="24"/>
        </w:rPr>
        <w:t xml:space="preserve"> объема инвестиций</w:t>
      </w:r>
      <w:proofErr w:type="gramEnd"/>
      <w:r w:rsidR="00EC1CE8" w:rsidRPr="00291B1C">
        <w:rPr>
          <w:rFonts w:ascii="Times New Roman" w:hAnsi="Times New Roman" w:cs="Times New Roman"/>
          <w:sz w:val="24"/>
          <w:szCs w:val="24"/>
        </w:rPr>
        <w:t xml:space="preserve"> и формирования справедливых </w:t>
      </w:r>
      <w:r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="00EC1CE8" w:rsidRPr="00291B1C">
        <w:rPr>
          <w:rFonts w:ascii="Times New Roman" w:hAnsi="Times New Roman" w:cs="Times New Roman"/>
          <w:sz w:val="24"/>
          <w:szCs w:val="24"/>
        </w:rPr>
        <w:t xml:space="preserve">конкурентных условий </w:t>
      </w:r>
      <w:r w:rsidRPr="00291B1C">
        <w:rPr>
          <w:rFonts w:ascii="Times New Roman" w:hAnsi="Times New Roman" w:cs="Times New Roman"/>
          <w:sz w:val="24"/>
          <w:szCs w:val="24"/>
        </w:rPr>
        <w:t>пред</w:t>
      </w:r>
      <w:r w:rsidR="00EC1CE8" w:rsidRPr="00291B1C">
        <w:rPr>
          <w:rFonts w:ascii="Times New Roman" w:hAnsi="Times New Roman" w:cs="Times New Roman"/>
          <w:sz w:val="24"/>
          <w:szCs w:val="24"/>
        </w:rPr>
        <w:t>по</w:t>
      </w:r>
      <w:r w:rsidRPr="00291B1C">
        <w:rPr>
          <w:rFonts w:ascii="Times New Roman" w:hAnsi="Times New Roman" w:cs="Times New Roman"/>
          <w:sz w:val="24"/>
          <w:szCs w:val="24"/>
        </w:rPr>
        <w:t xml:space="preserve">лагается </w:t>
      </w:r>
      <w:r w:rsidR="00EC1CE8" w:rsidRPr="00291B1C">
        <w:rPr>
          <w:rFonts w:ascii="Times New Roman" w:hAnsi="Times New Roman" w:cs="Times New Roman"/>
          <w:sz w:val="24"/>
          <w:szCs w:val="24"/>
        </w:rPr>
        <w:t>комплекс мер</w:t>
      </w:r>
      <w:r w:rsidR="00920E40" w:rsidRPr="00291B1C">
        <w:rPr>
          <w:rFonts w:ascii="Times New Roman" w:hAnsi="Times New Roman" w:cs="Times New Roman"/>
          <w:sz w:val="24"/>
          <w:szCs w:val="24"/>
        </w:rPr>
        <w:t xml:space="preserve">оприятий по улучшению администрирования налогов, и </w:t>
      </w:r>
      <w:r w:rsidR="00CB39D9" w:rsidRPr="00291B1C">
        <w:rPr>
          <w:rFonts w:ascii="Times New Roman" w:hAnsi="Times New Roman" w:cs="Times New Roman"/>
          <w:sz w:val="24"/>
          <w:szCs w:val="24"/>
        </w:rPr>
        <w:t>в частности,</w:t>
      </w:r>
      <w:r w:rsidRPr="00291B1C">
        <w:rPr>
          <w:rFonts w:ascii="Times New Roman" w:hAnsi="Times New Roman" w:cs="Times New Roman"/>
          <w:sz w:val="24"/>
          <w:szCs w:val="24"/>
        </w:rPr>
        <w:t xml:space="preserve"> повышение собираемости налога на доходы физических лиц и страховых взносов. </w:t>
      </w:r>
      <w:proofErr w:type="gramStart"/>
      <w:r w:rsidR="00920E40" w:rsidRPr="00291B1C">
        <w:rPr>
          <w:rFonts w:ascii="Times New Roman" w:hAnsi="Times New Roman" w:cs="Times New Roman"/>
          <w:sz w:val="24"/>
          <w:szCs w:val="24"/>
        </w:rPr>
        <w:t xml:space="preserve">Не отрицая важности борьбы </w:t>
      </w:r>
      <w:r w:rsidRPr="00291B1C">
        <w:rPr>
          <w:rFonts w:ascii="Times New Roman" w:hAnsi="Times New Roman" w:cs="Times New Roman"/>
          <w:sz w:val="24"/>
          <w:szCs w:val="24"/>
        </w:rPr>
        <w:t>с теневым сектором экономики</w:t>
      </w:r>
      <w:r w:rsidR="00920E40" w:rsidRPr="00291B1C">
        <w:rPr>
          <w:rFonts w:ascii="Times New Roman" w:hAnsi="Times New Roman" w:cs="Times New Roman"/>
          <w:sz w:val="24"/>
          <w:szCs w:val="24"/>
        </w:rPr>
        <w:t xml:space="preserve">, следует отметить, что </w:t>
      </w:r>
      <w:r w:rsidR="003F6958">
        <w:rPr>
          <w:rFonts w:ascii="Times New Roman" w:hAnsi="Times New Roman" w:cs="Times New Roman"/>
          <w:sz w:val="24"/>
          <w:szCs w:val="24"/>
        </w:rPr>
        <w:t xml:space="preserve">эти мероприятия целесообразно рационально распределить во времени, чтобы дать возможность адаптироваться </w:t>
      </w:r>
      <w:r w:rsidRPr="00291B1C">
        <w:rPr>
          <w:rFonts w:ascii="Times New Roman" w:hAnsi="Times New Roman" w:cs="Times New Roman"/>
          <w:sz w:val="24"/>
          <w:szCs w:val="24"/>
        </w:rPr>
        <w:t>малому</w:t>
      </w:r>
      <w:r w:rsidR="00920E40" w:rsidRPr="00291B1C">
        <w:rPr>
          <w:rFonts w:ascii="Times New Roman" w:hAnsi="Times New Roman" w:cs="Times New Roman"/>
          <w:sz w:val="24"/>
          <w:szCs w:val="24"/>
        </w:rPr>
        <w:t xml:space="preserve"> </w:t>
      </w:r>
      <w:r w:rsidRPr="00291B1C">
        <w:rPr>
          <w:rFonts w:ascii="Times New Roman" w:hAnsi="Times New Roman" w:cs="Times New Roman"/>
          <w:sz w:val="24"/>
          <w:szCs w:val="24"/>
        </w:rPr>
        <w:t>бизнесу</w:t>
      </w:r>
      <w:r w:rsidR="00882F5C" w:rsidRPr="00291B1C">
        <w:rPr>
          <w:rFonts w:ascii="Times New Roman" w:hAnsi="Times New Roman" w:cs="Times New Roman"/>
          <w:sz w:val="24"/>
          <w:szCs w:val="24"/>
        </w:rPr>
        <w:t xml:space="preserve">, развитие которого </w:t>
      </w:r>
      <w:r w:rsidR="00635A73" w:rsidRPr="00291B1C">
        <w:rPr>
          <w:rFonts w:ascii="Times New Roman" w:hAnsi="Times New Roman" w:cs="Times New Roman"/>
          <w:sz w:val="24"/>
          <w:szCs w:val="24"/>
        </w:rPr>
        <w:t xml:space="preserve">декларируется в целом ряде документов и </w:t>
      </w:r>
      <w:r w:rsidR="00882F5C" w:rsidRPr="00291B1C">
        <w:rPr>
          <w:rFonts w:ascii="Times New Roman" w:hAnsi="Times New Roman" w:cs="Times New Roman"/>
          <w:sz w:val="24"/>
          <w:szCs w:val="24"/>
        </w:rPr>
        <w:t>составляет содержание национальн</w:t>
      </w:r>
      <w:r w:rsidR="00635A73" w:rsidRPr="00291B1C">
        <w:rPr>
          <w:rFonts w:ascii="Times New Roman" w:hAnsi="Times New Roman" w:cs="Times New Roman"/>
          <w:sz w:val="24"/>
          <w:szCs w:val="24"/>
        </w:rPr>
        <w:t>ого проекта «Малое и среднее предпринимательство и поддержка индивидуальной предпринимательской инициативы»</w:t>
      </w:r>
      <w:r w:rsidR="00920E40" w:rsidRPr="00291B1C">
        <w:rPr>
          <w:rFonts w:ascii="Times New Roman" w:hAnsi="Times New Roman" w:cs="Times New Roman"/>
          <w:sz w:val="24"/>
          <w:szCs w:val="24"/>
        </w:rPr>
        <w:t>, а также препятствовать возвращению на траекторию роста реальных располагаемых доходов населения</w:t>
      </w:r>
      <w:r w:rsidR="00635A73" w:rsidRPr="00291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4DD" w:rsidRPr="00BD491F" w:rsidRDefault="00BF4593" w:rsidP="00BD49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t xml:space="preserve">С 2019 г. </w:t>
      </w:r>
      <w:r w:rsidR="0061622B" w:rsidRPr="00BD491F">
        <w:rPr>
          <w:rFonts w:ascii="Times New Roman" w:hAnsi="Times New Roman" w:cs="Times New Roman"/>
          <w:sz w:val="24"/>
          <w:szCs w:val="24"/>
        </w:rPr>
        <w:t>начался возврат</w:t>
      </w:r>
      <w:r w:rsidRPr="00BD491F">
        <w:rPr>
          <w:rFonts w:ascii="Times New Roman" w:hAnsi="Times New Roman" w:cs="Times New Roman"/>
          <w:sz w:val="24"/>
          <w:szCs w:val="24"/>
        </w:rPr>
        <w:t xml:space="preserve"> к умеренному росту бюджетных расходов в неизменных ценах. </w:t>
      </w:r>
      <w:r w:rsidR="00AD4A84" w:rsidRPr="00BD491F">
        <w:rPr>
          <w:rFonts w:ascii="Times New Roman" w:hAnsi="Times New Roman" w:cs="Times New Roman"/>
          <w:sz w:val="24"/>
          <w:szCs w:val="24"/>
        </w:rPr>
        <w:t xml:space="preserve">В соответствии с проектом </w:t>
      </w:r>
      <w:r w:rsidR="003B1DFC" w:rsidRPr="00BD491F">
        <w:rPr>
          <w:rFonts w:ascii="Times New Roman" w:hAnsi="Times New Roman" w:cs="Times New Roman"/>
          <w:sz w:val="24"/>
          <w:szCs w:val="24"/>
        </w:rPr>
        <w:t>закона о бюджете</w:t>
      </w:r>
      <w:r w:rsidR="00337848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AD4A84" w:rsidRPr="00BD491F">
        <w:rPr>
          <w:rFonts w:ascii="Times New Roman" w:hAnsi="Times New Roman" w:cs="Times New Roman"/>
          <w:sz w:val="24"/>
          <w:szCs w:val="24"/>
        </w:rPr>
        <w:t>умеренный рост расходов федерального бюджета запланирован и на 2020-2022 гг</w:t>
      </w:r>
      <w:r w:rsidR="00B74FE4" w:rsidRPr="00BD491F">
        <w:rPr>
          <w:rFonts w:ascii="Times New Roman" w:hAnsi="Times New Roman" w:cs="Times New Roman"/>
          <w:sz w:val="24"/>
          <w:szCs w:val="24"/>
        </w:rPr>
        <w:t>.</w:t>
      </w:r>
      <w:r w:rsidR="00AD4A84" w:rsidRPr="00BD491F">
        <w:rPr>
          <w:rFonts w:ascii="Times New Roman" w:hAnsi="Times New Roman" w:cs="Times New Roman"/>
          <w:sz w:val="24"/>
          <w:szCs w:val="24"/>
        </w:rPr>
        <w:t xml:space="preserve"> (Рис </w:t>
      </w:r>
      <w:r w:rsidR="00F128E8" w:rsidRPr="00BD491F">
        <w:rPr>
          <w:rFonts w:ascii="Times New Roman" w:hAnsi="Times New Roman" w:cs="Times New Roman"/>
          <w:sz w:val="24"/>
          <w:szCs w:val="24"/>
        </w:rPr>
        <w:t>2</w:t>
      </w:r>
      <w:r w:rsidR="00AD4A84" w:rsidRPr="00BD491F">
        <w:rPr>
          <w:rFonts w:ascii="Times New Roman" w:hAnsi="Times New Roman" w:cs="Times New Roman"/>
          <w:sz w:val="24"/>
          <w:szCs w:val="24"/>
        </w:rPr>
        <w:t>).</w:t>
      </w:r>
      <w:r w:rsidR="0061622B" w:rsidRPr="00BD491F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="0061622B" w:rsidRPr="00BD491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61622B" w:rsidRPr="00BD491F">
        <w:rPr>
          <w:rFonts w:ascii="Times New Roman" w:hAnsi="Times New Roman" w:cs="Times New Roman"/>
          <w:sz w:val="24"/>
          <w:szCs w:val="24"/>
        </w:rPr>
        <w:t xml:space="preserve"> в 2022 г.</w:t>
      </w:r>
      <w:r w:rsidR="003B1DFC" w:rsidRPr="00BD491F">
        <w:rPr>
          <w:rFonts w:ascii="Times New Roman" w:hAnsi="Times New Roman" w:cs="Times New Roman"/>
          <w:sz w:val="24"/>
          <w:szCs w:val="24"/>
        </w:rPr>
        <w:t xml:space="preserve"> они</w:t>
      </w:r>
      <w:r w:rsidR="0061622B" w:rsidRPr="00BD491F">
        <w:rPr>
          <w:rFonts w:ascii="Times New Roman" w:hAnsi="Times New Roman" w:cs="Times New Roman"/>
          <w:sz w:val="24"/>
          <w:szCs w:val="24"/>
        </w:rPr>
        <w:t xml:space="preserve"> все еще будут на </w:t>
      </w:r>
      <w:r w:rsidR="003B1DFC" w:rsidRPr="00BD491F">
        <w:rPr>
          <w:rFonts w:ascii="Times New Roman" w:hAnsi="Times New Roman" w:cs="Times New Roman"/>
          <w:sz w:val="24"/>
          <w:szCs w:val="24"/>
        </w:rPr>
        <w:t>4</w:t>
      </w:r>
      <w:r w:rsidR="0061622B" w:rsidRPr="00BD491F">
        <w:rPr>
          <w:rFonts w:ascii="Times New Roman" w:hAnsi="Times New Roman" w:cs="Times New Roman"/>
          <w:sz w:val="24"/>
          <w:szCs w:val="24"/>
        </w:rPr>
        <w:t xml:space="preserve">% ниже, чем в 2014 г. </w:t>
      </w:r>
    </w:p>
    <w:p w:rsidR="00017A98" w:rsidRDefault="00017A98" w:rsidP="00017A98">
      <w:pPr>
        <w:keepNext/>
        <w:spacing w:before="240"/>
        <w:ind w:left="3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Рис. </w:t>
      </w:r>
      <w:r w:rsidR="008E7C42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Динамика расходов федерального бюджета в 2011-20</w:t>
      </w:r>
      <w:r w:rsidR="00337848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="00920E40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гг. в ценах 2011 г. (2011 г.=100%)</w:t>
      </w:r>
    </w:p>
    <w:p w:rsidR="007919D8" w:rsidRDefault="003B1DFC" w:rsidP="00BF35F0">
      <w:pPr>
        <w:keepNext/>
        <w:spacing w:before="240"/>
        <w:ind w:left="36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4810125" cy="281686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AE" w:rsidRDefault="005C5AAE" w:rsidP="005C5AA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Минфин РФ, Росстат.</w:t>
      </w:r>
    </w:p>
    <w:p w:rsidR="000A574F" w:rsidRPr="00F128E8" w:rsidRDefault="00B50B49" w:rsidP="00F128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E8">
        <w:rPr>
          <w:rFonts w:ascii="Times New Roman" w:hAnsi="Times New Roman" w:cs="Times New Roman"/>
          <w:sz w:val="24"/>
          <w:szCs w:val="24"/>
        </w:rPr>
        <w:t>Расходы бюджетной системы в неизменных ценах вернулись к росту уже с  2018 г. В соответствии с проектом ОНБП этот рост продолжится в 20</w:t>
      </w:r>
      <w:r w:rsidR="003B1DFC" w:rsidRPr="00F128E8">
        <w:rPr>
          <w:rFonts w:ascii="Times New Roman" w:hAnsi="Times New Roman" w:cs="Times New Roman"/>
          <w:sz w:val="24"/>
          <w:szCs w:val="24"/>
        </w:rPr>
        <w:t>1</w:t>
      </w:r>
      <w:r w:rsidRPr="00F128E8">
        <w:rPr>
          <w:rFonts w:ascii="Times New Roman" w:hAnsi="Times New Roman" w:cs="Times New Roman"/>
          <w:sz w:val="24"/>
          <w:szCs w:val="24"/>
        </w:rPr>
        <w:t xml:space="preserve">9-2022 годах, при этом уровень расходов «пикового» 2014 г. </w:t>
      </w:r>
      <w:proofErr w:type="gramStart"/>
      <w:r w:rsidRPr="00F128E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F128E8">
        <w:rPr>
          <w:rFonts w:ascii="Times New Roman" w:hAnsi="Times New Roman" w:cs="Times New Roman"/>
          <w:sz w:val="24"/>
          <w:szCs w:val="24"/>
        </w:rPr>
        <w:t xml:space="preserve"> достигнут к 202</w:t>
      </w:r>
      <w:r w:rsidR="003B1DFC" w:rsidRPr="00F128E8">
        <w:rPr>
          <w:rFonts w:ascii="Times New Roman" w:hAnsi="Times New Roman" w:cs="Times New Roman"/>
          <w:sz w:val="24"/>
          <w:szCs w:val="24"/>
        </w:rPr>
        <w:t>0</w:t>
      </w:r>
      <w:r w:rsidRPr="00F128E8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06734F" w:rsidRPr="00F128E8">
        <w:rPr>
          <w:rFonts w:ascii="Times New Roman" w:hAnsi="Times New Roman" w:cs="Times New Roman"/>
          <w:sz w:val="24"/>
          <w:szCs w:val="24"/>
        </w:rPr>
        <w:t xml:space="preserve">(Рис </w:t>
      </w:r>
      <w:r w:rsidR="00F128E8">
        <w:rPr>
          <w:rFonts w:ascii="Times New Roman" w:hAnsi="Times New Roman" w:cs="Times New Roman"/>
          <w:sz w:val="24"/>
          <w:szCs w:val="24"/>
        </w:rPr>
        <w:t>3</w:t>
      </w:r>
      <w:r w:rsidR="0006734F" w:rsidRPr="00F128E8">
        <w:rPr>
          <w:rFonts w:ascii="Times New Roman" w:hAnsi="Times New Roman" w:cs="Times New Roman"/>
          <w:sz w:val="24"/>
          <w:szCs w:val="24"/>
        </w:rPr>
        <w:t>)</w:t>
      </w:r>
      <w:r w:rsidR="00747764" w:rsidRPr="00F128E8">
        <w:rPr>
          <w:rFonts w:ascii="Times New Roman" w:hAnsi="Times New Roman" w:cs="Times New Roman"/>
          <w:sz w:val="24"/>
          <w:szCs w:val="24"/>
        </w:rPr>
        <w:t>.</w:t>
      </w:r>
      <w:r w:rsidR="000777E6" w:rsidRPr="00F128E8">
        <w:rPr>
          <w:rFonts w:ascii="Times New Roman" w:hAnsi="Times New Roman" w:cs="Times New Roman"/>
          <w:sz w:val="24"/>
          <w:szCs w:val="24"/>
        </w:rPr>
        <w:t xml:space="preserve"> </w:t>
      </w:r>
      <w:r w:rsidR="00CF6C71" w:rsidRPr="00F1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EC" w:rsidRDefault="006F6AEC" w:rsidP="006F6AEC">
      <w:pPr>
        <w:keepNext/>
        <w:spacing w:before="240"/>
        <w:ind w:left="36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Рис. </w:t>
      </w:r>
      <w:r w:rsidR="008E7C42">
        <w:rPr>
          <w:rFonts w:ascii="Times New Roman" w:hAnsi="Times New Roman" w:cs="Times New Roman"/>
          <w:b/>
          <w:bCs/>
          <w:spacing w:val="-4"/>
          <w:sz w:val="24"/>
          <w:szCs w:val="24"/>
        </w:rPr>
        <w:t>3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Динамика расходов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бюджетов бюджетной системы РФ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в 201</w:t>
      </w:r>
      <w:r w:rsidR="006B3105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="006B3105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гг. в </w:t>
      </w:r>
      <w:r w:rsidR="006B310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неизменных 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>ценах  (201</w:t>
      </w:r>
      <w:r w:rsidR="0006734F">
        <w:rPr>
          <w:rFonts w:ascii="Times New Roman" w:hAnsi="Times New Roman" w:cs="Times New Roman"/>
          <w:b/>
          <w:bCs/>
          <w:spacing w:val="-4"/>
          <w:sz w:val="24"/>
          <w:szCs w:val="24"/>
        </w:rPr>
        <w:t>1</w:t>
      </w:r>
      <w:r w:rsidRPr="00017A9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г.=100%)</w:t>
      </w:r>
    </w:p>
    <w:p w:rsidR="00BF35F0" w:rsidRDefault="003B1DFC" w:rsidP="00BF35F0">
      <w:pPr>
        <w:keepNext/>
        <w:spacing w:before="240"/>
        <w:ind w:left="36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5846301" cy="43300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945" cy="434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AEC" w:rsidRDefault="006F6AEC" w:rsidP="006F6AE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Минфин РФ, Росстат.</w:t>
      </w:r>
    </w:p>
    <w:p w:rsidR="00203349" w:rsidRDefault="00B50B49" w:rsidP="00BD49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734F">
        <w:rPr>
          <w:rFonts w:ascii="Times New Roman" w:hAnsi="Times New Roman" w:cs="Times New Roman"/>
          <w:sz w:val="24"/>
          <w:szCs w:val="24"/>
        </w:rPr>
        <w:t xml:space="preserve"> наиболее сложными проблемами </w:t>
      </w:r>
      <w:r w:rsidR="00920E40">
        <w:rPr>
          <w:rFonts w:ascii="Times New Roman" w:hAnsi="Times New Roman" w:cs="Times New Roman"/>
          <w:sz w:val="24"/>
          <w:szCs w:val="24"/>
        </w:rPr>
        <w:t>в</w:t>
      </w:r>
      <w:r w:rsidR="0006734F">
        <w:rPr>
          <w:rFonts w:ascii="Times New Roman" w:hAnsi="Times New Roman" w:cs="Times New Roman"/>
          <w:sz w:val="24"/>
          <w:szCs w:val="24"/>
        </w:rPr>
        <w:t xml:space="preserve"> последние 10 лет столкнулись регионы. Расходы региональных бюджетов в 2016 г. были ниже показателя 2011 г. на 14%. </w:t>
      </w:r>
      <w:r w:rsidR="00920E40">
        <w:rPr>
          <w:rFonts w:ascii="Times New Roman" w:hAnsi="Times New Roman" w:cs="Times New Roman"/>
          <w:sz w:val="24"/>
          <w:szCs w:val="24"/>
        </w:rPr>
        <w:t>Ожидается, что лишь по итогам 2019 года</w:t>
      </w:r>
      <w:r w:rsidR="004063F8">
        <w:rPr>
          <w:rFonts w:ascii="Times New Roman" w:hAnsi="Times New Roman" w:cs="Times New Roman"/>
          <w:sz w:val="24"/>
          <w:szCs w:val="24"/>
        </w:rPr>
        <w:t xml:space="preserve"> они превысят уровень 2014 года</w:t>
      </w:r>
      <w:r w:rsidR="00920E40">
        <w:rPr>
          <w:rFonts w:ascii="Times New Roman" w:hAnsi="Times New Roman" w:cs="Times New Roman"/>
          <w:sz w:val="24"/>
          <w:szCs w:val="24"/>
        </w:rPr>
        <w:t>.</w:t>
      </w:r>
      <w:r w:rsidR="004063F8">
        <w:rPr>
          <w:rFonts w:ascii="Times New Roman" w:hAnsi="Times New Roman" w:cs="Times New Roman"/>
          <w:sz w:val="24"/>
          <w:szCs w:val="24"/>
        </w:rPr>
        <w:t xml:space="preserve"> Р</w:t>
      </w:r>
      <w:r w:rsidR="0006734F">
        <w:rPr>
          <w:rFonts w:ascii="Times New Roman" w:hAnsi="Times New Roman" w:cs="Times New Roman"/>
          <w:sz w:val="24"/>
          <w:szCs w:val="24"/>
        </w:rPr>
        <w:t xml:space="preserve">ост в неизменных ценах заложен на 2020-2022 гг., </w:t>
      </w:r>
      <w:r w:rsidR="00B768C5">
        <w:rPr>
          <w:rFonts w:ascii="Times New Roman" w:hAnsi="Times New Roman" w:cs="Times New Roman"/>
          <w:sz w:val="24"/>
          <w:szCs w:val="24"/>
        </w:rPr>
        <w:t xml:space="preserve">и </w:t>
      </w:r>
      <w:r w:rsidR="00FA295D">
        <w:rPr>
          <w:rFonts w:ascii="Times New Roman" w:hAnsi="Times New Roman" w:cs="Times New Roman"/>
          <w:sz w:val="24"/>
          <w:szCs w:val="24"/>
        </w:rPr>
        <w:t>согласно плану к</w:t>
      </w:r>
      <w:r w:rsidR="0006734F">
        <w:rPr>
          <w:rFonts w:ascii="Times New Roman" w:hAnsi="Times New Roman" w:cs="Times New Roman"/>
          <w:sz w:val="24"/>
          <w:szCs w:val="24"/>
        </w:rPr>
        <w:t xml:space="preserve"> 2022 г. уровень расходов региональных бюджетов </w:t>
      </w:r>
      <w:r w:rsidR="0006734F" w:rsidRPr="003B1DFC">
        <w:rPr>
          <w:rFonts w:ascii="Times New Roman" w:hAnsi="Times New Roman" w:cs="Times New Roman"/>
          <w:sz w:val="24"/>
          <w:szCs w:val="24"/>
        </w:rPr>
        <w:t xml:space="preserve">должен превысить уровень 2011 г. на </w:t>
      </w:r>
      <w:r w:rsidR="003B1DFC" w:rsidRPr="003B1DFC">
        <w:rPr>
          <w:rFonts w:ascii="Times New Roman" w:hAnsi="Times New Roman" w:cs="Times New Roman"/>
          <w:sz w:val="24"/>
          <w:szCs w:val="24"/>
        </w:rPr>
        <w:t>10</w:t>
      </w:r>
      <w:r w:rsidR="0006734F" w:rsidRPr="003B1DF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6734F" w:rsidRDefault="00203349" w:rsidP="00BD49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95D">
        <w:rPr>
          <w:rFonts w:ascii="Times New Roman" w:hAnsi="Times New Roman" w:cs="Times New Roman"/>
          <w:sz w:val="24"/>
          <w:szCs w:val="24"/>
        </w:rPr>
        <w:t xml:space="preserve">Динамика расходов внебюджетных фондов в 2012-2017 гг. полностью определялась </w:t>
      </w:r>
      <w:r w:rsidR="00FA295D" w:rsidRPr="00FA295D">
        <w:rPr>
          <w:rFonts w:ascii="Times New Roman" w:hAnsi="Times New Roman" w:cs="Times New Roman"/>
          <w:sz w:val="24"/>
          <w:szCs w:val="24"/>
        </w:rPr>
        <w:t>позицией П</w:t>
      </w:r>
      <w:r w:rsidRPr="00FA295D">
        <w:rPr>
          <w:rFonts w:ascii="Times New Roman" w:hAnsi="Times New Roman" w:cs="Times New Roman"/>
          <w:sz w:val="24"/>
          <w:szCs w:val="24"/>
        </w:rPr>
        <w:t>енсионного фонда</w:t>
      </w:r>
      <w:r w:rsidR="00FA295D" w:rsidRPr="00FA295D">
        <w:rPr>
          <w:rFonts w:ascii="Times New Roman" w:hAnsi="Times New Roman" w:cs="Times New Roman"/>
          <w:sz w:val="24"/>
          <w:szCs w:val="24"/>
        </w:rPr>
        <w:t>, пик</w:t>
      </w:r>
      <w:r w:rsidR="009D5F4A" w:rsidRPr="00FA295D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A295D" w:rsidRPr="00FA295D">
        <w:rPr>
          <w:rFonts w:ascii="Times New Roman" w:hAnsi="Times New Roman" w:cs="Times New Roman"/>
          <w:sz w:val="24"/>
          <w:szCs w:val="24"/>
        </w:rPr>
        <w:t>которого</w:t>
      </w:r>
      <w:r w:rsidR="009D5F4A" w:rsidRPr="00FA295D">
        <w:rPr>
          <w:rFonts w:ascii="Times New Roman" w:hAnsi="Times New Roman" w:cs="Times New Roman"/>
          <w:sz w:val="24"/>
          <w:szCs w:val="24"/>
        </w:rPr>
        <w:t xml:space="preserve"> пришелся на 2013 г. П</w:t>
      </w:r>
      <w:r w:rsidRPr="00FA295D">
        <w:rPr>
          <w:rFonts w:ascii="Times New Roman" w:hAnsi="Times New Roman" w:cs="Times New Roman"/>
          <w:sz w:val="24"/>
          <w:szCs w:val="24"/>
        </w:rPr>
        <w:t>од влиянием реформ</w:t>
      </w:r>
      <w:r w:rsidR="00FA295D" w:rsidRPr="00FA295D">
        <w:rPr>
          <w:rFonts w:ascii="Times New Roman" w:hAnsi="Times New Roman" w:cs="Times New Roman"/>
          <w:sz w:val="24"/>
          <w:szCs w:val="24"/>
        </w:rPr>
        <w:t xml:space="preserve">ирования и перехода к </w:t>
      </w:r>
      <w:r w:rsidR="009D5F4A" w:rsidRPr="00FA295D">
        <w:rPr>
          <w:rFonts w:ascii="Times New Roman" w:hAnsi="Times New Roman" w:cs="Times New Roman"/>
          <w:sz w:val="24"/>
          <w:szCs w:val="24"/>
        </w:rPr>
        <w:t>более позднему выходу на пенсию</w:t>
      </w:r>
      <w:r w:rsidR="00FA295D" w:rsidRPr="00FA295D">
        <w:rPr>
          <w:rFonts w:ascii="Times New Roman" w:hAnsi="Times New Roman" w:cs="Times New Roman"/>
          <w:sz w:val="24"/>
          <w:szCs w:val="24"/>
        </w:rPr>
        <w:t xml:space="preserve"> уже в </w:t>
      </w:r>
      <w:r>
        <w:rPr>
          <w:rFonts w:ascii="Times New Roman" w:hAnsi="Times New Roman" w:cs="Times New Roman"/>
          <w:sz w:val="24"/>
          <w:szCs w:val="24"/>
        </w:rPr>
        <w:t>2019 г. ожидаемый объем расходов фонда будет ниже уровня 201</w:t>
      </w:r>
      <w:r w:rsidR="001D4B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(!) и незначительно изменится в 2020-2022 гг. В результате, и расходы всех внебюджетных фондов в 2020-2022 гг.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оставаться практически на неизменном уровне. </w:t>
      </w:r>
      <w:r w:rsidR="000D566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0D566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D5661">
        <w:rPr>
          <w:rFonts w:ascii="Times New Roman" w:hAnsi="Times New Roman" w:cs="Times New Roman"/>
          <w:sz w:val="24"/>
          <w:szCs w:val="24"/>
        </w:rPr>
        <w:t xml:space="preserve"> предполагается,</w:t>
      </w:r>
      <w:r w:rsidR="009D5F4A">
        <w:rPr>
          <w:rFonts w:ascii="Times New Roman" w:hAnsi="Times New Roman" w:cs="Times New Roman"/>
          <w:sz w:val="24"/>
          <w:szCs w:val="24"/>
        </w:rPr>
        <w:t xml:space="preserve"> что драйверами расходов бюджетной системы </w:t>
      </w:r>
      <w:r w:rsidR="000D5661">
        <w:rPr>
          <w:rFonts w:ascii="Times New Roman" w:hAnsi="Times New Roman" w:cs="Times New Roman"/>
          <w:sz w:val="24"/>
          <w:szCs w:val="24"/>
        </w:rPr>
        <w:t xml:space="preserve">в ближайшие три года </w:t>
      </w:r>
      <w:r w:rsidR="009D5F4A">
        <w:rPr>
          <w:rFonts w:ascii="Times New Roman" w:hAnsi="Times New Roman" w:cs="Times New Roman"/>
          <w:sz w:val="24"/>
          <w:szCs w:val="24"/>
        </w:rPr>
        <w:t xml:space="preserve">станут расходы федерального и региональных бюджетов, </w:t>
      </w:r>
      <w:r w:rsidR="00B768C5">
        <w:rPr>
          <w:rFonts w:ascii="Times New Roman" w:hAnsi="Times New Roman" w:cs="Times New Roman"/>
          <w:sz w:val="24"/>
          <w:szCs w:val="24"/>
        </w:rPr>
        <w:t xml:space="preserve">а </w:t>
      </w:r>
      <w:r w:rsidR="009D5F4A">
        <w:rPr>
          <w:rFonts w:ascii="Times New Roman" w:hAnsi="Times New Roman" w:cs="Times New Roman"/>
          <w:sz w:val="24"/>
          <w:szCs w:val="24"/>
        </w:rPr>
        <w:t>расходы Пенсионного фонда выступ</w:t>
      </w:r>
      <w:r w:rsidR="000D5661">
        <w:rPr>
          <w:rFonts w:ascii="Times New Roman" w:hAnsi="Times New Roman" w:cs="Times New Roman"/>
          <w:sz w:val="24"/>
          <w:szCs w:val="24"/>
        </w:rPr>
        <w:t>я</w:t>
      </w:r>
      <w:r w:rsidR="009D5F4A">
        <w:rPr>
          <w:rFonts w:ascii="Times New Roman" w:hAnsi="Times New Roman" w:cs="Times New Roman"/>
          <w:sz w:val="24"/>
          <w:szCs w:val="24"/>
        </w:rPr>
        <w:t xml:space="preserve">т как сдерживающий фактор. </w:t>
      </w:r>
    </w:p>
    <w:p w:rsidR="003E087F" w:rsidRDefault="009A0D37" w:rsidP="00BD49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lastRenderedPageBreak/>
        <w:t>В 2019 г. бюджетное правило было модифицировано в целях мобилизации дополнительных финансовых ресурсов для реализации национальных проектов</w:t>
      </w:r>
      <w:r w:rsidR="004B33FD" w:rsidRPr="00BD491F">
        <w:rPr>
          <w:rFonts w:ascii="Times New Roman" w:hAnsi="Times New Roman" w:cs="Times New Roman"/>
          <w:sz w:val="24"/>
          <w:szCs w:val="24"/>
        </w:rPr>
        <w:t xml:space="preserve"> (на эти же цели было направлено увеличение </w:t>
      </w:r>
      <w:r w:rsidR="001D4B25" w:rsidRPr="00BD491F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4B33FD" w:rsidRPr="00BD491F">
        <w:rPr>
          <w:rFonts w:ascii="Times New Roman" w:hAnsi="Times New Roman" w:cs="Times New Roman"/>
          <w:sz w:val="24"/>
          <w:szCs w:val="24"/>
        </w:rPr>
        <w:t>НДС до 20%</w:t>
      </w:r>
      <w:r w:rsidR="001D4B25" w:rsidRPr="00BD491F">
        <w:rPr>
          <w:rFonts w:ascii="Times New Roman" w:hAnsi="Times New Roman" w:cs="Times New Roman"/>
          <w:sz w:val="24"/>
          <w:szCs w:val="24"/>
        </w:rPr>
        <w:t>)</w:t>
      </w:r>
      <w:r w:rsidR="004B33FD" w:rsidRPr="00BD491F">
        <w:rPr>
          <w:rFonts w:ascii="Times New Roman" w:hAnsi="Times New Roman" w:cs="Times New Roman"/>
          <w:sz w:val="24"/>
          <w:szCs w:val="24"/>
        </w:rPr>
        <w:t>. Прежняя формулировка бюджетного правила предусматривала нулевой первичный структурный баланс бюджета. Новая формула, к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оторая, вероятно, будет действовать в ближайшие годы, допускает отрицательный </w:t>
      </w:r>
      <w:r w:rsidR="00DA46C4" w:rsidRPr="00BD491F">
        <w:rPr>
          <w:rFonts w:ascii="Times New Roman" w:hAnsi="Times New Roman" w:cs="Times New Roman"/>
          <w:sz w:val="24"/>
          <w:szCs w:val="24"/>
        </w:rPr>
        <w:t>уровень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 первичного структурного баланса в размере 0,5% ВВП. Модифицированная формулировка бюджетного правила,</w:t>
      </w:r>
      <w:r w:rsidR="009741E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657D85" w:rsidRPr="00BD491F">
        <w:rPr>
          <w:rFonts w:ascii="Times New Roman" w:hAnsi="Times New Roman" w:cs="Times New Roman"/>
          <w:sz w:val="24"/>
          <w:szCs w:val="24"/>
        </w:rPr>
        <w:t>так</w:t>
      </w:r>
      <w:r w:rsidR="009741E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657D85" w:rsidRPr="00BD491F">
        <w:rPr>
          <w:rFonts w:ascii="Times New Roman" w:hAnsi="Times New Roman" w:cs="Times New Roman"/>
          <w:sz w:val="24"/>
          <w:szCs w:val="24"/>
        </w:rPr>
        <w:t>же</w:t>
      </w:r>
      <w:r w:rsidR="009741E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как и прежняя, при </w:t>
      </w:r>
      <w:r w:rsidR="00925DB3" w:rsidRPr="00BD491F">
        <w:rPr>
          <w:rFonts w:ascii="Times New Roman" w:hAnsi="Times New Roman" w:cs="Times New Roman"/>
          <w:sz w:val="24"/>
          <w:szCs w:val="24"/>
        </w:rPr>
        <w:t>нынешни</w:t>
      </w:r>
      <w:r w:rsidR="00657D85" w:rsidRPr="00BD491F">
        <w:rPr>
          <w:rFonts w:ascii="Times New Roman" w:hAnsi="Times New Roman" w:cs="Times New Roman"/>
          <w:sz w:val="24"/>
          <w:szCs w:val="24"/>
        </w:rPr>
        <w:t>х ценах на нефть позволяет быстро пополнять ресурсы ФНБ. По оценке, в 2019 г. на пополнение ФНБ может быть направлено</w:t>
      </w:r>
      <w:r w:rsidR="00EA4FAF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3D3B63" w:rsidRPr="00BD491F">
        <w:rPr>
          <w:rFonts w:ascii="Times New Roman" w:hAnsi="Times New Roman" w:cs="Times New Roman"/>
          <w:sz w:val="24"/>
          <w:szCs w:val="24"/>
        </w:rPr>
        <w:t>около</w:t>
      </w:r>
      <w:r w:rsidR="00EA4FAF" w:rsidRPr="00BD491F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EA4FAF" w:rsidRPr="00BD491F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="00EA4FAF" w:rsidRPr="00BD491F">
        <w:rPr>
          <w:rFonts w:ascii="Times New Roman" w:hAnsi="Times New Roman" w:cs="Times New Roman"/>
          <w:sz w:val="24"/>
          <w:szCs w:val="24"/>
        </w:rPr>
        <w:t xml:space="preserve"> руб. С учетом средств, которые должны быть перечислены в ФНБ по итогам 2018 г., в 2020 году средства фонда размещенные в 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EA4FAF" w:rsidRPr="00BD491F">
        <w:rPr>
          <w:rFonts w:ascii="Times New Roman" w:hAnsi="Times New Roman" w:cs="Times New Roman"/>
          <w:sz w:val="24"/>
          <w:szCs w:val="24"/>
        </w:rPr>
        <w:t xml:space="preserve">ЦБ РФ превысят </w:t>
      </w:r>
      <w:r w:rsidR="009741E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EA4FAF" w:rsidRPr="00BD491F">
        <w:rPr>
          <w:rFonts w:ascii="Times New Roman" w:hAnsi="Times New Roman" w:cs="Times New Roman"/>
          <w:sz w:val="24"/>
          <w:szCs w:val="24"/>
        </w:rPr>
        <w:t>7% ВВП</w:t>
      </w:r>
      <w:r w:rsidR="009741E5" w:rsidRPr="00BD491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D3B63" w:rsidRPr="00BD491F">
        <w:rPr>
          <w:rFonts w:ascii="Times New Roman" w:hAnsi="Times New Roman" w:cs="Times New Roman"/>
          <w:sz w:val="24"/>
          <w:szCs w:val="24"/>
        </w:rPr>
        <w:t xml:space="preserve">делает возможным размещать их </w:t>
      </w:r>
      <w:r w:rsidR="00EA4FAF" w:rsidRPr="00BD491F">
        <w:rPr>
          <w:rFonts w:ascii="Times New Roman" w:hAnsi="Times New Roman" w:cs="Times New Roman"/>
          <w:sz w:val="24"/>
          <w:szCs w:val="24"/>
        </w:rPr>
        <w:t xml:space="preserve">в т. н. иные 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3D3B63" w:rsidRPr="00BD491F">
        <w:rPr>
          <w:rFonts w:ascii="Times New Roman" w:hAnsi="Times New Roman" w:cs="Times New Roman"/>
          <w:sz w:val="24"/>
          <w:szCs w:val="24"/>
        </w:rPr>
        <w:t xml:space="preserve">разрешенные </w:t>
      </w:r>
      <w:r w:rsidR="00EA4FAF" w:rsidRPr="00BD491F">
        <w:rPr>
          <w:rFonts w:ascii="Times New Roman" w:hAnsi="Times New Roman" w:cs="Times New Roman"/>
          <w:sz w:val="24"/>
          <w:szCs w:val="24"/>
        </w:rPr>
        <w:t>активы</w:t>
      </w:r>
      <w:r w:rsidR="00862816" w:rsidRPr="00BD491F">
        <w:rPr>
          <w:rFonts w:ascii="Times New Roman" w:hAnsi="Times New Roman" w:cs="Times New Roman"/>
          <w:sz w:val="24"/>
          <w:szCs w:val="24"/>
        </w:rPr>
        <w:t>, то есть возможност</w:t>
      </w:r>
      <w:r w:rsidR="009741E5" w:rsidRPr="00BD491F">
        <w:rPr>
          <w:rFonts w:ascii="Times New Roman" w:hAnsi="Times New Roman" w:cs="Times New Roman"/>
          <w:sz w:val="24"/>
          <w:szCs w:val="24"/>
        </w:rPr>
        <w:t>и</w:t>
      </w:r>
      <w:r w:rsidR="00862816" w:rsidRPr="00BD491F">
        <w:rPr>
          <w:rFonts w:ascii="Times New Roman" w:hAnsi="Times New Roman" w:cs="Times New Roman"/>
          <w:sz w:val="24"/>
          <w:szCs w:val="24"/>
        </w:rPr>
        <w:t xml:space="preserve"> финансировать за счет средств фонда финансовые и нефинансовые инвестиции. </w:t>
      </w:r>
    </w:p>
    <w:p w:rsidR="009A0D37" w:rsidRPr="00BD491F" w:rsidRDefault="00862816" w:rsidP="00BD49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t>Речь может идти</w:t>
      </w:r>
      <w:r w:rsidR="00543F2F" w:rsidRPr="00BD491F">
        <w:rPr>
          <w:rFonts w:ascii="Times New Roman" w:hAnsi="Times New Roman" w:cs="Times New Roman"/>
          <w:sz w:val="24"/>
          <w:szCs w:val="24"/>
        </w:rPr>
        <w:t>,</w:t>
      </w:r>
      <w:r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543F2F" w:rsidRPr="00BD491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BD491F">
        <w:rPr>
          <w:rFonts w:ascii="Times New Roman" w:hAnsi="Times New Roman" w:cs="Times New Roman"/>
          <w:sz w:val="24"/>
          <w:szCs w:val="24"/>
        </w:rPr>
        <w:t>и о</w:t>
      </w:r>
      <w:r w:rsidR="009741E5" w:rsidRPr="00BD491F">
        <w:rPr>
          <w:rFonts w:ascii="Times New Roman" w:hAnsi="Times New Roman" w:cs="Times New Roman"/>
          <w:sz w:val="24"/>
          <w:szCs w:val="24"/>
        </w:rPr>
        <w:t>б</w:t>
      </w:r>
      <w:r w:rsidRPr="00BD491F">
        <w:rPr>
          <w:rFonts w:ascii="Times New Roman" w:hAnsi="Times New Roman" w:cs="Times New Roman"/>
          <w:sz w:val="24"/>
          <w:szCs w:val="24"/>
        </w:rPr>
        <w:t xml:space="preserve"> инвестиционных проектах, входящих в состав национальных проектов и </w:t>
      </w:r>
      <w:r w:rsidR="0008618D" w:rsidRPr="00BD491F">
        <w:rPr>
          <w:rFonts w:ascii="Times New Roman" w:hAnsi="Times New Roman" w:cs="Times New Roman"/>
          <w:sz w:val="24"/>
          <w:szCs w:val="24"/>
        </w:rPr>
        <w:t>К</w:t>
      </w:r>
      <w:r w:rsidRPr="00BD491F">
        <w:rPr>
          <w:rFonts w:ascii="Times New Roman" w:hAnsi="Times New Roman" w:cs="Times New Roman"/>
          <w:sz w:val="24"/>
          <w:szCs w:val="24"/>
        </w:rPr>
        <w:t>омплексного плана модернизации и ра</w:t>
      </w:r>
      <w:r w:rsidR="00543F2F" w:rsidRPr="00BD491F">
        <w:rPr>
          <w:rFonts w:ascii="Times New Roman" w:hAnsi="Times New Roman" w:cs="Times New Roman"/>
          <w:sz w:val="24"/>
          <w:szCs w:val="24"/>
        </w:rPr>
        <w:t xml:space="preserve">сширения магистральной </w:t>
      </w:r>
      <w:r w:rsidRPr="00BD491F">
        <w:rPr>
          <w:rFonts w:ascii="Times New Roman" w:hAnsi="Times New Roman" w:cs="Times New Roman"/>
          <w:sz w:val="24"/>
          <w:szCs w:val="24"/>
        </w:rPr>
        <w:t>инфраструктуры.</w:t>
      </w:r>
      <w:r w:rsidR="0008618D"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Pr="00BD491F">
        <w:rPr>
          <w:rFonts w:ascii="Times New Roman" w:hAnsi="Times New Roman" w:cs="Times New Roman"/>
          <w:sz w:val="24"/>
          <w:szCs w:val="24"/>
        </w:rPr>
        <w:t xml:space="preserve">Министерство финансов в настоящее время занимает по вопросу </w:t>
      </w:r>
      <w:r w:rsidR="003D3B63" w:rsidRPr="00BD491F">
        <w:rPr>
          <w:rFonts w:ascii="Times New Roman" w:hAnsi="Times New Roman" w:cs="Times New Roman"/>
          <w:sz w:val="24"/>
          <w:szCs w:val="24"/>
        </w:rPr>
        <w:t xml:space="preserve">инвестирования средств ФНБ </w:t>
      </w:r>
      <w:r w:rsidRPr="00BD491F">
        <w:rPr>
          <w:rFonts w:ascii="Times New Roman" w:hAnsi="Times New Roman" w:cs="Times New Roman"/>
          <w:sz w:val="24"/>
          <w:szCs w:val="24"/>
        </w:rPr>
        <w:t xml:space="preserve">консервативную позицию. В ОНБП отмечается только, что средства ФНБ в 2020-2022 годах будут использоваться для </w:t>
      </w:r>
      <w:proofErr w:type="spellStart"/>
      <w:r w:rsidRPr="00BD491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D491F">
        <w:rPr>
          <w:rFonts w:ascii="Times New Roman" w:hAnsi="Times New Roman" w:cs="Times New Roman"/>
          <w:sz w:val="24"/>
          <w:szCs w:val="24"/>
        </w:rPr>
        <w:t xml:space="preserve"> добровольных пенсионных накоплений граждан РФ. </w:t>
      </w:r>
      <w:r w:rsidR="003D3B63" w:rsidRPr="00BD491F">
        <w:rPr>
          <w:rFonts w:ascii="Times New Roman" w:hAnsi="Times New Roman" w:cs="Times New Roman"/>
          <w:sz w:val="24"/>
          <w:szCs w:val="24"/>
        </w:rPr>
        <w:t xml:space="preserve">Министр финансов в сентябре 2019 г. заявил о возможности инвестирования части средств ФНБ, размещенной в ЦБ РФ и превышающей 7% ВВП в инфраструктурные облигации. </w:t>
      </w:r>
      <w:r w:rsidRPr="00BD491F">
        <w:rPr>
          <w:rFonts w:ascii="Times New Roman" w:hAnsi="Times New Roman" w:cs="Times New Roman"/>
          <w:sz w:val="24"/>
          <w:szCs w:val="24"/>
        </w:rPr>
        <w:t xml:space="preserve"> </w:t>
      </w:r>
      <w:r w:rsidR="00657D85" w:rsidRPr="00BD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7F" w:rsidRPr="003E087F" w:rsidRDefault="003E087F" w:rsidP="003E08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87F">
        <w:rPr>
          <w:rFonts w:ascii="Times New Roman" w:hAnsi="Times New Roman" w:cs="Times New Roman"/>
          <w:sz w:val="24"/>
          <w:szCs w:val="24"/>
        </w:rPr>
        <w:t>Предложения по размещению средств ФНБ в иные разрешенные активы обычно не сопровождаются оценками допустимых объемов такого размещения. Между тем, это один из наиболее существенных вопросов в данном обсуждении. Если тратить все ресурсы при превышении ликвидных средств ФНБ 7% ВВП, это будет равносильно повышению цены отсечения нефти до уровня современных и прогнозируемых цен на нефть, то есть до уровня 55-62 долл. за баррель нефти. Поэтому, и при расходовании средств ФНБ за рубежом и в России, целесообразно ограничивать объемы расходования средств, чтобы не вызвать перегрева экономики. При этом</w:t>
      </w:r>
      <w:proofErr w:type="gramStart"/>
      <w:r w:rsidRPr="003E08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87F">
        <w:rPr>
          <w:rFonts w:ascii="Times New Roman" w:hAnsi="Times New Roman" w:cs="Times New Roman"/>
          <w:sz w:val="24"/>
          <w:szCs w:val="24"/>
        </w:rPr>
        <w:t xml:space="preserve"> такое ограничение целесообразно закрепить законодательно, Другая часть средств, поступающих в  ФНБ будет продолжать накапливаться на счетах ЦБ РФ.</w:t>
      </w:r>
    </w:p>
    <w:p w:rsidR="00BD491F" w:rsidRDefault="003E087F" w:rsidP="003E08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87F">
        <w:rPr>
          <w:rFonts w:ascii="Times New Roman" w:hAnsi="Times New Roman" w:cs="Times New Roman"/>
          <w:sz w:val="24"/>
          <w:szCs w:val="24"/>
        </w:rPr>
        <w:t xml:space="preserve">При обсуждении направлений расходования средств ФНБ внутри страны при благоприятной конъюнктуре на мировых рынках нефти и газа необходимо отметить, что </w:t>
      </w:r>
      <w:r w:rsidRPr="003E087F">
        <w:rPr>
          <w:rFonts w:ascii="Times New Roman" w:hAnsi="Times New Roman" w:cs="Times New Roman"/>
          <w:sz w:val="24"/>
          <w:szCs w:val="24"/>
        </w:rPr>
        <w:lastRenderedPageBreak/>
        <w:t xml:space="preserve">речь идет именно о размещении в иные активы, прежде всего о финансовых и нефинансовых инвестициях, а не о расходовании ресурсов на текущие расходы (за исключением расходов на </w:t>
      </w:r>
      <w:proofErr w:type="spellStart"/>
      <w:r w:rsidRPr="003E087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E087F">
        <w:rPr>
          <w:rFonts w:ascii="Times New Roman" w:hAnsi="Times New Roman" w:cs="Times New Roman"/>
          <w:sz w:val="24"/>
          <w:szCs w:val="24"/>
        </w:rPr>
        <w:t xml:space="preserve"> пенсионных накоплений). Поэтому можно одновременно обсуждать направления и объемы инвестирования средств из ФНБ и ослабление бюджетного правила через увеличение цены отсечения. Последняя мера позволяет увеличить все расходы федерального бюджета, в том числе текущие расходы. Именно таким образом можно в современных условиях повысить расходы на человеческий капитал – на образование и здравоохранение. Увеличение цены отсечения на 5 долл. за баррель в современных условиях равносильно увеличению базовых нефтегазовых доходов федерального бюджета и расходов федерального бюджета примерно на 700 </w:t>
      </w:r>
      <w:proofErr w:type="gramStart"/>
      <w:r w:rsidRPr="003E087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3E087F">
        <w:rPr>
          <w:rFonts w:ascii="Times New Roman" w:hAnsi="Times New Roman" w:cs="Times New Roman"/>
          <w:sz w:val="24"/>
          <w:szCs w:val="24"/>
        </w:rPr>
        <w:t xml:space="preserve"> руб. Соответственно, на такую сумму сократятся масштабы накопления средств в ФНБ. Например, если бы бюджетное правило было бы ослаблено в 2019 г., объем ФНБ в 2020 г увеличился бы не на  2,85 </w:t>
      </w:r>
      <w:proofErr w:type="gramStart"/>
      <w:r w:rsidRPr="003E087F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3E087F">
        <w:rPr>
          <w:rFonts w:ascii="Times New Roman" w:hAnsi="Times New Roman" w:cs="Times New Roman"/>
          <w:sz w:val="24"/>
          <w:szCs w:val="24"/>
        </w:rPr>
        <w:t xml:space="preserve"> руб., а на 2,15 трлн руб.</w:t>
      </w:r>
      <w:r w:rsidR="00714C69" w:rsidRPr="008E7C42">
        <w:rPr>
          <w:rFonts w:ascii="Times New Roman" w:hAnsi="Times New Roman" w:cs="Times New Roman"/>
          <w:sz w:val="24"/>
          <w:szCs w:val="24"/>
        </w:rPr>
        <w:t>.</w:t>
      </w:r>
    </w:p>
    <w:p w:rsidR="00F670CF" w:rsidRPr="008E7C42" w:rsidRDefault="00714C69" w:rsidP="00291B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C42">
        <w:rPr>
          <w:rFonts w:ascii="Times New Roman" w:hAnsi="Times New Roman" w:cs="Times New Roman"/>
          <w:sz w:val="24"/>
          <w:szCs w:val="24"/>
        </w:rPr>
        <w:t xml:space="preserve"> </w:t>
      </w:r>
      <w:r w:rsidR="00FF46CD" w:rsidRPr="008E7C42">
        <w:rPr>
          <w:rFonts w:ascii="Times New Roman" w:hAnsi="Times New Roman" w:cs="Times New Roman"/>
          <w:sz w:val="24"/>
          <w:szCs w:val="24"/>
        </w:rPr>
        <w:t>П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5318D" w:rsidRPr="008E7C42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3E087F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55318D" w:rsidRPr="008E7C42">
        <w:rPr>
          <w:rFonts w:ascii="Times New Roman" w:hAnsi="Times New Roman" w:cs="Times New Roman"/>
          <w:sz w:val="24"/>
          <w:szCs w:val="24"/>
        </w:rPr>
        <w:t>бюджете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 </w:t>
      </w:r>
      <w:r w:rsidR="00FF46CD" w:rsidRPr="008E7C4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6D6CFE" w:rsidRPr="008E7C42">
        <w:rPr>
          <w:rFonts w:ascii="Times New Roman" w:hAnsi="Times New Roman" w:cs="Times New Roman"/>
          <w:sz w:val="24"/>
          <w:szCs w:val="24"/>
        </w:rPr>
        <w:t>со</w:t>
      </w:r>
      <w:r w:rsidR="0055318D" w:rsidRPr="008E7C42">
        <w:rPr>
          <w:rFonts w:ascii="Times New Roman" w:hAnsi="Times New Roman" w:cs="Times New Roman"/>
          <w:sz w:val="24"/>
          <w:szCs w:val="24"/>
        </w:rPr>
        <w:t>хранение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 дол</w:t>
      </w:r>
      <w:r w:rsidR="00FF46CD" w:rsidRPr="008E7C42">
        <w:rPr>
          <w:rFonts w:ascii="Times New Roman" w:hAnsi="Times New Roman" w:cs="Times New Roman"/>
          <w:sz w:val="24"/>
          <w:szCs w:val="24"/>
        </w:rPr>
        <w:t>и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 в ВВП расходов на оборону и</w:t>
      </w:r>
      <w:r w:rsidR="0055318D" w:rsidRPr="008E7C42">
        <w:rPr>
          <w:rFonts w:ascii="Times New Roman" w:hAnsi="Times New Roman" w:cs="Times New Roman"/>
          <w:sz w:val="24"/>
          <w:szCs w:val="24"/>
        </w:rPr>
        <w:t xml:space="preserve"> снижение доли расходов на</w:t>
      </w:r>
      <w:r w:rsidR="00A61FB6">
        <w:rPr>
          <w:rFonts w:ascii="Times New Roman" w:hAnsi="Times New Roman" w:cs="Times New Roman"/>
          <w:sz w:val="24"/>
          <w:szCs w:val="24"/>
        </w:rPr>
        <w:t xml:space="preserve"> национальную экономику. П</w:t>
      </w:r>
      <w:r w:rsidR="006D6CFE" w:rsidRPr="008E7C42">
        <w:rPr>
          <w:rFonts w:ascii="Times New Roman" w:hAnsi="Times New Roman" w:cs="Times New Roman"/>
          <w:sz w:val="24"/>
          <w:szCs w:val="24"/>
        </w:rPr>
        <w:t>оследнее не вполне логично, поскольку с этим разделом связана большая часть расходов на реализацию национальных проектов. Однако</w:t>
      </w:r>
      <w:proofErr w:type="gramStart"/>
      <w:r w:rsidR="006D6CFE" w:rsidRPr="008E7C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6CFE" w:rsidRPr="008E7C42">
        <w:rPr>
          <w:rFonts w:ascii="Times New Roman" w:hAnsi="Times New Roman" w:cs="Times New Roman"/>
          <w:sz w:val="24"/>
          <w:szCs w:val="24"/>
        </w:rPr>
        <w:t xml:space="preserve"> основной структурный сдвиг </w:t>
      </w:r>
      <w:r w:rsidR="00110880" w:rsidRPr="008E7C42">
        <w:rPr>
          <w:rFonts w:ascii="Times New Roman" w:hAnsi="Times New Roman" w:cs="Times New Roman"/>
          <w:sz w:val="24"/>
          <w:szCs w:val="24"/>
        </w:rPr>
        <w:t>связан с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 сокращением доли социальных расходов в ВВП, </w:t>
      </w:r>
      <w:r w:rsidR="00110880" w:rsidRPr="008E7C4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BD491F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110880" w:rsidRPr="008E7C42">
        <w:rPr>
          <w:rFonts w:ascii="Times New Roman" w:hAnsi="Times New Roman" w:cs="Times New Roman"/>
          <w:sz w:val="24"/>
          <w:szCs w:val="24"/>
        </w:rPr>
        <w:t>объясняется</w:t>
      </w:r>
      <w:r w:rsidR="006D6CFE" w:rsidRPr="008E7C42">
        <w:rPr>
          <w:rFonts w:ascii="Times New Roman" w:hAnsi="Times New Roman" w:cs="Times New Roman"/>
          <w:sz w:val="24"/>
          <w:szCs w:val="24"/>
        </w:rPr>
        <w:t xml:space="preserve"> увеличением возраста выхода на пенсию. </w:t>
      </w:r>
    </w:p>
    <w:p w:rsidR="00F670CF" w:rsidRPr="008E7C42" w:rsidRDefault="00F670CF" w:rsidP="008E7C42">
      <w:pPr>
        <w:rPr>
          <w:rFonts w:ascii="Times New Roman" w:hAnsi="Times New Roman" w:cs="Times New Roman"/>
          <w:b/>
          <w:sz w:val="24"/>
          <w:szCs w:val="24"/>
        </w:rPr>
      </w:pPr>
      <w:r w:rsidRPr="008E7C4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7C42" w:rsidRPr="008E7C42">
        <w:rPr>
          <w:rFonts w:ascii="Times New Roman" w:hAnsi="Times New Roman" w:cs="Times New Roman"/>
          <w:b/>
          <w:sz w:val="24"/>
          <w:szCs w:val="24"/>
        </w:rPr>
        <w:t>5</w:t>
      </w:r>
      <w:r w:rsidRPr="008E7C42">
        <w:rPr>
          <w:rFonts w:ascii="Times New Roman" w:hAnsi="Times New Roman" w:cs="Times New Roman"/>
          <w:b/>
          <w:sz w:val="24"/>
          <w:szCs w:val="24"/>
        </w:rPr>
        <w:t>. Структура расходов федерального бюджета в 2014</w:t>
      </w:r>
      <w:r w:rsidR="005B4ECD" w:rsidRPr="008E7C42">
        <w:rPr>
          <w:rFonts w:ascii="Times New Roman" w:hAnsi="Times New Roman" w:cs="Times New Roman"/>
          <w:b/>
          <w:sz w:val="24"/>
          <w:szCs w:val="24"/>
        </w:rPr>
        <w:t>-</w:t>
      </w:r>
      <w:r w:rsidRPr="008E7C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4ECD" w:rsidRPr="008E7C42">
        <w:rPr>
          <w:rFonts w:ascii="Times New Roman" w:hAnsi="Times New Roman" w:cs="Times New Roman"/>
          <w:b/>
          <w:sz w:val="24"/>
          <w:szCs w:val="24"/>
        </w:rPr>
        <w:t>2</w:t>
      </w:r>
      <w:r w:rsidRPr="008E7C42">
        <w:rPr>
          <w:rFonts w:ascii="Times New Roman" w:hAnsi="Times New Roman" w:cs="Times New Roman"/>
          <w:b/>
          <w:sz w:val="24"/>
          <w:szCs w:val="24"/>
        </w:rPr>
        <w:t xml:space="preserve"> годах (</w:t>
      </w:r>
      <w:proofErr w:type="gramStart"/>
      <w:r w:rsidRPr="008E7C4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7C42">
        <w:rPr>
          <w:rFonts w:ascii="Times New Roman" w:hAnsi="Times New Roman" w:cs="Times New Roman"/>
          <w:b/>
          <w:sz w:val="24"/>
          <w:szCs w:val="24"/>
        </w:rPr>
        <w:t xml:space="preserve"> % к ВВП)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81"/>
        <w:gridCol w:w="820"/>
        <w:gridCol w:w="885"/>
        <w:gridCol w:w="885"/>
        <w:gridCol w:w="716"/>
        <w:gridCol w:w="821"/>
        <w:gridCol w:w="820"/>
        <w:gridCol w:w="818"/>
        <w:gridCol w:w="716"/>
        <w:gridCol w:w="716"/>
      </w:tblGrid>
      <w:tr w:rsidR="00FD6B82" w:rsidRPr="00F670CF" w:rsidTr="0055318D">
        <w:trPr>
          <w:trHeight w:val="28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B82" w:rsidRPr="00081CEB" w:rsidRDefault="00FD6B82" w:rsidP="00F6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55318D" w:rsidRPr="00162973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гос.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55318D" w:rsidRPr="00F670CF" w:rsidTr="0055318D">
        <w:trPr>
          <w:trHeight w:val="2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081CEB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FD6B8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55318D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B3973" w:rsidRPr="00F670CF" w:rsidTr="0055318D">
        <w:trPr>
          <w:trHeight w:val="52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973" w:rsidRPr="00081CEB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реализации Указа № 204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73" w:rsidRPr="00FD6B82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73" w:rsidRPr="00FD6B82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73" w:rsidRPr="00FD6B82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73" w:rsidRPr="00FD6B82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73" w:rsidRPr="00FD6B82" w:rsidRDefault="00DB3973" w:rsidP="00F6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73" w:rsidRPr="0055318D" w:rsidRDefault="00DB39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73" w:rsidRPr="0055318D" w:rsidRDefault="00DB39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73" w:rsidRPr="0055318D" w:rsidRDefault="00DB39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973" w:rsidRPr="0055318D" w:rsidRDefault="00DB39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31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</w:tbl>
    <w:p w:rsidR="00F670CF" w:rsidRDefault="000E15B9" w:rsidP="00F670CF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Минфин РФ</w:t>
      </w:r>
      <w:r w:rsidR="003C702A">
        <w:rPr>
          <w:rFonts w:ascii="Times New Roman" w:hAnsi="Times New Roman" w:cs="Times New Roman"/>
          <w:sz w:val="24"/>
          <w:szCs w:val="24"/>
        </w:rPr>
        <w:t>, Росстат.</w:t>
      </w:r>
    </w:p>
    <w:p w:rsidR="00BD491F" w:rsidRPr="00BD491F" w:rsidRDefault="00BD491F" w:rsidP="00BD491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t>Расходы на социальную политику из федерального бюджета в 2020 году по сравнению с 2019 г. увеличатся на 3,2%, т. е. практически на величину, сравнимую с ИПЦ.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491F">
        <w:rPr>
          <w:rFonts w:ascii="Times New Roman" w:hAnsi="Times New Roman" w:cs="Times New Roman"/>
          <w:sz w:val="24"/>
          <w:szCs w:val="24"/>
        </w:rPr>
        <w:t xml:space="preserve">о традиционным направлениям социальной политики темпы роста расходов федерального бюджета не очень велики. Так, например, замороженный еще в 2015 г. размер материнского капитала будет увеличен на 3% в 2020 году. </w:t>
      </w:r>
      <w:proofErr w:type="gramStart"/>
      <w:r w:rsidRPr="00BD491F">
        <w:rPr>
          <w:rFonts w:ascii="Times New Roman" w:hAnsi="Times New Roman" w:cs="Times New Roman"/>
          <w:sz w:val="24"/>
          <w:szCs w:val="24"/>
        </w:rPr>
        <w:t>Если отсутствие его индексации в 2015-2018 гг. не сильно влияло на реальное  содержание величины данного показателя, так как оно колебалось на уровне стоимости 8,6 кв. м. общей площади типовой квартиры среднего качества в силу торможения цен на рынке жилья, то в 1 полугодии 2019 г. его реальное содержание снизилось до 8,2 кв. м. жилья, что  близко к значением, наблюдавшимися в</w:t>
      </w:r>
      <w:proofErr w:type="gramEnd"/>
      <w:r w:rsidRPr="00BD491F">
        <w:rPr>
          <w:rFonts w:ascii="Times New Roman" w:hAnsi="Times New Roman" w:cs="Times New Roman"/>
          <w:sz w:val="24"/>
          <w:szCs w:val="24"/>
        </w:rPr>
        <w:t xml:space="preserve"> 2013 - 2014 гг.  (около 8,0 – 8,1 кв. м.). </w:t>
      </w:r>
    </w:p>
    <w:p w:rsidR="00BD491F" w:rsidRPr="00BD491F" w:rsidRDefault="00BD491F" w:rsidP="00BD491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t xml:space="preserve">Небольшой темп индексации материнского капитала вряд ли окажет заметное влияние на рождаемость, рост которой запланирован в рамках Национального проекта «Демография». В 2018 г. рождаемость была ниже прогнозируемой, и тренд на снижение рождаемости не был изменен на ее рост в 2019 г., как планировалось: наоборот, снижение рождаемости в 2019 г. ускорилось.  </w:t>
      </w:r>
    </w:p>
    <w:p w:rsidR="00BD491F" w:rsidRPr="00BD491F" w:rsidRDefault="00BD491F" w:rsidP="00BD491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1F">
        <w:rPr>
          <w:rFonts w:ascii="Times New Roman" w:hAnsi="Times New Roman" w:cs="Times New Roman"/>
          <w:sz w:val="24"/>
          <w:szCs w:val="24"/>
        </w:rPr>
        <w:t>С другой стороны, запланировано финансирование новых мер в области социальной политики: более половины средств, направляемых на увеличение расходов по разделу социальная политика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1F">
        <w:rPr>
          <w:rFonts w:ascii="Times New Roman" w:hAnsi="Times New Roman" w:cs="Times New Roman"/>
          <w:sz w:val="24"/>
          <w:szCs w:val="24"/>
        </w:rPr>
        <w:t xml:space="preserve"> связаны с реализацией национального проекта «Демография». С 1 января 2020 года вводятся ежемесячные выплаты гражданам, находящимся в отпуске по уходу за ребенком в возрасте от полутора до трех лет, в размере, равном величине прожиточного минимума для детей, определенном в субъекте Российской Федерации. Изменяется и критерий нуждаемости семей с 1,5 до 2-кратной величины прожиточного минимума. Представляется, что данные меры могут способствовать росту рождаемости и повышению благосостояния населения Российской Федерации.</w:t>
      </w:r>
    </w:p>
    <w:p w:rsidR="00BD491F" w:rsidRDefault="00BD491F" w:rsidP="00BD491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91F">
        <w:rPr>
          <w:rFonts w:ascii="Times New Roman" w:hAnsi="Times New Roman" w:cs="Times New Roman"/>
          <w:sz w:val="24"/>
          <w:szCs w:val="24"/>
        </w:rPr>
        <w:lastRenderedPageBreak/>
        <w:t>Индексация (увеличение) страховой пенсии и фиксированной выплаты к ней с 1 января 2020 года планируется в размере 6,6%, при этом в среднем страховая пенсия вырастет на 5,2%, а страховая пенсия неработающих пенсионеров на 6,0%.  Индексация социальных пенсий и  пенсий по государственному пенсионному обеспечению пройдет 1 апреля 2020 г. и составит 7%. В результате средний размер пенсии увеличится на 5,2%.  Таким</w:t>
      </w:r>
      <w:proofErr w:type="gramEnd"/>
      <w:r w:rsidRPr="00BD491F">
        <w:rPr>
          <w:rFonts w:ascii="Times New Roman" w:hAnsi="Times New Roman" w:cs="Times New Roman"/>
          <w:sz w:val="24"/>
          <w:szCs w:val="24"/>
        </w:rPr>
        <w:t xml:space="preserve"> образом, пенсии будут расти более высоким темпом, чем ИПЦ. Численность пенсионеров в 2020 году сократится на 0,5% по сравнению с 2019 г. Расходы ПФРФ в результате роста пенсий и снижения численности пенсионеров в 2020 году увеличатся на 5,2% по сравнению с 2019 г. По-прежнему не планируется индексация пенсий 9,7 млн. работающих пенсионеров. Так как высокие темпы индексации пенсий неработающих пенсионеров при ее отсутствии для работающих пенсионеров введены в 2019 г., то данные за 2019 год позволят провести анализ, наблюдается ли выход части работающих пенсионеров с официального рынка труда, что позволит сделать корректировки бюджета ПФРФ в части расходов на пенсии.</w:t>
      </w:r>
    </w:p>
    <w:p w:rsidR="008A11B7" w:rsidRDefault="008A11B7" w:rsidP="008A11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 году расходы федерального бюджета на </w:t>
      </w:r>
      <w:r w:rsidRPr="00BD1019">
        <w:rPr>
          <w:rFonts w:ascii="Times New Roman" w:hAnsi="Times New Roman" w:cs="Times New Roman"/>
          <w:sz w:val="24"/>
          <w:szCs w:val="24"/>
        </w:rPr>
        <w:t>здравоохранение</w:t>
      </w:r>
      <w:r w:rsidRPr="007A4597">
        <w:rPr>
          <w:rFonts w:ascii="Times New Roman" w:hAnsi="Times New Roman" w:cs="Times New Roman"/>
          <w:sz w:val="24"/>
          <w:szCs w:val="24"/>
        </w:rPr>
        <w:t xml:space="preserve"> по сравнению с 2019 годом увеличиваются на 38,3%, что приведет к росту их отношения к ВВ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4597">
        <w:rPr>
          <w:rFonts w:ascii="Times New Roman" w:hAnsi="Times New Roman" w:cs="Times New Roman"/>
          <w:sz w:val="24"/>
          <w:szCs w:val="24"/>
        </w:rPr>
        <w:t xml:space="preserve"> на 0,1 </w:t>
      </w:r>
      <w:proofErr w:type="spellStart"/>
      <w:r w:rsidRPr="007A459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A4597">
        <w:rPr>
          <w:rFonts w:ascii="Times New Roman" w:hAnsi="Times New Roman" w:cs="Times New Roman"/>
          <w:sz w:val="24"/>
          <w:szCs w:val="24"/>
        </w:rPr>
        <w:t>. с 0,7 до 0,8%.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финансирование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Pr="00854950">
        <w:rPr>
          <w:rFonts w:ascii="Times New Roman" w:hAnsi="Times New Roman" w:cs="Times New Roman"/>
          <w:sz w:val="24"/>
          <w:szCs w:val="24"/>
        </w:rPr>
        <w:t xml:space="preserve"> предоставление субъектам Российской Федерации субвенций на лекарственное обеспечение отдельных категорий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50">
        <w:rPr>
          <w:rFonts w:ascii="Times New Roman" w:hAnsi="Times New Roman" w:cs="Times New Roman"/>
          <w:sz w:val="24"/>
          <w:szCs w:val="24"/>
        </w:rPr>
        <w:t xml:space="preserve">реализацию мероприятий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4950">
        <w:rPr>
          <w:rFonts w:ascii="Times New Roman" w:hAnsi="Times New Roman" w:cs="Times New Roman"/>
          <w:sz w:val="24"/>
          <w:szCs w:val="24"/>
        </w:rPr>
        <w:t>Здравоохранение</w:t>
      </w:r>
      <w:r>
        <w:rPr>
          <w:rFonts w:ascii="Times New Roman" w:hAnsi="Times New Roman" w:cs="Times New Roman"/>
          <w:sz w:val="24"/>
          <w:szCs w:val="24"/>
        </w:rPr>
        <w:t>», на закупку лекарств. В рамках национального проекта «Здравоохранение» почти две трети прироста финансирования  направляется на б</w:t>
      </w:r>
      <w:r w:rsidRPr="00854950">
        <w:rPr>
          <w:rFonts w:ascii="Times New Roman" w:hAnsi="Times New Roman" w:cs="Times New Roman"/>
          <w:sz w:val="24"/>
          <w:szCs w:val="24"/>
        </w:rPr>
        <w:t>орьб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4950">
        <w:rPr>
          <w:rFonts w:ascii="Times New Roman" w:hAnsi="Times New Roman" w:cs="Times New Roman"/>
          <w:sz w:val="24"/>
          <w:szCs w:val="24"/>
        </w:rPr>
        <w:t xml:space="preserve"> с онкологическими заболеваниями</w:t>
      </w:r>
      <w:r w:rsidRPr="006F636C">
        <w:rPr>
          <w:rFonts w:ascii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F636C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F636C">
        <w:rPr>
          <w:rFonts w:ascii="Times New Roman" w:hAnsi="Times New Roman" w:cs="Times New Roman"/>
          <w:sz w:val="24"/>
          <w:szCs w:val="24"/>
        </w:rPr>
        <w:t xml:space="preserve"> объектов региональной собственности</w:t>
      </w:r>
      <w:r>
        <w:rPr>
          <w:rFonts w:ascii="Times New Roman" w:hAnsi="Times New Roman" w:cs="Times New Roman"/>
          <w:sz w:val="24"/>
          <w:szCs w:val="24"/>
        </w:rPr>
        <w:t>), более 22% на реализацию ф</w:t>
      </w:r>
      <w:r w:rsidRPr="006F636C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636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636C">
        <w:rPr>
          <w:rFonts w:ascii="Times New Roman" w:hAnsi="Times New Roman" w:cs="Times New Roman"/>
          <w:sz w:val="24"/>
          <w:szCs w:val="24"/>
        </w:rPr>
        <w:t xml:space="preserve"> "Создание единого цифрового контура в здравоохранении на основе единой государственной информационной системы здравоохранения (ЕГИСЗ)"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1B7" w:rsidRDefault="008A11B7" w:rsidP="008A11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федерального бюджета по разделу «Образование» останутся в 2020 году почти на уровне 2019 г. (увеличение составит всего 1,3%, что заметно ниже темпа роста ИПЦ). Значительная часть дополнительного финансирования будет направлена </w:t>
      </w:r>
      <w:r w:rsidRPr="009850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985047">
        <w:rPr>
          <w:rFonts w:ascii="Times New Roman" w:hAnsi="Times New Roman" w:cs="Times New Roman"/>
          <w:sz w:val="24"/>
          <w:szCs w:val="24"/>
        </w:rPr>
        <w:t xml:space="preserve">национальных проектов </w:t>
      </w:r>
      <w:r>
        <w:rPr>
          <w:rFonts w:ascii="Times New Roman" w:hAnsi="Times New Roman" w:cs="Times New Roman"/>
          <w:sz w:val="24"/>
          <w:szCs w:val="24"/>
        </w:rPr>
        <w:t>«Образование» и «Демография».</w:t>
      </w:r>
      <w:r w:rsidRPr="00E5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трех четвертей </w:t>
      </w:r>
      <w:r w:rsidRPr="00E54D05">
        <w:rPr>
          <w:rFonts w:ascii="Times New Roman" w:hAnsi="Times New Roman" w:cs="Times New Roman"/>
          <w:sz w:val="24"/>
          <w:szCs w:val="24"/>
        </w:rPr>
        <w:t>(77</w:t>
      </w:r>
      <w:r>
        <w:rPr>
          <w:rFonts w:ascii="Times New Roman" w:hAnsi="Times New Roman" w:cs="Times New Roman"/>
          <w:sz w:val="24"/>
          <w:szCs w:val="24"/>
        </w:rPr>
        <w:t xml:space="preserve">,8%) прироста финансирования в 2020 г. по сравнению с 2019 г. по национальному проекту «Образование» будет направлено на </w:t>
      </w:r>
      <w:r w:rsidRPr="00E5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54D05">
        <w:rPr>
          <w:rFonts w:ascii="Times New Roman" w:hAnsi="Times New Roman" w:cs="Times New Roman"/>
          <w:sz w:val="24"/>
          <w:szCs w:val="24"/>
        </w:rPr>
        <w:t>едеральный проект "Цифровая образовательная среда"</w:t>
      </w:r>
      <w:r>
        <w:rPr>
          <w:rFonts w:ascii="Times New Roman" w:hAnsi="Times New Roman" w:cs="Times New Roman"/>
          <w:sz w:val="24"/>
          <w:szCs w:val="24"/>
        </w:rPr>
        <w:t xml:space="preserve"> (практически все эти средства были зарезервированы еще  Законом №459-ФЗ). На 30% по сравнению с 2019 г. увеличено финансирование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проекта «Экспорт образования»</w:t>
      </w:r>
      <w:r w:rsidRPr="0049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(средства также были зарезервированы еще  Законом №459-ФЗ).</w:t>
      </w:r>
    </w:p>
    <w:p w:rsidR="008A11B7" w:rsidRDefault="008A11B7" w:rsidP="008A11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г. по </w:t>
      </w:r>
      <w:r w:rsidRPr="00E54D05">
        <w:rPr>
          <w:rFonts w:ascii="Times New Roman" w:hAnsi="Times New Roman" w:cs="Times New Roman"/>
          <w:sz w:val="24"/>
          <w:szCs w:val="24"/>
        </w:rPr>
        <w:t xml:space="preserve"> сравнению с объемами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,  </w:t>
      </w:r>
      <w:r w:rsidRPr="00E54D05">
        <w:rPr>
          <w:rFonts w:ascii="Times New Roman" w:hAnsi="Times New Roman" w:cs="Times New Roman"/>
          <w:sz w:val="24"/>
          <w:szCs w:val="24"/>
        </w:rPr>
        <w:t>утвержденными Законом № 459-ФЗ</w:t>
      </w:r>
      <w:r>
        <w:rPr>
          <w:rFonts w:ascii="Times New Roman" w:hAnsi="Times New Roman" w:cs="Times New Roman"/>
          <w:sz w:val="24"/>
          <w:szCs w:val="24"/>
        </w:rPr>
        <w:t xml:space="preserve">, увеличатся бюджеты федеральных проектов </w:t>
      </w:r>
      <w:r w:rsidRPr="00E54D05">
        <w:rPr>
          <w:rFonts w:ascii="Times New Roman" w:hAnsi="Times New Roman" w:cs="Times New Roman"/>
          <w:sz w:val="24"/>
          <w:szCs w:val="24"/>
        </w:rPr>
        <w:t>"Современная школа"</w:t>
      </w:r>
      <w:r>
        <w:rPr>
          <w:rFonts w:ascii="Times New Roman" w:hAnsi="Times New Roman" w:cs="Times New Roman"/>
          <w:sz w:val="24"/>
          <w:szCs w:val="24"/>
        </w:rPr>
        <w:t xml:space="preserve"> (средства направляются на </w:t>
      </w:r>
      <w:r w:rsidRPr="00E54D05">
        <w:rPr>
          <w:rFonts w:ascii="Times New Roman" w:hAnsi="Times New Roman" w:cs="Times New Roman"/>
          <w:sz w:val="24"/>
          <w:szCs w:val="24"/>
        </w:rPr>
        <w:t>модернизацию инфраструктуры общего образования в отдельных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54D05">
        <w:rPr>
          <w:rFonts w:ascii="Times New Roman" w:hAnsi="Times New Roman" w:cs="Times New Roman"/>
          <w:sz w:val="24"/>
          <w:szCs w:val="24"/>
        </w:rPr>
        <w:t xml:space="preserve"> </w:t>
      </w:r>
      <w:r w:rsidRPr="005542CC">
        <w:rPr>
          <w:rFonts w:ascii="Times New Roman" w:hAnsi="Times New Roman" w:cs="Times New Roman"/>
          <w:sz w:val="24"/>
          <w:szCs w:val="24"/>
        </w:rPr>
        <w:t>"Социальная активность"</w:t>
      </w:r>
      <w:r>
        <w:rPr>
          <w:rFonts w:ascii="Times New Roman" w:hAnsi="Times New Roman" w:cs="Times New Roman"/>
          <w:sz w:val="24"/>
          <w:szCs w:val="24"/>
        </w:rPr>
        <w:t xml:space="preserve"> (со</w:t>
      </w:r>
      <w:r w:rsidRPr="005542CC">
        <w:rPr>
          <w:rFonts w:ascii="Times New Roman" w:hAnsi="Times New Roman" w:cs="Times New Roman"/>
          <w:sz w:val="24"/>
          <w:szCs w:val="24"/>
        </w:rPr>
        <w:t>здание и эксплуатаци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542C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42C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ов).</w:t>
      </w:r>
    </w:p>
    <w:p w:rsidR="008A11B7" w:rsidRDefault="008A11B7" w:rsidP="008A11B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Выделение дополнительных средств в целях п</w:t>
      </w:r>
      <w:r w:rsidRPr="003F3790">
        <w:rPr>
          <w:rFonts w:ascii="Times New Roman" w:hAnsi="Times New Roman" w:cs="Times New Roman"/>
          <w:sz w:val="24"/>
          <w:szCs w:val="24"/>
        </w:rPr>
        <w:t xml:space="preserve">овышение оплаты труда работников здравоохранения </w:t>
      </w:r>
      <w:r>
        <w:rPr>
          <w:rFonts w:ascii="Times New Roman" w:hAnsi="Times New Roman" w:cs="Times New Roman"/>
          <w:sz w:val="24"/>
          <w:szCs w:val="24"/>
        </w:rPr>
        <w:t>и образования</w:t>
      </w:r>
      <w:r w:rsidRPr="003F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</w:t>
      </w:r>
      <w:r w:rsidRPr="003F3790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379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№ 597 в связи с прогнозируемыми темпами роста среднемесячной начисленной заработной платы в целом по Российской Федерации в 2020 году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на фоне у</w:t>
      </w:r>
      <w:r w:rsidRPr="003F3790">
        <w:rPr>
          <w:rFonts w:ascii="Times New Roman" w:hAnsi="Times New Roman" w:cs="Times New Roman"/>
          <w:sz w:val="24"/>
          <w:szCs w:val="24"/>
        </w:rPr>
        <w:t>меньшени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3790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оплату труда работников здравоохранения в связи с уточнением прогноз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вызывает определенные опасения в достаточности выделяемых средств на заработную плату тех категорий работников здравоохранения и образования, которые не подпадают под действие майского указа.</w:t>
      </w:r>
    </w:p>
    <w:p w:rsidR="00C73F05" w:rsidRDefault="004B67DD" w:rsidP="000E15B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55318D">
        <w:rPr>
          <w:rFonts w:ascii="Times New Roman" w:hAnsi="Times New Roman" w:cs="Times New Roman"/>
          <w:sz w:val="24"/>
          <w:szCs w:val="24"/>
        </w:rPr>
        <w:t xml:space="preserve">несмотря на небольшой рост расходов </w:t>
      </w:r>
      <w:r>
        <w:rPr>
          <w:rFonts w:ascii="Times New Roman" w:hAnsi="Times New Roman" w:cs="Times New Roman"/>
          <w:sz w:val="24"/>
          <w:szCs w:val="24"/>
        </w:rPr>
        <w:t>федерального бюджета как доли в ВВП</w:t>
      </w:r>
      <w:r w:rsidR="0055318D">
        <w:rPr>
          <w:rFonts w:ascii="Times New Roman" w:hAnsi="Times New Roman" w:cs="Times New Roman"/>
          <w:sz w:val="24"/>
          <w:szCs w:val="24"/>
        </w:rPr>
        <w:t>,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8D">
        <w:rPr>
          <w:rFonts w:ascii="Times New Roman" w:hAnsi="Times New Roman" w:cs="Times New Roman"/>
          <w:sz w:val="24"/>
          <w:szCs w:val="24"/>
        </w:rPr>
        <w:t>консервирует</w:t>
      </w:r>
      <w:r w:rsidR="005B4ECD">
        <w:rPr>
          <w:rFonts w:ascii="Times New Roman" w:hAnsi="Times New Roman" w:cs="Times New Roman"/>
          <w:sz w:val="24"/>
          <w:szCs w:val="24"/>
        </w:rPr>
        <w:t xml:space="preserve"> сложивш</w:t>
      </w:r>
      <w:r w:rsidR="0055318D">
        <w:rPr>
          <w:rFonts w:ascii="Times New Roman" w:hAnsi="Times New Roman" w:cs="Times New Roman"/>
          <w:sz w:val="24"/>
          <w:szCs w:val="24"/>
        </w:rPr>
        <w:t>ую</w:t>
      </w:r>
      <w:r w:rsidR="005B4EC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5531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5318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существенно увеличить производительные расходы бюджета –</w:t>
      </w:r>
      <w:r w:rsidR="000B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образование, здравоохранение, инфраструктурные инвестиции, даже в условиях реализации национальных проектов. </w:t>
      </w:r>
      <w:r w:rsidR="00A61FB6">
        <w:rPr>
          <w:rFonts w:ascii="Times New Roman" w:hAnsi="Times New Roman" w:cs="Times New Roman"/>
          <w:sz w:val="24"/>
          <w:szCs w:val="24"/>
        </w:rPr>
        <w:t>Необходимо дополнительно проанализировать риски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FB6">
        <w:rPr>
          <w:rFonts w:ascii="Times New Roman" w:hAnsi="Times New Roman" w:cs="Times New Roman"/>
          <w:sz w:val="24"/>
          <w:szCs w:val="24"/>
        </w:rPr>
        <w:t xml:space="preserve">неполной реализации </w:t>
      </w:r>
      <w:r>
        <w:rPr>
          <w:rFonts w:ascii="Times New Roman" w:hAnsi="Times New Roman" w:cs="Times New Roman"/>
          <w:sz w:val="24"/>
          <w:szCs w:val="24"/>
        </w:rPr>
        <w:t>национальных проектов</w:t>
      </w:r>
      <w:r w:rsidR="00355578">
        <w:rPr>
          <w:rFonts w:ascii="Times New Roman" w:hAnsi="Times New Roman" w:cs="Times New Roman"/>
          <w:sz w:val="24"/>
          <w:szCs w:val="24"/>
        </w:rPr>
        <w:t xml:space="preserve"> в связи с недостаточным финансированием из федерального бюджета.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2A" w:rsidRDefault="00190FF3" w:rsidP="003C702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FF3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190FF3">
        <w:rPr>
          <w:rFonts w:ascii="Times New Roman" w:hAnsi="Times New Roman" w:cs="Times New Roman"/>
          <w:sz w:val="24"/>
          <w:szCs w:val="24"/>
        </w:rPr>
        <w:t xml:space="preserve"> в случае расходов федерального бюджета, производительные расходы бюджетной системы, увеличивающие человеческий капитал</w:t>
      </w:r>
      <w:r w:rsidR="002C7551">
        <w:rPr>
          <w:rFonts w:ascii="Times New Roman" w:hAnsi="Times New Roman" w:cs="Times New Roman"/>
          <w:sz w:val="24"/>
          <w:szCs w:val="24"/>
        </w:rPr>
        <w:t>,</w:t>
      </w:r>
      <w:r w:rsidRPr="00190FF3">
        <w:rPr>
          <w:rFonts w:ascii="Times New Roman" w:hAnsi="Times New Roman" w:cs="Times New Roman"/>
          <w:sz w:val="24"/>
          <w:szCs w:val="24"/>
        </w:rPr>
        <w:t xml:space="preserve"> в проектировках Минфина до 2022 года </w:t>
      </w:r>
      <w:r w:rsidR="0055318D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190FF3">
        <w:rPr>
          <w:rFonts w:ascii="Times New Roman" w:hAnsi="Times New Roman" w:cs="Times New Roman"/>
          <w:sz w:val="24"/>
          <w:szCs w:val="24"/>
        </w:rPr>
        <w:t xml:space="preserve">не </w:t>
      </w:r>
      <w:r w:rsidR="0055318D">
        <w:rPr>
          <w:rFonts w:ascii="Times New Roman" w:hAnsi="Times New Roman" w:cs="Times New Roman"/>
          <w:sz w:val="24"/>
          <w:szCs w:val="24"/>
        </w:rPr>
        <w:t>растут</w:t>
      </w:r>
      <w:r w:rsidRPr="00190FF3">
        <w:rPr>
          <w:rFonts w:ascii="Times New Roman" w:hAnsi="Times New Roman" w:cs="Times New Roman"/>
          <w:sz w:val="24"/>
          <w:szCs w:val="24"/>
        </w:rPr>
        <w:t xml:space="preserve">. Под влиянием увеличения пенсионного возраста в 2020-2022 гг. заметно сокращается </w:t>
      </w:r>
      <w:r w:rsidR="002C7551">
        <w:rPr>
          <w:rFonts w:ascii="Times New Roman" w:hAnsi="Times New Roman" w:cs="Times New Roman"/>
          <w:sz w:val="24"/>
          <w:szCs w:val="24"/>
        </w:rPr>
        <w:t xml:space="preserve">доля в ВВП </w:t>
      </w:r>
      <w:r w:rsidRPr="00190FF3">
        <w:rPr>
          <w:rFonts w:ascii="Times New Roman" w:hAnsi="Times New Roman" w:cs="Times New Roman"/>
          <w:sz w:val="24"/>
          <w:szCs w:val="24"/>
        </w:rPr>
        <w:t>расходов</w:t>
      </w:r>
      <w:r w:rsidR="00BD491F">
        <w:rPr>
          <w:rFonts w:ascii="Times New Roman" w:hAnsi="Times New Roman" w:cs="Times New Roman"/>
          <w:sz w:val="24"/>
          <w:szCs w:val="24"/>
        </w:rPr>
        <w:t xml:space="preserve"> расширенного бюджета</w:t>
      </w:r>
      <w:r w:rsidRPr="00190FF3">
        <w:rPr>
          <w:rFonts w:ascii="Times New Roman" w:hAnsi="Times New Roman" w:cs="Times New Roman"/>
          <w:sz w:val="24"/>
          <w:szCs w:val="24"/>
        </w:rPr>
        <w:t xml:space="preserve"> на социальную политику</w:t>
      </w:r>
      <w:r w:rsidR="003C702A" w:rsidRPr="003C702A">
        <w:rPr>
          <w:rFonts w:ascii="Times New Roman" w:hAnsi="Times New Roman" w:cs="Times New Roman"/>
          <w:sz w:val="24"/>
          <w:szCs w:val="24"/>
        </w:rPr>
        <w:t>.</w:t>
      </w:r>
    </w:p>
    <w:p w:rsidR="003C702A" w:rsidRPr="003C702A" w:rsidRDefault="003C702A" w:rsidP="008E7C4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702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E7C42">
        <w:rPr>
          <w:rFonts w:ascii="Times New Roman" w:hAnsi="Times New Roman" w:cs="Times New Roman"/>
          <w:b/>
          <w:sz w:val="24"/>
          <w:szCs w:val="24"/>
        </w:rPr>
        <w:t>6</w:t>
      </w:r>
      <w:r w:rsidRPr="003C702A">
        <w:rPr>
          <w:rFonts w:ascii="Times New Roman" w:hAnsi="Times New Roman" w:cs="Times New Roman"/>
          <w:b/>
          <w:sz w:val="24"/>
          <w:szCs w:val="24"/>
        </w:rPr>
        <w:t xml:space="preserve">. Структура расходов </w:t>
      </w:r>
      <w:r>
        <w:rPr>
          <w:rFonts w:ascii="Times New Roman" w:hAnsi="Times New Roman" w:cs="Times New Roman"/>
          <w:b/>
          <w:sz w:val="24"/>
          <w:szCs w:val="24"/>
        </w:rPr>
        <w:t>бюджетов бюджетной системы</w:t>
      </w:r>
      <w:r w:rsidRPr="003C702A">
        <w:rPr>
          <w:rFonts w:ascii="Times New Roman" w:hAnsi="Times New Roman" w:cs="Times New Roman"/>
          <w:b/>
          <w:sz w:val="24"/>
          <w:szCs w:val="24"/>
        </w:rPr>
        <w:t xml:space="preserve"> в 2014</w:t>
      </w:r>
      <w:r w:rsidR="0079363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C70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4ECD">
        <w:rPr>
          <w:rFonts w:ascii="Times New Roman" w:hAnsi="Times New Roman" w:cs="Times New Roman"/>
          <w:b/>
          <w:sz w:val="24"/>
          <w:szCs w:val="24"/>
        </w:rPr>
        <w:t>2</w:t>
      </w:r>
      <w:r w:rsidRPr="003C702A">
        <w:rPr>
          <w:rFonts w:ascii="Times New Roman" w:hAnsi="Times New Roman" w:cs="Times New Roman"/>
          <w:b/>
          <w:sz w:val="24"/>
          <w:szCs w:val="24"/>
        </w:rPr>
        <w:t xml:space="preserve"> годах (</w:t>
      </w:r>
      <w:proofErr w:type="gramStart"/>
      <w:r w:rsidRPr="003C70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C702A">
        <w:rPr>
          <w:rFonts w:ascii="Times New Roman" w:hAnsi="Times New Roman" w:cs="Times New Roman"/>
          <w:b/>
          <w:sz w:val="24"/>
          <w:szCs w:val="24"/>
        </w:rPr>
        <w:t xml:space="preserve"> % к ВВП)  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2283"/>
        <w:gridCol w:w="851"/>
        <w:gridCol w:w="709"/>
        <w:gridCol w:w="708"/>
        <w:gridCol w:w="709"/>
        <w:gridCol w:w="852"/>
        <w:gridCol w:w="851"/>
        <w:gridCol w:w="849"/>
        <w:gridCol w:w="708"/>
        <w:gridCol w:w="708"/>
      </w:tblGrid>
      <w:tr w:rsidR="007C0469" w:rsidRPr="008E7C42" w:rsidTr="008E7C42">
        <w:trPr>
          <w:trHeight w:val="4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69" w:rsidRPr="008E7C42" w:rsidRDefault="007C0469" w:rsidP="00EA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5318D" w:rsidRPr="008E7C42" w:rsidTr="0055318D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18D" w:rsidRPr="008E7C42" w:rsidRDefault="0055318D" w:rsidP="005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гос.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18D" w:rsidRPr="008E7C42" w:rsidRDefault="0055318D" w:rsidP="005531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3C702A" w:rsidRDefault="003C702A" w:rsidP="003C702A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Минфин РФ, Росстат.</w:t>
      </w:r>
    </w:p>
    <w:p w:rsidR="00BD491F" w:rsidRDefault="00B85BB1" w:rsidP="00291B1C">
      <w:pPr>
        <w:pStyle w:val="Default"/>
        <w:spacing w:line="360" w:lineRule="auto"/>
        <w:ind w:firstLine="567"/>
        <w:jc w:val="both"/>
      </w:pPr>
      <w:r w:rsidRPr="00291B1C">
        <w:t xml:space="preserve"> </w:t>
      </w:r>
    </w:p>
    <w:p w:rsidR="00BD491F" w:rsidRPr="00BD491F" w:rsidRDefault="00BD491F" w:rsidP="00291B1C">
      <w:pPr>
        <w:pStyle w:val="Default"/>
        <w:spacing w:line="360" w:lineRule="auto"/>
        <w:ind w:firstLine="567"/>
        <w:jc w:val="both"/>
        <w:rPr>
          <w:b/>
        </w:rPr>
      </w:pPr>
      <w:r w:rsidRPr="00BD491F">
        <w:rPr>
          <w:b/>
        </w:rPr>
        <w:t>3. Проблемы региональных бюджетов</w:t>
      </w:r>
    </w:p>
    <w:p w:rsidR="00492DF2" w:rsidRDefault="00355578" w:rsidP="00291B1C">
      <w:pPr>
        <w:pStyle w:val="Default"/>
        <w:spacing w:line="360" w:lineRule="auto"/>
        <w:ind w:firstLine="567"/>
        <w:jc w:val="both"/>
      </w:pPr>
      <w:r w:rsidRPr="00291B1C">
        <w:t>Политика федерального центра в последние годы</w:t>
      </w:r>
      <w:r w:rsidR="0079363B" w:rsidRPr="00291B1C">
        <w:t xml:space="preserve"> была</w:t>
      </w:r>
      <w:r w:rsidRPr="00291B1C">
        <w:t xml:space="preserve"> связана с давлением на регионы с целью снижения </w:t>
      </w:r>
      <w:proofErr w:type="gramStart"/>
      <w:r w:rsidRPr="00291B1C">
        <w:t>последними</w:t>
      </w:r>
      <w:proofErr w:type="gramEnd"/>
      <w:r w:rsidRPr="00291B1C">
        <w:t xml:space="preserve"> бюджетного дефицита и долга.</w:t>
      </w:r>
      <w:r w:rsidR="00492DF2" w:rsidRPr="00291B1C">
        <w:t xml:space="preserve"> Эта политика принесла свои плоды. Количество регионов с бюджетным дефицитом существенно сократилось. На 1 июля 2019 г. суммарный долг регионов и муниципальных образований составлял 2392,3 </w:t>
      </w:r>
      <w:proofErr w:type="gramStart"/>
      <w:r w:rsidR="00492DF2" w:rsidRPr="00291B1C">
        <w:t>млрд</w:t>
      </w:r>
      <w:proofErr w:type="gramEnd"/>
      <w:r w:rsidR="00492DF2" w:rsidRPr="00291B1C">
        <w:t xml:space="preserve"> руб., на 7,3% ниже</w:t>
      </w:r>
      <w:r w:rsidR="00291B1C">
        <w:t>,</w:t>
      </w:r>
      <w:r w:rsidR="00492DF2" w:rsidRPr="00291B1C">
        <w:t xml:space="preserve"> чем на начало 2019 г. В Таблице </w:t>
      </w:r>
      <w:r w:rsidR="00291B1C">
        <w:t>7</w:t>
      </w:r>
      <w:r w:rsidR="00492DF2" w:rsidRPr="00291B1C">
        <w:t xml:space="preserve"> приведена структура этого показателя за 2013</w:t>
      </w:r>
      <w:r w:rsidR="00DA46C4" w:rsidRPr="00291B1C">
        <w:t xml:space="preserve"> </w:t>
      </w:r>
      <w:r w:rsidR="00492DF2" w:rsidRPr="00291B1C">
        <w:t>-</w:t>
      </w:r>
      <w:r w:rsidR="00DA46C4" w:rsidRPr="00291B1C">
        <w:t xml:space="preserve"> </w:t>
      </w:r>
      <w:r w:rsidR="00492DF2" w:rsidRPr="00291B1C">
        <w:rPr>
          <w:lang w:val="en-US"/>
        </w:rPr>
        <w:t>I</w:t>
      </w:r>
      <w:r w:rsidR="00492DF2" w:rsidRPr="00291B1C">
        <w:t xml:space="preserve"> полугодие  2019 гг.</w:t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1965"/>
        <w:gridCol w:w="1014"/>
        <w:gridCol w:w="1014"/>
        <w:gridCol w:w="1014"/>
        <w:gridCol w:w="1226"/>
        <w:gridCol w:w="1014"/>
        <w:gridCol w:w="1014"/>
        <w:gridCol w:w="1015"/>
      </w:tblGrid>
      <w:tr w:rsidR="00492DF2" w:rsidRPr="00291B1C" w:rsidTr="00D953A5">
        <w:trPr>
          <w:trHeight w:val="296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29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9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Структура регионального и муниципального долга в 2013–I полугодии 2019 гг., </w:t>
            </w:r>
            <w:proofErr w:type="gramStart"/>
            <w:r w:rsidRPr="0029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9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пол</w:t>
            </w:r>
            <w:proofErr w:type="spellEnd"/>
            <w:r w:rsidRPr="00291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2019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банков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492DF2" w:rsidRPr="00291B1C" w:rsidTr="00D953A5">
        <w:trPr>
          <w:trHeight w:val="296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F2" w:rsidRPr="00291B1C" w:rsidRDefault="00492DF2" w:rsidP="0029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92DF2" w:rsidRPr="00291B1C" w:rsidRDefault="00492DF2" w:rsidP="00291B1C">
      <w:pPr>
        <w:pStyle w:val="Default"/>
        <w:spacing w:line="360" w:lineRule="auto"/>
        <w:ind w:firstLine="567"/>
        <w:jc w:val="both"/>
      </w:pPr>
    </w:p>
    <w:p w:rsidR="00DA46C4" w:rsidRDefault="00492DF2" w:rsidP="00A35C02">
      <w:pPr>
        <w:spacing w:before="2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1C">
        <w:rPr>
          <w:rFonts w:ascii="Times New Roman" w:hAnsi="Times New Roman" w:cs="Times New Roman"/>
          <w:sz w:val="24"/>
          <w:szCs w:val="24"/>
        </w:rPr>
        <w:t xml:space="preserve">Динамика структуры регионального долга за последние шесть лет характеризуется существенным увеличением доли бюджетных кредитов в 2016 и 2017 гг. и постепенным </w:t>
      </w:r>
      <w:r w:rsidRPr="00291B1C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сокращением доли коммерческих кредитов банков. Существенный рост доли бюджетных кредитов при сокращении доли коммерческих кредитов имел место и в первом полугодии 2019 г. </w:t>
      </w:r>
      <w:r w:rsidR="00355578" w:rsidRPr="00291B1C">
        <w:t xml:space="preserve"> </w:t>
      </w:r>
      <w:r w:rsidR="00355578" w:rsidRPr="00291B1C">
        <w:rPr>
          <w:rFonts w:ascii="Times New Roman" w:hAnsi="Times New Roman" w:cs="Times New Roman"/>
          <w:sz w:val="24"/>
          <w:szCs w:val="24"/>
        </w:rPr>
        <w:t xml:space="preserve">Ценой </w:t>
      </w:r>
      <w:r w:rsidR="00C857F5" w:rsidRPr="00291B1C">
        <w:rPr>
          <w:rFonts w:ascii="Times New Roman" w:hAnsi="Times New Roman" w:cs="Times New Roman"/>
          <w:sz w:val="24"/>
          <w:szCs w:val="24"/>
        </w:rPr>
        <w:t xml:space="preserve">увеличения бюджетной устойчивости для регионов </w:t>
      </w:r>
      <w:r w:rsidR="00355578" w:rsidRPr="00291B1C">
        <w:rPr>
          <w:rFonts w:ascii="Times New Roman" w:hAnsi="Times New Roman" w:cs="Times New Roman"/>
          <w:sz w:val="24"/>
          <w:szCs w:val="24"/>
        </w:rPr>
        <w:t>стали сложности в выполнении ими обязательств, в том числе в сферах образования и здравоохранения</w:t>
      </w:r>
      <w:r w:rsidR="00355578" w:rsidRPr="00C8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F5C" w:rsidRPr="00C857F5" w:rsidRDefault="00AB17FC" w:rsidP="000B2753">
      <w:pPr>
        <w:spacing w:before="2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F5">
        <w:rPr>
          <w:rFonts w:ascii="Times New Roman" w:hAnsi="Times New Roman" w:cs="Times New Roman"/>
          <w:sz w:val="24"/>
          <w:szCs w:val="24"/>
        </w:rPr>
        <w:t xml:space="preserve">Доля трансфертов 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в доходах консолидированных региональных бюджетов существенно выросла в 2018-2019 гг., что способствовало росту региональных расходов в постоянных ценах. Увеличение доли трансфертов в 2019 г. связано с началом реализации национальных проектов. </w:t>
      </w:r>
      <w:r w:rsidR="0079363B" w:rsidRPr="00C857F5">
        <w:rPr>
          <w:rFonts w:ascii="Times New Roman" w:hAnsi="Times New Roman" w:cs="Times New Roman"/>
          <w:sz w:val="24"/>
          <w:szCs w:val="24"/>
        </w:rPr>
        <w:t>Однако п</w:t>
      </w:r>
      <w:r w:rsidR="00C17449" w:rsidRPr="00C857F5">
        <w:rPr>
          <w:rFonts w:ascii="Times New Roman" w:hAnsi="Times New Roman" w:cs="Times New Roman"/>
          <w:sz w:val="24"/>
          <w:szCs w:val="24"/>
        </w:rPr>
        <w:t>роект ОНБП предусматривает существенное сокращение доли трансфертов в региональных доходах с 1</w:t>
      </w:r>
      <w:r w:rsidR="00760828" w:rsidRPr="00C857F5">
        <w:rPr>
          <w:rFonts w:ascii="Times New Roman" w:hAnsi="Times New Roman" w:cs="Times New Roman"/>
          <w:sz w:val="24"/>
          <w:szCs w:val="24"/>
        </w:rPr>
        <w:t>7,9</w:t>
      </w:r>
      <w:r w:rsidR="00C17449" w:rsidRPr="00C857F5">
        <w:rPr>
          <w:rFonts w:ascii="Times New Roman" w:hAnsi="Times New Roman" w:cs="Times New Roman"/>
          <w:sz w:val="24"/>
          <w:szCs w:val="24"/>
        </w:rPr>
        <w:t>% в 2019 г. до 15</w:t>
      </w:r>
      <w:r w:rsidR="00760828" w:rsidRPr="00C857F5">
        <w:rPr>
          <w:rFonts w:ascii="Times New Roman" w:hAnsi="Times New Roman" w:cs="Times New Roman"/>
          <w:sz w:val="24"/>
          <w:szCs w:val="24"/>
        </w:rPr>
        <w:t>,9</w:t>
      </w:r>
      <w:r w:rsidR="00C17449" w:rsidRPr="00C857F5">
        <w:rPr>
          <w:rFonts w:ascii="Times New Roman" w:hAnsi="Times New Roman" w:cs="Times New Roman"/>
          <w:sz w:val="24"/>
          <w:szCs w:val="24"/>
        </w:rPr>
        <w:t>% в 202</w:t>
      </w:r>
      <w:r w:rsidR="00B32170" w:rsidRPr="00C857F5">
        <w:rPr>
          <w:rFonts w:ascii="Times New Roman" w:hAnsi="Times New Roman" w:cs="Times New Roman"/>
          <w:sz w:val="24"/>
          <w:szCs w:val="24"/>
        </w:rPr>
        <w:t>2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г.</w:t>
      </w:r>
      <w:r w:rsidR="00F11156" w:rsidRPr="00C857F5">
        <w:rPr>
          <w:rFonts w:ascii="Times New Roman" w:hAnsi="Times New Roman" w:cs="Times New Roman"/>
          <w:sz w:val="24"/>
          <w:szCs w:val="24"/>
        </w:rPr>
        <w:t xml:space="preserve"> (Рис. </w:t>
      </w:r>
      <w:r w:rsidR="00F128E8">
        <w:rPr>
          <w:rFonts w:ascii="Times New Roman" w:hAnsi="Times New Roman" w:cs="Times New Roman"/>
          <w:sz w:val="24"/>
          <w:szCs w:val="24"/>
        </w:rPr>
        <w:t>4</w:t>
      </w:r>
      <w:r w:rsidR="00F11156" w:rsidRPr="00C857F5">
        <w:rPr>
          <w:rFonts w:ascii="Times New Roman" w:hAnsi="Times New Roman" w:cs="Times New Roman"/>
          <w:sz w:val="24"/>
          <w:szCs w:val="24"/>
        </w:rPr>
        <w:t>).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Отметим, что такой низкой доли трансфертов не наблюдалось за весь период с 2011 г. Одновременно</w:t>
      </w:r>
      <w:r w:rsidR="00B32170" w:rsidRPr="00C857F5">
        <w:rPr>
          <w:rFonts w:ascii="Times New Roman" w:hAnsi="Times New Roman" w:cs="Times New Roman"/>
          <w:sz w:val="24"/>
          <w:szCs w:val="24"/>
        </w:rPr>
        <w:t>, как уже было отмечено,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предполагается достаточно быстрый рост региональных расходов в неизменных ценах. </w:t>
      </w:r>
      <w:r w:rsidR="00A61FB6">
        <w:rPr>
          <w:rFonts w:ascii="Times New Roman" w:hAnsi="Times New Roman" w:cs="Times New Roman"/>
          <w:sz w:val="24"/>
          <w:szCs w:val="24"/>
        </w:rPr>
        <w:t xml:space="preserve">Необходимо обосновать, 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как </w:t>
      </w:r>
      <w:r w:rsidR="00B32170" w:rsidRPr="00C857F5">
        <w:rPr>
          <w:rFonts w:ascii="Times New Roman" w:hAnsi="Times New Roman" w:cs="Times New Roman"/>
          <w:sz w:val="24"/>
          <w:szCs w:val="24"/>
        </w:rPr>
        <w:t xml:space="preserve">при быстром сокращении доли трансфертов в доходах 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регионы будут финансировать национальные проекты. </w:t>
      </w:r>
      <w:r w:rsidR="00A61FB6">
        <w:rPr>
          <w:rFonts w:ascii="Times New Roman" w:hAnsi="Times New Roman" w:cs="Times New Roman"/>
          <w:sz w:val="24"/>
          <w:szCs w:val="24"/>
        </w:rPr>
        <w:t>Присутствующая в расчетах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гипотеза о быстром росте налоговых и неналоговых доходов регионов</w:t>
      </w:r>
      <w:r w:rsidR="00B32170" w:rsidRPr="00C857F5">
        <w:rPr>
          <w:rFonts w:ascii="Times New Roman" w:hAnsi="Times New Roman" w:cs="Times New Roman"/>
          <w:sz w:val="24"/>
          <w:szCs w:val="24"/>
        </w:rPr>
        <w:t xml:space="preserve"> в 2020-2022 гг. </w:t>
      </w:r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может не реализоваться из-за более низких темпов экономического роста, по сравнению с </w:t>
      </w:r>
      <w:proofErr w:type="gramStart"/>
      <w:r w:rsidR="00C17449" w:rsidRPr="00C857F5">
        <w:rPr>
          <w:rFonts w:ascii="Times New Roman" w:hAnsi="Times New Roman" w:cs="Times New Roman"/>
          <w:sz w:val="24"/>
          <w:szCs w:val="24"/>
        </w:rPr>
        <w:t>заложенными</w:t>
      </w:r>
      <w:proofErr w:type="gramEnd"/>
      <w:r w:rsidR="00C17449" w:rsidRPr="00C857F5">
        <w:rPr>
          <w:rFonts w:ascii="Times New Roman" w:hAnsi="Times New Roman" w:cs="Times New Roman"/>
          <w:sz w:val="24"/>
          <w:szCs w:val="24"/>
        </w:rPr>
        <w:t xml:space="preserve"> в основу бюджетных проектировок. </w:t>
      </w:r>
      <w:r w:rsidR="00355578" w:rsidRPr="00C857F5">
        <w:rPr>
          <w:rFonts w:ascii="Times New Roman" w:hAnsi="Times New Roman" w:cs="Times New Roman"/>
          <w:sz w:val="24"/>
          <w:szCs w:val="24"/>
        </w:rPr>
        <w:t xml:space="preserve">Планируемое сокращение доли бюджетных трансфертов в доходах регионов и риски, связанные </w:t>
      </w:r>
      <w:r w:rsidR="00B85BB1" w:rsidRPr="00C857F5">
        <w:rPr>
          <w:rFonts w:ascii="Times New Roman" w:hAnsi="Times New Roman" w:cs="Times New Roman"/>
          <w:sz w:val="24"/>
          <w:szCs w:val="24"/>
        </w:rPr>
        <w:t xml:space="preserve">с </w:t>
      </w:r>
      <w:r w:rsidR="00355578" w:rsidRPr="00C857F5">
        <w:rPr>
          <w:rFonts w:ascii="Times New Roman" w:hAnsi="Times New Roman" w:cs="Times New Roman"/>
          <w:sz w:val="24"/>
          <w:szCs w:val="24"/>
        </w:rPr>
        <w:t>заложенным в расчеты увеличением налоговых и неналоговых доходов</w:t>
      </w:r>
      <w:r w:rsidR="0079363B" w:rsidRPr="00C857F5">
        <w:rPr>
          <w:rFonts w:ascii="Times New Roman" w:hAnsi="Times New Roman" w:cs="Times New Roman"/>
          <w:sz w:val="24"/>
          <w:szCs w:val="24"/>
        </w:rPr>
        <w:t>,</w:t>
      </w:r>
      <w:r w:rsidR="00355578" w:rsidRPr="00C857F5">
        <w:rPr>
          <w:rFonts w:ascii="Times New Roman" w:hAnsi="Times New Roman" w:cs="Times New Roman"/>
          <w:sz w:val="24"/>
          <w:szCs w:val="24"/>
        </w:rPr>
        <w:t xml:space="preserve"> </w:t>
      </w:r>
      <w:r w:rsidR="00DE7924">
        <w:rPr>
          <w:rFonts w:ascii="Times New Roman" w:hAnsi="Times New Roman" w:cs="Times New Roman"/>
          <w:sz w:val="24"/>
          <w:szCs w:val="24"/>
        </w:rPr>
        <w:t xml:space="preserve">создают, с нашей точки зрения, риски для </w:t>
      </w:r>
      <w:r w:rsidR="008B4C02" w:rsidRPr="00C857F5">
        <w:rPr>
          <w:rFonts w:ascii="Times New Roman" w:hAnsi="Times New Roman" w:cs="Times New Roman"/>
          <w:sz w:val="24"/>
          <w:szCs w:val="24"/>
        </w:rPr>
        <w:t>национальных проект</w:t>
      </w:r>
      <w:r w:rsidR="00DE7924">
        <w:rPr>
          <w:rFonts w:ascii="Times New Roman" w:hAnsi="Times New Roman" w:cs="Times New Roman"/>
          <w:sz w:val="24"/>
          <w:szCs w:val="24"/>
        </w:rPr>
        <w:t>ов</w:t>
      </w:r>
      <w:r w:rsidR="008B4C02" w:rsidRPr="00C8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F75" w:rsidRDefault="00841F75" w:rsidP="00841F7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146">
        <w:rPr>
          <w:rFonts w:ascii="Times New Roman" w:hAnsi="Times New Roman"/>
          <w:b/>
          <w:sz w:val="24"/>
          <w:szCs w:val="24"/>
        </w:rPr>
        <w:t>Рис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28E8">
        <w:rPr>
          <w:rFonts w:ascii="Times New Roman" w:hAnsi="Times New Roman"/>
          <w:b/>
          <w:sz w:val="24"/>
          <w:szCs w:val="24"/>
        </w:rPr>
        <w:t>4</w:t>
      </w:r>
      <w:r w:rsidRPr="00AA3146">
        <w:rPr>
          <w:rFonts w:ascii="Times New Roman" w:hAnsi="Times New Roman"/>
          <w:b/>
          <w:sz w:val="24"/>
          <w:szCs w:val="24"/>
        </w:rPr>
        <w:t xml:space="preserve">. Динамика расходов региональных бюджетов в неизменных ценах и </w:t>
      </w:r>
      <w:r>
        <w:rPr>
          <w:rFonts w:ascii="Times New Roman" w:hAnsi="Times New Roman"/>
          <w:b/>
          <w:sz w:val="24"/>
          <w:szCs w:val="24"/>
        </w:rPr>
        <w:t>доля трансфертов в доходах консолидированных региональных бюджетов.</w:t>
      </w:r>
    </w:p>
    <w:p w:rsidR="00841F75" w:rsidRPr="00AA3146" w:rsidRDefault="0036345F" w:rsidP="00841F7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6748" cy="2828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33" cy="2834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F75" w:rsidRDefault="00841F75" w:rsidP="00841F75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Минфин РФ, Росстат.</w:t>
      </w:r>
    </w:p>
    <w:p w:rsidR="001F3F5C" w:rsidRPr="00F128E8" w:rsidRDefault="001F3F5C" w:rsidP="007A5DFA">
      <w:pPr>
        <w:pStyle w:val="Default"/>
        <w:spacing w:line="360" w:lineRule="auto"/>
        <w:ind w:firstLine="709"/>
        <w:jc w:val="both"/>
      </w:pPr>
      <w:r w:rsidRPr="00F128E8">
        <w:lastRenderedPageBreak/>
        <w:t xml:space="preserve">Недостаток </w:t>
      </w:r>
      <w:r w:rsidR="00C857F5" w:rsidRPr="00F128E8">
        <w:t xml:space="preserve">финансовых </w:t>
      </w:r>
      <w:r w:rsidRPr="00F128E8">
        <w:t>ресурсов у регионов по итогам 1 полугодия 2019 года привел к ухудшени</w:t>
      </w:r>
      <w:r w:rsidR="00577AFD">
        <w:t xml:space="preserve">ю показателей исполнения целей </w:t>
      </w:r>
      <w:r w:rsidRPr="00F128E8">
        <w:t xml:space="preserve">указов 2012 года: ни по одной из категорий бюджетников плановые значения 2018 года не были достигнуты всеми регионами. </w:t>
      </w:r>
    </w:p>
    <w:p w:rsidR="001F3F5C" w:rsidRDefault="001F3F5C" w:rsidP="001F3F5C">
      <w:pPr>
        <w:pStyle w:val="Default"/>
        <w:spacing w:line="360" w:lineRule="auto"/>
        <w:ind w:firstLine="567"/>
        <w:jc w:val="both"/>
      </w:pPr>
      <w:r w:rsidRPr="00F128E8">
        <w:t>В 2019 году наилучшее исполнение в региональном разрезе можно отметить по категориям «Работники образовательных учреждений общего образования» и «Преподаватели и мастера производственного</w:t>
      </w:r>
      <w:r w:rsidRPr="001F3F5C">
        <w:t xml:space="preserve"> обучения образовательных учреждений начального и среднего профессионального образования» (из всех регионов не достигли плановых значений менее 5%)</w:t>
      </w:r>
      <w:r>
        <w:t xml:space="preserve">. </w:t>
      </w:r>
    </w:p>
    <w:p w:rsidR="001F3F5C" w:rsidRPr="001F3F5C" w:rsidRDefault="001F3F5C" w:rsidP="001F3F5C">
      <w:pPr>
        <w:pStyle w:val="Default"/>
        <w:spacing w:line="360" w:lineRule="auto"/>
        <w:ind w:firstLine="567"/>
        <w:jc w:val="both"/>
      </w:pPr>
      <w:bookmarkStart w:id="1" w:name="_Hlk20980833"/>
      <w:r w:rsidRPr="001F3F5C">
        <w:t xml:space="preserve">Наихудшее исполнение </w:t>
      </w:r>
      <w:r>
        <w:t>наблюдается по</w:t>
      </w:r>
      <w:r w:rsidRPr="001F3F5C">
        <w:t xml:space="preserve"> категори</w:t>
      </w:r>
      <w:r>
        <w:t>ям</w:t>
      </w:r>
      <w:r w:rsidRPr="001F3F5C">
        <w:t xml:space="preserve"> «Педагогические работники дошкольных образовательных учреждений» и «Работники учреждений дополнительного образования детей» (план не выполнили 93,2% и 83% регионов соответственно). По этим категориям наблюдается наибольший разрыв с результатами 2018 года.</w:t>
      </w:r>
    </w:p>
    <w:bookmarkEnd w:id="1"/>
    <w:p w:rsidR="00841F75" w:rsidRDefault="00841F75" w:rsidP="001F3F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F5C" w:rsidRPr="001F3F5C" w:rsidRDefault="001F3F5C" w:rsidP="001F3F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F5C">
        <w:rPr>
          <w:rFonts w:ascii="Times New Roman" w:hAnsi="Times New Roman" w:cs="Times New Roman"/>
          <w:b/>
          <w:bCs/>
          <w:sz w:val="24"/>
          <w:szCs w:val="24"/>
        </w:rPr>
        <w:t xml:space="preserve">Рис </w:t>
      </w:r>
      <w:r w:rsidR="00F128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F3F5C">
        <w:rPr>
          <w:rFonts w:ascii="Times New Roman" w:hAnsi="Times New Roman" w:cs="Times New Roman"/>
          <w:b/>
          <w:bCs/>
          <w:sz w:val="24"/>
          <w:szCs w:val="24"/>
        </w:rPr>
        <w:t>. Доля регионов, не выполнивших план по достижению уровня заработных плат отдельных категорий работников социальной сферы и науки, в 2018 г. и в 1 полугодии 2019 года</w:t>
      </w:r>
      <w:r w:rsidRPr="001F3F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1F3F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F3F5C">
        <w:rPr>
          <w:rFonts w:ascii="Times New Roman" w:hAnsi="Times New Roman" w:cs="Times New Roman"/>
          <w:b/>
          <w:bCs/>
          <w:sz w:val="24"/>
          <w:szCs w:val="24"/>
        </w:rPr>
        <w:t>(по плановым значениям 2018 года), %</w:t>
      </w:r>
    </w:p>
    <w:p w:rsidR="001F3F5C" w:rsidRPr="001F3F5C" w:rsidRDefault="001F3F5C" w:rsidP="001F3F5C">
      <w:pPr>
        <w:rPr>
          <w:rFonts w:ascii="Times New Roman" w:hAnsi="Times New Roman" w:cs="Times New Roman"/>
          <w:sz w:val="24"/>
          <w:szCs w:val="24"/>
        </w:rPr>
      </w:pPr>
      <w:r w:rsidRPr="001F3F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7550" cy="440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F5C" w:rsidRPr="001F3F5C" w:rsidRDefault="001F3F5C" w:rsidP="001F3F5C">
      <w:pPr>
        <w:rPr>
          <w:rFonts w:ascii="Times New Roman" w:hAnsi="Times New Roman" w:cs="Times New Roman"/>
          <w:sz w:val="24"/>
          <w:szCs w:val="24"/>
        </w:rPr>
      </w:pPr>
      <w:r w:rsidRPr="001F3F5C">
        <w:rPr>
          <w:rFonts w:ascii="Times New Roman" w:hAnsi="Times New Roman" w:cs="Times New Roman"/>
          <w:sz w:val="24"/>
          <w:szCs w:val="24"/>
        </w:rPr>
        <w:t>Источник: Росстат, расчеты</w:t>
      </w:r>
    </w:p>
    <w:p w:rsidR="00A4000F" w:rsidRDefault="00A4000F" w:rsidP="00C17449">
      <w:pPr>
        <w:pStyle w:val="Default"/>
        <w:spacing w:line="360" w:lineRule="auto"/>
        <w:ind w:firstLine="567"/>
        <w:jc w:val="both"/>
      </w:pPr>
    </w:p>
    <w:p w:rsidR="006C00E3" w:rsidRDefault="00E47C7F" w:rsidP="00932AAC">
      <w:pPr>
        <w:pStyle w:val="Default"/>
        <w:spacing w:line="360" w:lineRule="auto"/>
        <w:ind w:firstLine="709"/>
        <w:jc w:val="both"/>
        <w:rPr>
          <w:b/>
        </w:rPr>
      </w:pPr>
      <w:r>
        <w:t xml:space="preserve">Для </w:t>
      </w:r>
      <w:r w:rsidR="00577AFD">
        <w:t xml:space="preserve">снижения </w:t>
      </w:r>
      <w:r>
        <w:t xml:space="preserve">подобных рисков, регионам должны быть предоставлены дополнительные налоговые </w:t>
      </w:r>
      <w:r w:rsidR="008737FC">
        <w:t>права</w:t>
      </w:r>
      <w:r w:rsidR="00F11156">
        <w:t>, р</w:t>
      </w:r>
      <w:r>
        <w:t>есурсы</w:t>
      </w:r>
      <w:r w:rsidR="008F2D19">
        <w:t>,</w:t>
      </w:r>
      <w:r>
        <w:t xml:space="preserve"> передаваемые федеральным центром</w:t>
      </w:r>
      <w:r w:rsidR="008F2D19">
        <w:t>,</w:t>
      </w:r>
      <w:r>
        <w:t xml:space="preserve"> должны быть увеличены, а трансфертная политика в целом</w:t>
      </w:r>
      <w:r w:rsidR="00B85BB1">
        <w:t xml:space="preserve"> стать</w:t>
      </w:r>
      <w:r>
        <w:t xml:space="preserve"> более предсказуемой.</w:t>
      </w:r>
      <w:r w:rsidR="006C00E3">
        <w:t xml:space="preserve"> </w:t>
      </w:r>
    </w:p>
    <w:p w:rsidR="006C00E3" w:rsidRPr="00F128E8" w:rsidRDefault="006C00E3" w:rsidP="00932AAC">
      <w:pPr>
        <w:pStyle w:val="Default"/>
        <w:spacing w:line="360" w:lineRule="auto"/>
        <w:ind w:firstLine="709"/>
        <w:jc w:val="both"/>
      </w:pPr>
      <w:r w:rsidRPr="00F128E8">
        <w:t>С точки зрения глав регионов, вступивших в нацпроекты</w:t>
      </w:r>
      <w:r w:rsidRPr="00F128E8">
        <w:rPr>
          <w:rStyle w:val="a8"/>
        </w:rPr>
        <w:footnoteReference w:id="2"/>
      </w:r>
      <w:r w:rsidRPr="00F128E8">
        <w:t xml:space="preserve">, - необходимо решить следующие проблемы с их реализацией: </w:t>
      </w:r>
    </w:p>
    <w:p w:rsidR="006C00E3" w:rsidRPr="00F128E8" w:rsidRDefault="00C857F5" w:rsidP="00932AAC">
      <w:pPr>
        <w:pStyle w:val="Default"/>
        <w:spacing w:line="360" w:lineRule="auto"/>
        <w:ind w:firstLine="709"/>
        <w:jc w:val="both"/>
      </w:pPr>
      <w:r w:rsidRPr="00F128E8">
        <w:t xml:space="preserve">Горизонт планирования должен быть увеличен. </w:t>
      </w:r>
      <w:r w:rsidR="006C00E3" w:rsidRPr="00F128E8">
        <w:t xml:space="preserve">Сейчас до регионов доведены лимиты до 2021 г. включительно (горизонт планирования ограничен рамками 3-летнего бюджета), хотя нацпроекты реализуются до 2024 года. Пока непонятно, на какое финансирование </w:t>
      </w:r>
      <w:r w:rsidRPr="00F128E8">
        <w:t xml:space="preserve">из федерального центра </w:t>
      </w:r>
      <w:r w:rsidR="006C00E3" w:rsidRPr="00F128E8">
        <w:t xml:space="preserve">рассчитывать регионам </w:t>
      </w:r>
      <w:r w:rsidR="00CF3F36" w:rsidRPr="00F128E8">
        <w:t>на</w:t>
      </w:r>
      <w:r w:rsidR="00176CC5">
        <w:t xml:space="preserve"> временном</w:t>
      </w:r>
      <w:r w:rsidR="006C00E3" w:rsidRPr="00F128E8">
        <w:t xml:space="preserve"> горизонт</w:t>
      </w:r>
      <w:r w:rsidR="00CF3F36" w:rsidRPr="00F128E8">
        <w:t>е</w:t>
      </w:r>
      <w:r w:rsidR="006C00E3" w:rsidRPr="00F128E8">
        <w:t xml:space="preserve"> 2022-2024 гг. Знать цифры до конца срока действия нацпроектов (до 2024 г.) – для регионов крайне важно, т.к. регионы участвуют </w:t>
      </w:r>
      <w:proofErr w:type="gramStart"/>
      <w:r w:rsidR="006C00E3" w:rsidRPr="00F128E8">
        <w:t>в</w:t>
      </w:r>
      <w:proofErr w:type="gramEnd"/>
      <w:r w:rsidR="006C00E3" w:rsidRPr="00F128E8">
        <w:t xml:space="preserve"> </w:t>
      </w:r>
      <w:proofErr w:type="gramStart"/>
      <w:r w:rsidR="006C00E3" w:rsidRPr="00F128E8">
        <w:t>их</w:t>
      </w:r>
      <w:proofErr w:type="gramEnd"/>
      <w:r w:rsidR="006C00E3" w:rsidRPr="00F128E8">
        <w:t xml:space="preserve"> </w:t>
      </w:r>
      <w:proofErr w:type="spellStart"/>
      <w:r w:rsidR="006C00E3" w:rsidRPr="00F128E8">
        <w:t>софинансировании</w:t>
      </w:r>
      <w:proofErr w:type="spellEnd"/>
      <w:r w:rsidR="006C00E3" w:rsidRPr="00F128E8">
        <w:t xml:space="preserve">. </w:t>
      </w:r>
      <w:r w:rsidRPr="00F128E8">
        <w:t xml:space="preserve">Проблемой </w:t>
      </w:r>
      <w:r w:rsidR="006C00E3" w:rsidRPr="00F128E8">
        <w:t xml:space="preserve">для регионов </w:t>
      </w:r>
      <w:r w:rsidRPr="00F128E8">
        <w:t xml:space="preserve">является то, </w:t>
      </w:r>
      <w:r w:rsidR="006C00E3" w:rsidRPr="00F128E8">
        <w:t xml:space="preserve">что по ряду показателей - средства не распределены даже в рамках 3-летнего бюджета (по многим вопросам – горизонт планирования – максимум 1 год). </w:t>
      </w:r>
    </w:p>
    <w:p w:rsidR="006C00E3" w:rsidRPr="00F128E8" w:rsidRDefault="006C00E3" w:rsidP="00932AAC">
      <w:pPr>
        <w:pStyle w:val="Default"/>
        <w:spacing w:line="360" w:lineRule="auto"/>
        <w:ind w:firstLine="709"/>
        <w:jc w:val="both"/>
      </w:pPr>
      <w:r w:rsidRPr="00F128E8">
        <w:lastRenderedPageBreak/>
        <w:t xml:space="preserve">Средний уровень </w:t>
      </w:r>
      <w:proofErr w:type="gramStart"/>
      <w:r w:rsidRPr="00F128E8">
        <w:t>регионального</w:t>
      </w:r>
      <w:proofErr w:type="gramEnd"/>
      <w:r w:rsidRPr="00F128E8">
        <w:t xml:space="preserve"> </w:t>
      </w:r>
      <w:proofErr w:type="spellStart"/>
      <w:r w:rsidRPr="00F128E8">
        <w:t>софинансирования</w:t>
      </w:r>
      <w:proofErr w:type="spellEnd"/>
      <w:r w:rsidRPr="00F128E8">
        <w:t xml:space="preserve"> по </w:t>
      </w:r>
      <w:r w:rsidR="00C857F5" w:rsidRPr="00F128E8">
        <w:t xml:space="preserve">субсидиям и </w:t>
      </w:r>
      <w:r w:rsidRPr="00F128E8">
        <w:t>иным межбюджетным трансфертам – 95% (федеральный уровень) на 5% (регион). Основная проблема состоит в том, что на деле – 5%-</w:t>
      </w:r>
      <w:proofErr w:type="spellStart"/>
      <w:r w:rsidRPr="00F128E8">
        <w:t>ами</w:t>
      </w:r>
      <w:proofErr w:type="spellEnd"/>
      <w:r w:rsidRPr="00F128E8">
        <w:t xml:space="preserve"> </w:t>
      </w:r>
      <w:proofErr w:type="spellStart"/>
      <w:r w:rsidRPr="00F128E8">
        <w:t>софинансирование</w:t>
      </w:r>
      <w:proofErr w:type="spellEnd"/>
      <w:r w:rsidRPr="00F128E8">
        <w:t xml:space="preserve"> со стороны региона не ограничивается. Кроме просчитанных – возникают внушительные объемы неучтенных дополнительных затрат (подключения к инфраструктуре, расходы на до</w:t>
      </w:r>
      <w:r w:rsidR="00C857F5" w:rsidRPr="00F128E8">
        <w:t xml:space="preserve">полнительную </w:t>
      </w:r>
      <w:r w:rsidRPr="00F128E8">
        <w:t xml:space="preserve">закупку оборудования, благоустройство и т.п.). </w:t>
      </w:r>
      <w:r w:rsidR="00CF3F36" w:rsidRPr="00F128E8">
        <w:t>Целесообразно</w:t>
      </w:r>
      <w:r w:rsidRPr="00F128E8">
        <w:t xml:space="preserve"> ввести еще один показатель для мониторинга</w:t>
      </w:r>
      <w:r w:rsidR="00C857F5" w:rsidRPr="00F128E8">
        <w:t xml:space="preserve"> финансирования национальных проектов </w:t>
      </w:r>
      <w:r w:rsidRPr="00F128E8">
        <w:t xml:space="preserve">– фактический уровень </w:t>
      </w:r>
      <w:proofErr w:type="spellStart"/>
      <w:r w:rsidRPr="00F128E8">
        <w:t>софинансирования</w:t>
      </w:r>
      <w:proofErr w:type="spellEnd"/>
      <w:r w:rsidRPr="00F128E8">
        <w:t xml:space="preserve"> региона</w:t>
      </w:r>
      <w:r w:rsidR="00C857F5" w:rsidRPr="00F128E8">
        <w:t>.</w:t>
      </w:r>
    </w:p>
    <w:p w:rsidR="00EA1736" w:rsidRPr="00F128E8" w:rsidRDefault="006C00E3" w:rsidP="00932AAC">
      <w:pPr>
        <w:pStyle w:val="Default"/>
        <w:spacing w:line="360" w:lineRule="auto"/>
        <w:ind w:firstLine="709"/>
        <w:jc w:val="both"/>
      </w:pPr>
      <w:r w:rsidRPr="00F128E8">
        <w:t xml:space="preserve">Во-вторых, проблема взаимоотношений </w:t>
      </w:r>
      <w:r w:rsidR="00C857F5" w:rsidRPr="00F128E8">
        <w:t xml:space="preserve">федерального </w:t>
      </w:r>
      <w:r w:rsidRPr="00F128E8">
        <w:t>центра и регион</w:t>
      </w:r>
      <w:r w:rsidR="00C857F5" w:rsidRPr="00F128E8">
        <w:t xml:space="preserve">ов </w:t>
      </w:r>
      <w:r w:rsidRPr="00F128E8">
        <w:t xml:space="preserve">в том, что деньги до регионов доводятся </w:t>
      </w:r>
      <w:r w:rsidR="00C857F5" w:rsidRPr="00F128E8">
        <w:t xml:space="preserve">не в заявленные сроки, </w:t>
      </w:r>
      <w:r w:rsidRPr="00F128E8">
        <w:t xml:space="preserve">а </w:t>
      </w:r>
      <w:proofErr w:type="gramStart"/>
      <w:r w:rsidRPr="00F128E8">
        <w:t>значит позже начинают</w:t>
      </w:r>
      <w:proofErr w:type="gramEnd"/>
      <w:r w:rsidRPr="00F128E8">
        <w:t xml:space="preserve"> работать. Все организационные моменты </w:t>
      </w:r>
      <w:r w:rsidR="00C857F5" w:rsidRPr="00F128E8">
        <w:t xml:space="preserve">должны быть учтены в бюджете, </w:t>
      </w:r>
      <w:r w:rsidRPr="00F128E8">
        <w:t>а не доводить</w:t>
      </w:r>
      <w:r w:rsidR="00C857F5" w:rsidRPr="00F128E8">
        <w:t>ся</w:t>
      </w:r>
      <w:r w:rsidRPr="00F128E8">
        <w:t xml:space="preserve"> потом. </w:t>
      </w:r>
      <w:r w:rsidR="00CF3F36" w:rsidRPr="00F128E8">
        <w:t xml:space="preserve"> </w:t>
      </w:r>
      <w:r w:rsidRPr="00F128E8">
        <w:t xml:space="preserve">По информации Минфина России, уже сейчас в Бюджетном Кодексе подготовлено несколько новаций во взаимоотношениях федерального центра с регионами. Будут определяться конкретные сроки по заключению соглашений. Уровень </w:t>
      </w:r>
      <w:proofErr w:type="spellStart"/>
      <w:r w:rsidRPr="00F128E8">
        <w:t>грантовой</w:t>
      </w:r>
      <w:proofErr w:type="spellEnd"/>
      <w:r w:rsidRPr="00F128E8">
        <w:t xml:space="preserve"> поддержки нацпроектов на 2019 г. составляет 50 млрд. рублей. </w:t>
      </w:r>
      <w:r w:rsidR="00C857F5" w:rsidRPr="00F128E8">
        <w:t xml:space="preserve">Условием выделения этих денег регионам является </w:t>
      </w:r>
      <w:r w:rsidRPr="00F128E8">
        <w:t>достижение результатов (целей) национальных проектов</w:t>
      </w:r>
      <w:r w:rsidR="00C857F5" w:rsidRPr="00F128E8">
        <w:t xml:space="preserve">. </w:t>
      </w:r>
      <w:r w:rsidRPr="00F128E8">
        <w:t xml:space="preserve">Необходимо, чтобы </w:t>
      </w:r>
      <w:proofErr w:type="spellStart"/>
      <w:r w:rsidRPr="00F128E8">
        <w:t>грантовая</w:t>
      </w:r>
      <w:proofErr w:type="spellEnd"/>
      <w:r w:rsidRPr="00F128E8">
        <w:t xml:space="preserve"> поддержка (как стимулирующая мера) сохранялась на весь срок реализации национальных проектов. </w:t>
      </w:r>
    </w:p>
    <w:p w:rsidR="006C00E3" w:rsidRDefault="006C00E3" w:rsidP="00932AAC">
      <w:pPr>
        <w:pStyle w:val="Default"/>
        <w:spacing w:line="360" w:lineRule="auto"/>
        <w:ind w:firstLine="709"/>
        <w:jc w:val="both"/>
      </w:pPr>
      <w:r w:rsidRPr="00F128E8">
        <w:t xml:space="preserve">Третий важный момент – </w:t>
      </w:r>
      <w:r w:rsidR="00760828" w:rsidRPr="00F128E8">
        <w:t>неравномерность развития и бюджетной обеспеченности регионов</w:t>
      </w:r>
      <w:r w:rsidRPr="00F128E8">
        <w:t xml:space="preserve">. </w:t>
      </w:r>
      <w:r w:rsidR="00C857F5" w:rsidRPr="00F128E8">
        <w:t>Это ставит регионы в разные условия при реализации национальных проектов. Ресурсы на выравнивание бюджетной обеспеченности должны быть увеличены.</w:t>
      </w:r>
      <w:r w:rsidR="00C857F5">
        <w:t xml:space="preserve"> </w:t>
      </w:r>
    </w:p>
    <w:p w:rsidR="00932AAC" w:rsidRDefault="00932AAC" w:rsidP="00932AAC">
      <w:pPr>
        <w:pStyle w:val="Default"/>
        <w:spacing w:line="360" w:lineRule="auto"/>
        <w:ind w:firstLine="709"/>
        <w:jc w:val="both"/>
      </w:pPr>
    </w:p>
    <w:p w:rsidR="00932AAC" w:rsidRDefault="00932AAC" w:rsidP="00932AAC">
      <w:pPr>
        <w:pStyle w:val="Default"/>
        <w:spacing w:line="360" w:lineRule="auto"/>
        <w:ind w:firstLine="709"/>
        <w:jc w:val="both"/>
        <w:rPr>
          <w:b/>
        </w:rPr>
      </w:pPr>
      <w:r w:rsidRPr="00932AAC">
        <w:rPr>
          <w:b/>
        </w:rPr>
        <w:t xml:space="preserve">4. </w:t>
      </w:r>
      <w:r w:rsidR="009C6E72">
        <w:rPr>
          <w:b/>
        </w:rPr>
        <w:t>Бюджетное с</w:t>
      </w:r>
      <w:r w:rsidRPr="00932AAC">
        <w:rPr>
          <w:b/>
        </w:rPr>
        <w:t>тимулирование структурных изменений в экономике</w:t>
      </w:r>
    </w:p>
    <w:p w:rsidR="009C6E72" w:rsidRDefault="009C6E72" w:rsidP="006B4C44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9C6E72" w:rsidRPr="009C6E72" w:rsidRDefault="009C6E72" w:rsidP="006B4C44">
      <w:pPr>
        <w:pStyle w:val="Default"/>
        <w:spacing w:line="360" w:lineRule="auto"/>
        <w:ind w:firstLine="709"/>
        <w:jc w:val="both"/>
        <w:rPr>
          <w:b/>
          <w:i/>
        </w:rPr>
      </w:pPr>
      <w:r w:rsidRPr="009C6E72">
        <w:rPr>
          <w:b/>
          <w:i/>
        </w:rPr>
        <w:t>Структурные проблемы</w:t>
      </w:r>
    </w:p>
    <w:p w:rsidR="006B4C44" w:rsidRPr="006B4C44" w:rsidRDefault="006B4C44" w:rsidP="006B4C44">
      <w:pPr>
        <w:pStyle w:val="Default"/>
        <w:spacing w:line="360" w:lineRule="auto"/>
        <w:ind w:firstLine="709"/>
        <w:jc w:val="both"/>
      </w:pPr>
      <w:r w:rsidRPr="006B4C44">
        <w:t>Проект О</w:t>
      </w:r>
      <w:r>
        <w:t>НБП</w:t>
      </w:r>
      <w:r w:rsidRPr="006B4C44">
        <w:t xml:space="preserve"> отмечает позитивные структурные изменения, указывая на укрепление конкурентоспособности отечественной экономики, расширение экспорта </w:t>
      </w:r>
      <w:proofErr w:type="spellStart"/>
      <w:r w:rsidRPr="006B4C44">
        <w:t>ненефтегазового</w:t>
      </w:r>
      <w:proofErr w:type="spellEnd"/>
      <w:r w:rsidRPr="006B4C44">
        <w:t xml:space="preserve"> сектора, укрепление восстановления инвестиционной активности. В действительности ситуация выглядит менее позитивно. </w:t>
      </w:r>
    </w:p>
    <w:p w:rsidR="006B4C44" w:rsidRPr="00153D55" w:rsidRDefault="006B4C44" w:rsidP="006B4C44">
      <w:pPr>
        <w:pStyle w:val="Default"/>
        <w:spacing w:line="360" w:lineRule="auto"/>
        <w:ind w:firstLine="709"/>
        <w:jc w:val="both"/>
      </w:pPr>
      <w:r>
        <w:t>В</w:t>
      </w:r>
      <w:r w:rsidRPr="006B4C44">
        <w:t xml:space="preserve"> период 2014-2018 годов наблюда</w:t>
      </w:r>
      <w:r>
        <w:t>лось</w:t>
      </w:r>
      <w:r w:rsidRPr="006B4C44">
        <w:t xml:space="preserve"> снижение в структуре валовой добавленной стоимости</w:t>
      </w:r>
      <w:r>
        <w:t xml:space="preserve"> доли</w:t>
      </w:r>
      <w:r w:rsidRPr="006B4C44">
        <w:t xml:space="preserve"> базовых </w:t>
      </w:r>
      <w:proofErr w:type="spellStart"/>
      <w:r w:rsidRPr="006B4C44">
        <w:t>несырьевых</w:t>
      </w:r>
      <w:proofErr w:type="spellEnd"/>
      <w:r w:rsidRPr="006B4C44">
        <w:t xml:space="preserve"> отрас</w:t>
      </w:r>
      <w:r w:rsidR="00967260">
        <w:t>лей</w:t>
      </w:r>
      <w:r w:rsidRPr="006B4C44">
        <w:t xml:space="preserve"> при росте доли добывающих производств</w:t>
      </w:r>
      <w:r>
        <w:t xml:space="preserve">. </w:t>
      </w:r>
      <w:r w:rsidRPr="006B4C44">
        <w:t xml:space="preserve">Некоторое сжатие доли нефтегазового сектора в валовой структуре экспорта (-5,8% в 2018 году относительно 2014) оказалось обеспечено преимущественно за счет стоимостного фактора, обусловленного снижением цены нефти на мировых рынках. </w:t>
      </w:r>
      <w:proofErr w:type="gramStart"/>
      <w:r w:rsidRPr="006B4C44">
        <w:t>Суммарная доля в экспорте двух наиболее сложных секторов - химическ</w:t>
      </w:r>
      <w:r w:rsidRPr="00153D55">
        <w:t xml:space="preserve">ой </w:t>
      </w:r>
      <w:r w:rsidRPr="00153D55">
        <w:lastRenderedPageBreak/>
        <w:t>промышленности и машиностроительного комплекса – выросла в валовом экспорте на рынки стран СНГ на 3.1%, на рынки стран Дальнего зарубежья – на 1.3%. Доля экспорта сектора АПК выросла на 1,2% в экспорте в стран СНГ и на 1,8% в экспорте в страны Дальнего зарубежья.</w:t>
      </w:r>
      <w:proofErr w:type="gramEnd"/>
    </w:p>
    <w:p w:rsidR="006B4C44" w:rsidRPr="009E3C29" w:rsidRDefault="006B4C44" w:rsidP="006B4C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B4C44" w:rsidRPr="006B4C44" w:rsidRDefault="006B4C44" w:rsidP="006B4C44">
      <w:pPr>
        <w:spacing w:line="360" w:lineRule="auto"/>
        <w:rPr>
          <w:rFonts w:ascii="Times New Roman" w:hAnsi="Times New Roman" w:cs="Times New Roman"/>
          <w:b/>
        </w:rPr>
      </w:pPr>
      <w:r w:rsidRPr="006B4C44">
        <w:rPr>
          <w:rFonts w:ascii="Times New Roman" w:hAnsi="Times New Roman" w:cs="Times New Roman"/>
          <w:b/>
        </w:rPr>
        <w:t>Рис 6а. Товарная структура российского экспорта в страны СНГ, 2014-2018, %</w:t>
      </w:r>
    </w:p>
    <w:p w:rsidR="006B4C44" w:rsidRDefault="006B4C44" w:rsidP="006B4C44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60440" cy="2222205"/>
            <wp:effectExtent l="0" t="0" r="0" b="6985"/>
            <wp:docPr id="2" name="Диаграмма 2">
              <a:extLst xmlns:a="http://schemas.openxmlformats.org/drawingml/2006/main">
                <a:ext uri="{FF2B5EF4-FFF2-40B4-BE49-F238E27FC236}">
                  <a16:creationId xmlns:w15="http://schemas.microsoft.com/office/word/2012/wordml" xmlns:ns6="http://schemas.openxmlformats.org/schemaLibrary/2006/main" xmlns:ns32="http://schemas.openxmlformats.org/drawingml/2006/lockedCanvas" xmlns:ns31="http://schemas.openxmlformats.org/drawingml/2006/compatibility" xmlns:ns30="http://schemas.openxmlformats.org/officeDocument/2006/bibliography" xmlns:ns23="http://schemas.microsoft.com/office/2006/coverPageProps" xmlns:ns21="urn:schemas-microsoft-com:office:powerpoint" xmlns:ns17="urn:schemas-microsoft-com:office:excel" xmlns:ns12="http://schemas.openxmlformats.org/drawingml/2006/chartDrawing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6="http://schemas.microsoft.com/office/drawing/2014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="http://schemas.openxmlformats.org/wordprocessingml/2006/main" xmlns="" id="{A187CFBF-ACB2-B544-A1E7-1F63282D0E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4C44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расчеты авторов, данные ФТС РФ</w:t>
      </w:r>
    </w:p>
    <w:p w:rsidR="006B4C44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B4C44" w:rsidRPr="006B4C44" w:rsidRDefault="006B4C44" w:rsidP="006B4C44">
      <w:pPr>
        <w:spacing w:line="360" w:lineRule="auto"/>
        <w:rPr>
          <w:rFonts w:ascii="Times New Roman" w:hAnsi="Times New Roman" w:cs="Times New Roman"/>
          <w:b/>
        </w:rPr>
      </w:pPr>
      <w:r w:rsidRPr="006B4C44">
        <w:rPr>
          <w:rFonts w:ascii="Times New Roman" w:hAnsi="Times New Roman" w:cs="Times New Roman"/>
          <w:b/>
        </w:rPr>
        <w:t>Рис 6б. Товарная структура российского экспорта в страны Дальнего зарубежья, 2014-2018, %</w:t>
      </w:r>
    </w:p>
    <w:p w:rsidR="006B4C44" w:rsidRDefault="006B4C44" w:rsidP="006B4C44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92800" cy="2009553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w15="http://schemas.microsoft.com/office/word/2012/wordml" xmlns:ns6="http://schemas.openxmlformats.org/schemaLibrary/2006/main" xmlns:ns32="http://schemas.openxmlformats.org/drawingml/2006/lockedCanvas" xmlns:ns31="http://schemas.openxmlformats.org/drawingml/2006/compatibility" xmlns:ns30="http://schemas.openxmlformats.org/officeDocument/2006/bibliography" xmlns:ns23="http://schemas.microsoft.com/office/2006/coverPageProps" xmlns:ns21="urn:schemas-microsoft-com:office:powerpoint" xmlns:ns17="urn:schemas-microsoft-com:office:excel" xmlns:ns12="http://schemas.openxmlformats.org/drawingml/2006/chartDrawing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6="http://schemas.microsoft.com/office/drawing/2014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="http://schemas.openxmlformats.org/wordprocessingml/2006/main" xmlns="" id="{AEE8A49B-DB7A-2541-AC95-B389C570A6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4C44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расчеты авторов, данные ФТС РФ</w:t>
      </w:r>
    </w:p>
    <w:p w:rsidR="006B4C44" w:rsidRPr="00A179CC" w:rsidRDefault="006B4C44" w:rsidP="006B4C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179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Российская экономика за последнее десятилетие сократила участие в глобальных цепочках добавленной стоимости (ГЦДС). Нельзя выделить признаки вертикального </w:t>
      </w:r>
      <w:r w:rsidRPr="00A179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обновления отраслей в ГДЦС. Наращивания вклада добавленной стоимости в российский экспорт конечных товаров оказалось недостаточно для того, чтобы увеличить участие России в зарубежном конечном потреблении. Исключением является только сектор АПК, однако приращение в нем за десятилетие составило менее 5%. Серьезное сокращение участия в мировом потреблении добавленной стоимости продемонстрировал металлургический комплекс, химическая промышленность и фармацевтика, машиностроение. Отсутствуют признаки горизонтального обновления российских отраслей в ГЦДС. При этом в экспорте промежуточных товаров фактически по всем секторам российской экономики наблюдается спад вклада добавленной стоимости в экспорт. Это дополнительно подтверждает выводы об упрощении товарной структуры российского экспорта. </w:t>
      </w: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Default="006B4C44" w:rsidP="006B4C44">
      <w:pPr>
        <w:spacing w:line="360" w:lineRule="auto"/>
        <w:ind w:firstLine="709"/>
        <w:rPr>
          <w:rStyle w:val="af1"/>
          <w:rFonts w:ascii="Times New Roman" w:hAnsi="Times New Roman" w:cs="Times New Roman"/>
        </w:rPr>
      </w:pPr>
    </w:p>
    <w:p w:rsidR="006B4C44" w:rsidRPr="006B4C44" w:rsidRDefault="006B4C44" w:rsidP="006B4C44">
      <w:pPr>
        <w:spacing w:line="360" w:lineRule="auto"/>
        <w:rPr>
          <w:rStyle w:val="af1"/>
          <w:rFonts w:ascii="Times New Roman" w:hAnsi="Times New Roman" w:cs="Times New Roman"/>
          <w:b/>
        </w:rPr>
      </w:pPr>
      <w:r w:rsidRPr="006B4C44">
        <w:rPr>
          <w:rStyle w:val="af1"/>
          <w:rFonts w:ascii="Times New Roman" w:hAnsi="Times New Roman" w:cs="Times New Roman"/>
          <w:b/>
        </w:rPr>
        <w:t xml:space="preserve">Рис 7а. Изменение позиционирования российских отраслей обрабатывающего сектора, производящих конечные товары, </w:t>
      </w:r>
      <w:proofErr w:type="gramStart"/>
      <w:r w:rsidRPr="006B4C44">
        <w:rPr>
          <w:rStyle w:val="af1"/>
          <w:rFonts w:ascii="Times New Roman" w:hAnsi="Times New Roman" w:cs="Times New Roman"/>
          <w:b/>
        </w:rPr>
        <w:t>в</w:t>
      </w:r>
      <w:proofErr w:type="gramEnd"/>
      <w:r w:rsidRPr="006B4C44">
        <w:rPr>
          <w:rStyle w:val="af1"/>
          <w:rFonts w:ascii="Times New Roman" w:hAnsi="Times New Roman" w:cs="Times New Roman"/>
          <w:b/>
        </w:rPr>
        <w:t xml:space="preserve"> глобальных ЦДС в 2005-2015 гг., процентных пунктов</w:t>
      </w:r>
    </w:p>
    <w:p w:rsidR="006B4C44" w:rsidRPr="00631C97" w:rsidRDefault="006B4C44" w:rsidP="006B4C4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6350" cy="60960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w15="http://schemas.microsoft.com/office/word/2012/wordml" xmlns:ns6="http://schemas.openxmlformats.org/schemaLibrary/2006/main" xmlns:ns32="http://schemas.openxmlformats.org/drawingml/2006/lockedCanvas" xmlns:ns31="http://schemas.openxmlformats.org/drawingml/2006/compatibility" xmlns:ns30="http://schemas.openxmlformats.org/officeDocument/2006/bibliography" xmlns:ns23="http://schemas.microsoft.com/office/2006/coverPageProps" xmlns:ns21="urn:schemas-microsoft-com:office:powerpoint" xmlns:ns17="urn:schemas-microsoft-com:office:excel" xmlns:ns12="http://schemas.openxmlformats.org/drawingml/2006/chartDrawing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6="http://schemas.microsoft.com/office/drawing/2014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="http://schemas.openxmlformats.org/wordprocessingml/2006/main" xmlns="" id="{084F5E03-9038-7448-ACB9-B38E1E2B7D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4C4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lang w:val="en-US"/>
        </w:rPr>
      </w:pPr>
      <w:r w:rsidRPr="00F0605E">
        <w:rPr>
          <w:rFonts w:ascii="Times New Roman" w:hAnsi="Times New Roman" w:cs="Times New Roman"/>
          <w:noProof/>
        </w:rPr>
        <w:t>Источник</w:t>
      </w:r>
      <w:r w:rsidRPr="00F0605E">
        <w:rPr>
          <w:rFonts w:ascii="Times New Roman" w:hAnsi="Times New Roman" w:cs="Times New Roman"/>
          <w:noProof/>
          <w:lang w:val="en-US"/>
        </w:rPr>
        <w:t xml:space="preserve">: </w:t>
      </w:r>
      <w:r w:rsidRPr="00F0605E">
        <w:rPr>
          <w:rFonts w:ascii="Times New Roman" w:hAnsi="Times New Roman" w:cs="Times New Roman"/>
          <w:noProof/>
        </w:rPr>
        <w:t>расчеты</w:t>
      </w:r>
      <w:r w:rsidRPr="00F0605E">
        <w:rPr>
          <w:rFonts w:ascii="Times New Roman" w:hAnsi="Times New Roman" w:cs="Times New Roman"/>
          <w:noProof/>
          <w:lang w:val="en-US"/>
        </w:rPr>
        <w:t xml:space="preserve"> </w:t>
      </w:r>
      <w:r w:rsidRPr="00F0605E">
        <w:rPr>
          <w:rFonts w:ascii="Times New Roman" w:hAnsi="Times New Roman" w:cs="Times New Roman"/>
          <w:noProof/>
        </w:rPr>
        <w:t>авторов</w:t>
      </w:r>
      <w:r w:rsidRPr="00F0605E">
        <w:rPr>
          <w:rFonts w:ascii="Times New Roman" w:hAnsi="Times New Roman" w:cs="Times New Roman"/>
          <w:noProof/>
          <w:lang w:val="en-US"/>
        </w:rPr>
        <w:t xml:space="preserve">, </w:t>
      </w:r>
      <w:r w:rsidRPr="00F0605E">
        <w:rPr>
          <w:rFonts w:ascii="Times New Roman" w:hAnsi="Times New Roman" w:cs="Times New Roman"/>
          <w:noProof/>
        </w:rPr>
        <w:t>данные</w:t>
      </w:r>
      <w:r w:rsidRPr="00F0605E">
        <w:rPr>
          <w:rFonts w:ascii="Times New Roman" w:hAnsi="Times New Roman" w:cs="Times New Roman"/>
          <w:noProof/>
          <w:lang w:val="en-US"/>
        </w:rPr>
        <w:t xml:space="preserve"> Trade in eMployment  (TiM), Trade in Value Added (TiVA) OECD</w:t>
      </w:r>
    </w:p>
    <w:p w:rsidR="00A36650" w:rsidRPr="00BB4427" w:rsidRDefault="00A36650" w:rsidP="006B4C44">
      <w:pPr>
        <w:spacing w:line="360" w:lineRule="auto"/>
        <w:rPr>
          <w:rStyle w:val="af1"/>
          <w:rFonts w:ascii="Times New Roman" w:hAnsi="Times New Roman" w:cs="Times New Roman"/>
          <w:b/>
          <w:lang w:val="en-US"/>
        </w:rPr>
      </w:pPr>
    </w:p>
    <w:p w:rsidR="00A36650" w:rsidRPr="00BB4427" w:rsidRDefault="00A36650" w:rsidP="006B4C44">
      <w:pPr>
        <w:spacing w:line="360" w:lineRule="auto"/>
        <w:rPr>
          <w:rStyle w:val="af1"/>
          <w:rFonts w:ascii="Times New Roman" w:hAnsi="Times New Roman" w:cs="Times New Roman"/>
          <w:b/>
          <w:lang w:val="en-US"/>
        </w:rPr>
      </w:pPr>
    </w:p>
    <w:p w:rsidR="00A36650" w:rsidRPr="00BB4427" w:rsidRDefault="00A36650" w:rsidP="006B4C44">
      <w:pPr>
        <w:spacing w:line="360" w:lineRule="auto"/>
        <w:rPr>
          <w:rStyle w:val="af1"/>
          <w:rFonts w:ascii="Times New Roman" w:hAnsi="Times New Roman" w:cs="Times New Roman"/>
          <w:b/>
          <w:lang w:val="en-US"/>
        </w:rPr>
      </w:pPr>
    </w:p>
    <w:p w:rsidR="006B4C44" w:rsidRPr="006B4C44" w:rsidRDefault="006B4C44" w:rsidP="006B4C44">
      <w:pPr>
        <w:spacing w:line="360" w:lineRule="auto"/>
        <w:rPr>
          <w:rStyle w:val="af1"/>
          <w:rFonts w:ascii="Times New Roman" w:hAnsi="Times New Roman" w:cs="Times New Roman"/>
          <w:b/>
        </w:rPr>
      </w:pPr>
      <w:r w:rsidRPr="006B4C44">
        <w:rPr>
          <w:rStyle w:val="af1"/>
          <w:rFonts w:ascii="Times New Roman" w:hAnsi="Times New Roman" w:cs="Times New Roman"/>
          <w:b/>
        </w:rPr>
        <w:t xml:space="preserve">Рис 7б. </w:t>
      </w:r>
      <w:proofErr w:type="gramStart"/>
      <w:r w:rsidRPr="006B4C44">
        <w:rPr>
          <w:rStyle w:val="af1"/>
          <w:rFonts w:ascii="Times New Roman" w:hAnsi="Times New Roman" w:cs="Times New Roman"/>
          <w:b/>
        </w:rPr>
        <w:t>Изменение позиционирования российских отраслей обрабатывающего сектора, производящих промежуточные товары, в глобальных ЦДС по странам мировой экономики в 2005-2015 гг., процентных пунктов</w:t>
      </w:r>
      <w:proofErr w:type="gramEnd"/>
    </w:p>
    <w:p w:rsidR="006B4C44" w:rsidRPr="00631C97" w:rsidRDefault="006B4C44" w:rsidP="006B4C44">
      <w:pPr>
        <w:pStyle w:val="af3"/>
        <w:spacing w:line="36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6124575" cy="59340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w15="http://schemas.microsoft.com/office/word/2012/wordml" xmlns:ns6="http://schemas.openxmlformats.org/schemaLibrary/2006/main" xmlns:ns32="http://schemas.openxmlformats.org/drawingml/2006/lockedCanvas" xmlns:ns31="http://schemas.openxmlformats.org/drawingml/2006/compatibility" xmlns:ns30="http://schemas.openxmlformats.org/officeDocument/2006/bibliography" xmlns:ns23="http://schemas.microsoft.com/office/2006/coverPageProps" xmlns:ns21="urn:schemas-microsoft-com:office:powerpoint" xmlns:ns17="urn:schemas-microsoft-com:office:excel" xmlns:ns12="http://schemas.openxmlformats.org/drawingml/2006/chartDrawing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6="http://schemas.microsoft.com/office/drawing/2014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="http://schemas.openxmlformats.org/wordprocessingml/2006/main" xmlns="" id="{7098E86D-5C74-6C45-B70C-C169F2C63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4C4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lang w:val="en-US"/>
        </w:rPr>
      </w:pPr>
      <w:r w:rsidRPr="00631C97">
        <w:rPr>
          <w:rFonts w:ascii="Times New Roman" w:hAnsi="Times New Roman" w:cs="Times New Roman"/>
          <w:noProof/>
        </w:rPr>
        <w:t>Источник</w:t>
      </w:r>
      <w:r w:rsidRPr="00631C97">
        <w:rPr>
          <w:rFonts w:ascii="Times New Roman" w:hAnsi="Times New Roman" w:cs="Times New Roman"/>
          <w:noProof/>
          <w:lang w:val="en-US"/>
        </w:rPr>
        <w:t xml:space="preserve">: </w:t>
      </w:r>
      <w:r w:rsidRPr="00631C97">
        <w:rPr>
          <w:rFonts w:ascii="Times New Roman" w:hAnsi="Times New Roman" w:cs="Times New Roman"/>
          <w:noProof/>
        </w:rPr>
        <w:t>расчеты</w:t>
      </w:r>
      <w:r w:rsidRPr="00631C97">
        <w:rPr>
          <w:rFonts w:ascii="Times New Roman" w:hAnsi="Times New Roman" w:cs="Times New Roman"/>
          <w:noProof/>
          <w:lang w:val="en-US"/>
        </w:rPr>
        <w:t xml:space="preserve"> </w:t>
      </w:r>
      <w:r w:rsidRPr="00631C97">
        <w:rPr>
          <w:rFonts w:ascii="Times New Roman" w:hAnsi="Times New Roman" w:cs="Times New Roman"/>
          <w:noProof/>
        </w:rPr>
        <w:t>авторов</w:t>
      </w:r>
      <w:r w:rsidRPr="00631C97">
        <w:rPr>
          <w:rFonts w:ascii="Times New Roman" w:hAnsi="Times New Roman" w:cs="Times New Roman"/>
          <w:noProof/>
          <w:lang w:val="en-US"/>
        </w:rPr>
        <w:t xml:space="preserve">, </w:t>
      </w:r>
      <w:r w:rsidRPr="00631C97">
        <w:rPr>
          <w:rFonts w:ascii="Times New Roman" w:hAnsi="Times New Roman" w:cs="Times New Roman"/>
          <w:noProof/>
        </w:rPr>
        <w:t>данные</w:t>
      </w:r>
      <w:r w:rsidRPr="00631C97">
        <w:rPr>
          <w:rFonts w:ascii="Times New Roman" w:hAnsi="Times New Roman" w:cs="Times New Roman"/>
          <w:noProof/>
          <w:lang w:val="en-US"/>
        </w:rPr>
        <w:t xml:space="preserve"> Trade in eMployment  (TiM), Trade in Value Added (TiVA) OECD</w:t>
      </w:r>
    </w:p>
    <w:p w:rsidR="006B4C44" w:rsidRPr="00A179CC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Предпринимательская активность по итогам 2017-2018 годов отражает общее сокращение численности предприятий во всех секторах экономики и несущественно различается в разрезе видов экономической деятельности. </w:t>
      </w:r>
      <w:proofErr w:type="gramStart"/>
      <w:r w:rsidRPr="00A179CC">
        <w:rPr>
          <w:rFonts w:ascii="Times New Roman" w:hAnsi="Times New Roman" w:cs="Times New Roman"/>
          <w:sz w:val="24"/>
          <w:szCs w:val="24"/>
        </w:rPr>
        <w:t>Доля «родившихся» предприятий в 2018 году в целом по экономике составляет 8,5% от числа экономических активных, доля «умерших» – 18,5%. Предпринимательская активность в новых и быстрорастущих в мире секторах (в первую очередь, услуги в сфере информации и связи, образования, финансовой деятельности) не демонстрирует значимых отличий от традиционных секторов экономики.</w:t>
      </w:r>
      <w:proofErr w:type="gramEnd"/>
    </w:p>
    <w:p w:rsidR="006B4C44" w:rsidRPr="00A36650" w:rsidRDefault="006B4C44" w:rsidP="00A36650">
      <w:pPr>
        <w:spacing w:line="360" w:lineRule="auto"/>
        <w:rPr>
          <w:rFonts w:ascii="Times New Roman" w:hAnsi="Times New Roman" w:cs="Times New Roman"/>
          <w:b/>
        </w:rPr>
      </w:pPr>
      <w:r w:rsidRPr="00A36650">
        <w:rPr>
          <w:rFonts w:ascii="Times New Roman" w:hAnsi="Times New Roman" w:cs="Times New Roman"/>
          <w:b/>
        </w:rPr>
        <w:lastRenderedPageBreak/>
        <w:t>Рис 8. Демографические показатели предприятий в группировке по видам экономической деятельности в 2018 г.</w:t>
      </w:r>
    </w:p>
    <w:p w:rsidR="006B4C44" w:rsidRDefault="006B4C44" w:rsidP="006B4C44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53100" cy="40481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4C44" w:rsidRPr="00DA4653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расчеты авторов, данные Росстат</w:t>
      </w:r>
    </w:p>
    <w:p w:rsidR="006B4C44" w:rsidRPr="00A179CC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Быстрорастущие предприятия тяготеют преимущественно к традиционным отраслям экономики. Лидерами по удельной доле предприятий с высокими темпами роста занятости в 2018 году стали сектор добычи полезных ископаемых, обеспечение электроэнергией, газом и паром. По удельной доле предприятий с высокими темпами роста оборота являются сектор сельского хозяйства, рыболовства и рыбоводства, сектор обеспечения электроэнергией, газом и паром, а также сектор добычи полезных ископаемых. </w:t>
      </w:r>
    </w:p>
    <w:p w:rsidR="006B4C4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Таким образом, основными препятствиями для устойчивого роста российской экономики представляются сохранение ее ориентации на традиционные сектора экономики, низкая предпринимательская активность в новых секторах, ориентированность экспорта на однородные товары низких переделов, отсутствие признаков расширения участия российских отраслей в глобальной экономике и в ГЦДС. </w:t>
      </w:r>
    </w:p>
    <w:p w:rsidR="00967260" w:rsidRPr="00A179CC" w:rsidRDefault="00967260" w:rsidP="006B4C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6A0" w:rsidRPr="00A179CC" w:rsidRDefault="00F056A0" w:rsidP="006B4C4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79CC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Финансирование национальных проектов в сфере экономики</w:t>
      </w:r>
    </w:p>
    <w:p w:rsidR="006B4C44" w:rsidRPr="00A179CC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>Вместе с тем, распределение финансирования на национальные проекты определяет, что относительно больший объем финансирования на национальные проекты, направленные на улучшение условий ведения бизнеса и поддержку предпринимательской инициативы («Малое и среднее предпринимательство», «Международная кооперация и экспорт», «Производительность труда и поддержка занятости»), приходится на последние годы шестилетнего периода планирования. Если в 2019-2021 годах доля таких проектов составляет</w:t>
      </w:r>
      <w:r w:rsidR="009C6E72" w:rsidRPr="00A179CC">
        <w:rPr>
          <w:rFonts w:ascii="Times New Roman" w:hAnsi="Times New Roman" w:cs="Times New Roman"/>
          <w:sz w:val="24"/>
          <w:szCs w:val="24"/>
        </w:rPr>
        <w:t xml:space="preserve"> </w:t>
      </w:r>
      <w:r w:rsidRPr="00A179CC">
        <w:rPr>
          <w:rFonts w:ascii="Times New Roman" w:hAnsi="Times New Roman" w:cs="Times New Roman"/>
          <w:sz w:val="24"/>
          <w:szCs w:val="24"/>
        </w:rPr>
        <w:t xml:space="preserve">в среднем 8,0% (или в абсолютном значении в среднем 151,6 </w:t>
      </w:r>
      <w:proofErr w:type="gramStart"/>
      <w:r w:rsidRPr="00A179C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179CC">
        <w:rPr>
          <w:rFonts w:ascii="Times New Roman" w:hAnsi="Times New Roman" w:cs="Times New Roman"/>
          <w:sz w:val="24"/>
          <w:szCs w:val="24"/>
        </w:rPr>
        <w:t xml:space="preserve"> рублей ежегодно), то в 2022-2024 годах – 12,1% (297,1 млрд руб.).  Фактически, это может означать, что отложенное масштабное финансирование национальных проектов в области предпринимательства даст отложенный эффект на структурные изменения в экономике и повышение предпринимательской активности. Это, в свою очередь, может представлять риски для достижения целевых показателей национальных проектов, включая достижение показателя по численности занятых в сфере МСП, по доле МСП в ВВП, по вкладу МСП в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несырьевой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экспорт.</w:t>
      </w:r>
    </w:p>
    <w:p w:rsidR="006B4C44" w:rsidRPr="009C6E72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C6E72">
        <w:rPr>
          <w:rFonts w:ascii="Times New Roman" w:hAnsi="Times New Roman" w:cs="Times New Roman"/>
          <w:b/>
        </w:rPr>
        <w:t xml:space="preserve">Таблица </w:t>
      </w:r>
      <w:r w:rsidR="009C6E72" w:rsidRPr="009C6E72">
        <w:rPr>
          <w:rFonts w:ascii="Times New Roman" w:hAnsi="Times New Roman" w:cs="Times New Roman"/>
          <w:b/>
        </w:rPr>
        <w:t>8</w:t>
      </w:r>
      <w:r w:rsidRPr="009C6E72">
        <w:rPr>
          <w:rFonts w:ascii="Times New Roman" w:hAnsi="Times New Roman" w:cs="Times New Roman"/>
          <w:b/>
        </w:rPr>
        <w:t>. Распределение финансирования на национальные проекты, %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850"/>
        <w:gridCol w:w="993"/>
        <w:gridCol w:w="850"/>
        <w:gridCol w:w="1134"/>
      </w:tblGrid>
      <w:tr w:rsidR="006B4C44" w:rsidRPr="009C6E72" w:rsidTr="003F695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2019-2024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 и городская среда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труда и поддержка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Цифровая экономика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Малое и среднее предпринимательство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Международная кооперация и экспорт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Комплексный план модернизации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B4C44" w:rsidRPr="009C6E72" w:rsidTr="003F695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проектов, направленных на улучшение условий ведения бизнеса и поддержку предпринимательской инициативы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C44" w:rsidRPr="009C6E72" w:rsidRDefault="006B4C44" w:rsidP="009C6E7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6E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10.3%</w:t>
            </w:r>
          </w:p>
        </w:tc>
      </w:tr>
    </w:tbl>
    <w:p w:rsidR="006B4C4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Источник: расчеты авторов, данные ОНБП 2022</w:t>
      </w:r>
    </w:p>
    <w:p w:rsidR="001C4CC4" w:rsidRPr="00A179CC" w:rsidRDefault="001C4CC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79CC">
        <w:rPr>
          <w:rFonts w:ascii="Times New Roman" w:hAnsi="Times New Roman" w:cs="Times New Roman"/>
          <w:b/>
          <w:i/>
          <w:sz w:val="24"/>
          <w:szCs w:val="24"/>
        </w:rPr>
        <w:t>Цифровизация</w:t>
      </w:r>
      <w:proofErr w:type="spellEnd"/>
    </w:p>
    <w:p w:rsidR="006B4C44" w:rsidRPr="00A179CC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>Результаты масштабного обследования российских промышленных предприятий, проведенного НИУ ВШЭ в 2018 году</w:t>
      </w:r>
      <w:r w:rsidRPr="00A179CC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A179CC">
        <w:rPr>
          <w:rFonts w:ascii="Times New Roman" w:hAnsi="Times New Roman" w:cs="Times New Roman"/>
          <w:sz w:val="24"/>
          <w:szCs w:val="24"/>
        </w:rPr>
        <w:t xml:space="preserve">, свидетельствуют о том, что главным препятствием для распространения цифровых технологий является их высокая стоимость (рис. </w:t>
      </w:r>
      <w:r w:rsidR="001C4CC4" w:rsidRPr="00A179CC">
        <w:rPr>
          <w:rFonts w:ascii="Times New Roman" w:hAnsi="Times New Roman" w:cs="Times New Roman"/>
          <w:sz w:val="24"/>
          <w:szCs w:val="24"/>
        </w:rPr>
        <w:t>9</w:t>
      </w:r>
      <w:r w:rsidRPr="00A179CC">
        <w:rPr>
          <w:rFonts w:ascii="Times New Roman" w:hAnsi="Times New Roman" w:cs="Times New Roman"/>
          <w:sz w:val="24"/>
          <w:szCs w:val="24"/>
        </w:rPr>
        <w:t xml:space="preserve">). Кроме того, для «зрелых» компаний и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активных фирм большое значение имеет также проблема дефицита специалистов, обладающих необходимыми компетенциями для внедрения и использования цифровых технологий.</w:t>
      </w:r>
    </w:p>
    <w:p w:rsidR="001A5A3D" w:rsidRDefault="001A5A3D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1A5A3D" w:rsidRPr="001A5A3D" w:rsidRDefault="001A5A3D" w:rsidP="001A5A3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A5A3D">
        <w:rPr>
          <w:rFonts w:ascii="Times New Roman" w:hAnsi="Times New Roman" w:cs="Times New Roman"/>
          <w:b/>
        </w:rPr>
        <w:t>Рис 9. Основные проблемы внедрения российскими промышленными предприятиями цифровых технологий (частота упоминания руководителями предприятий, внедряющих цифровые технологии)</w:t>
      </w:r>
    </w:p>
    <w:p w:rsidR="006B4C44" w:rsidRDefault="006B4C44" w:rsidP="006B4C4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429000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4C44" w:rsidRPr="004114F2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  <w:r w:rsidRPr="004114F2">
        <w:rPr>
          <w:rFonts w:ascii="Times New Roman" w:hAnsi="Times New Roman" w:cs="Times New Roman"/>
        </w:rPr>
        <w:t>Источник: расчеты авторов на основе опроса НИУ ВШЭ (опрос руководителей 1,7 тыс. предприятий)</w:t>
      </w:r>
    </w:p>
    <w:p w:rsidR="006B4C44" w:rsidRPr="00A179CC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Таким образом, для обеспечения ускоренной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российской экономики в дополнение к предусмотренным ОНБП механизмам частичного возмещения затрат российским организациям на разработку цифровых платформ и программных продуктов целесообразно определить также инструменты государственного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</w:t>
      </w:r>
      <w:r w:rsidRPr="00A179CC">
        <w:rPr>
          <w:rFonts w:ascii="Times New Roman" w:hAnsi="Times New Roman" w:cs="Times New Roman"/>
          <w:sz w:val="24"/>
          <w:szCs w:val="24"/>
        </w:rPr>
        <w:lastRenderedPageBreak/>
        <w:t xml:space="preserve">затрат компаний, связанных с внедрением цифровых технологий, а также налоговые стимулы для соответствующих расходов бизнеса. Такого рода меры будут способствовать решению поставленной Президентом РФ задачи утроения доли внутренних затрат на развитие цифровой экономики в ВВП. Кроме того, наряду с подготовкой высококвалифицированных кадров для выведения отечественного программного обеспечения на конкурентный рынок (что прямо предусмотрено ОНБП) важно также предусмотреть меры по развитию кадрового обеспечения и для иных востребованных направлений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(облачные сервисы, интернет вещей, робототехника и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6B4C44" w:rsidRPr="00A179CC" w:rsidRDefault="001C4CC4" w:rsidP="006B4C44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179CC">
        <w:rPr>
          <w:rFonts w:ascii="Times New Roman" w:hAnsi="Times New Roman" w:cs="Times New Roman"/>
          <w:b/>
          <w:i/>
          <w:sz w:val="24"/>
          <w:szCs w:val="24"/>
        </w:rPr>
        <w:t xml:space="preserve">       Го</w:t>
      </w:r>
      <w:r w:rsidR="006B4C44" w:rsidRPr="00A179CC">
        <w:rPr>
          <w:rFonts w:ascii="Times New Roman" w:hAnsi="Times New Roman" w:cs="Times New Roman"/>
          <w:b/>
          <w:i/>
          <w:sz w:val="24"/>
          <w:szCs w:val="24"/>
        </w:rPr>
        <w:t>сударственная поддержка</w:t>
      </w:r>
      <w:r w:rsidRPr="00A179CC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технологического развития</w:t>
      </w:r>
    </w:p>
    <w:p w:rsidR="006B4C44" w:rsidRPr="00A179CC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Одной из национальных целей развития Российской Федерации на период до 2024 года является увеличение доли организаций, осуществляющих технологические инновации, до 50%. Данная цель объективно является крайне </w:t>
      </w:r>
      <w:proofErr w:type="gramStart"/>
      <w:r w:rsidRPr="00A179CC">
        <w:rPr>
          <w:rFonts w:ascii="Times New Roman" w:hAnsi="Times New Roman" w:cs="Times New Roman"/>
          <w:sz w:val="24"/>
          <w:szCs w:val="24"/>
        </w:rPr>
        <w:t>амбициозной</w:t>
      </w:r>
      <w:proofErr w:type="gramEnd"/>
      <w:r w:rsidRPr="00A179CC">
        <w:rPr>
          <w:rFonts w:ascii="Times New Roman" w:hAnsi="Times New Roman" w:cs="Times New Roman"/>
          <w:sz w:val="24"/>
          <w:szCs w:val="24"/>
        </w:rPr>
        <w:t xml:space="preserve">, поскольку в 2017 году удельный вес таких организаций составлял 16% (оценка – из Единого плана по достижению национальных целей развития Российской Федерации). </w:t>
      </w:r>
    </w:p>
    <w:p w:rsidR="006B4C44" w:rsidRPr="00A179CC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Для кардинального повышения уровня инновационной активности в российской экономике наряду с общим улучшением инновационного климата необходима широкомасштабная государственная поддержка инновационной деятельности предприятий и организаций. При этом принципиально важно сочетать разные формы поддержки: прежде всего, механизмы бюджетного финансирования и налоговые инструменты. Каждая из форм имеет существенные особенности, которые в свою очередь определяют оптимальные сферы их применения и предполагаемые результаты. </w:t>
      </w:r>
    </w:p>
    <w:p w:rsidR="006B4C44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>Прямая финансовая поддержка чаще приводит к инициированию новых проектов, а также при прочих равных обеспечивает более значимые положительные эффекты на уровне фирм (рис. 1</w:t>
      </w:r>
      <w:r w:rsidR="001C4CC4" w:rsidRPr="00A179CC">
        <w:rPr>
          <w:rFonts w:ascii="Times New Roman" w:hAnsi="Times New Roman" w:cs="Times New Roman"/>
          <w:sz w:val="24"/>
          <w:szCs w:val="24"/>
        </w:rPr>
        <w:t>0</w:t>
      </w:r>
      <w:r w:rsidRPr="00A179CC">
        <w:rPr>
          <w:rFonts w:ascii="Times New Roman" w:hAnsi="Times New Roman" w:cs="Times New Roman"/>
          <w:sz w:val="24"/>
          <w:szCs w:val="24"/>
        </w:rPr>
        <w:t>). Однако получение государственного финансирования зачастую приводит к «замещению» собственных вложений предприятий в инновационные проекты. Кроме того, существенной проблемой финансовой поддержки является сложность процедур, связанных как с ее привлечением, так и с подготовкой необходимой отчетности. Наконец, объективные трудности получения финансовой поддержки государства испытывают относительно «молодые» компании, а также фирмы, ранее не имевшие опыта привлечения средств государства.</w:t>
      </w:r>
    </w:p>
    <w:p w:rsidR="006779A5" w:rsidRPr="00A179CC" w:rsidRDefault="006779A5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CC4" w:rsidRDefault="001C4CC4" w:rsidP="001C4CC4">
      <w:pPr>
        <w:spacing w:line="360" w:lineRule="auto"/>
        <w:jc w:val="center"/>
        <w:rPr>
          <w:rFonts w:ascii="Times New Roman" w:hAnsi="Times New Roman" w:cs="Times New Roman"/>
        </w:rPr>
      </w:pPr>
    </w:p>
    <w:p w:rsidR="001C4CC4" w:rsidRDefault="001C4CC4" w:rsidP="001C4CC4">
      <w:pPr>
        <w:spacing w:line="360" w:lineRule="auto"/>
        <w:jc w:val="center"/>
        <w:rPr>
          <w:rFonts w:ascii="Times New Roman" w:hAnsi="Times New Roman" w:cs="Times New Roman"/>
        </w:rPr>
      </w:pPr>
    </w:p>
    <w:p w:rsidR="001C4CC4" w:rsidRDefault="001C4CC4" w:rsidP="001C4CC4">
      <w:pPr>
        <w:spacing w:line="360" w:lineRule="auto"/>
        <w:jc w:val="center"/>
        <w:rPr>
          <w:rFonts w:ascii="Times New Roman" w:hAnsi="Times New Roman" w:cs="Times New Roman"/>
        </w:rPr>
      </w:pPr>
    </w:p>
    <w:p w:rsidR="001C4CC4" w:rsidRPr="001C4CC4" w:rsidRDefault="001C4CC4" w:rsidP="001C4C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CC4">
        <w:rPr>
          <w:rFonts w:ascii="Times New Roman" w:hAnsi="Times New Roman" w:cs="Times New Roman"/>
          <w:b/>
        </w:rPr>
        <w:t>Рис 10. Динамика показателей деятельности промышленных предприятий в зависимости от наличия и формы государственной поддержки</w:t>
      </w:r>
    </w:p>
    <w:p w:rsidR="006B4C44" w:rsidRPr="00140F38" w:rsidRDefault="006B4C44" w:rsidP="006B4C4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644775"/>
            <wp:effectExtent l="0" t="0" r="3175" b="31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4C44" w:rsidRPr="001C4CC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4CC4">
        <w:rPr>
          <w:rFonts w:ascii="Times New Roman" w:hAnsi="Times New Roman" w:cs="Times New Roman"/>
        </w:rPr>
        <w:t>Источник: расчеты авторов на основе опроса НИУ ВШЭ (опрос руководителей 1,7 тыс. предприятий)</w:t>
      </w:r>
    </w:p>
    <w:p w:rsidR="006B4C44" w:rsidRPr="00A179CC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CC">
        <w:rPr>
          <w:rFonts w:ascii="Times New Roman" w:hAnsi="Times New Roman" w:cs="Times New Roman"/>
          <w:sz w:val="24"/>
          <w:szCs w:val="24"/>
        </w:rPr>
        <w:t xml:space="preserve">Меры налогового стимулирования, как правило, оказывают менее значимое влияние на деятельность предприятий и организаций, нежели прямая финансовая поддержка государства. Вместе с тем, бенефициарами налоговых мер чаще становятся компании - радикальные </w:t>
      </w:r>
      <w:proofErr w:type="spellStart"/>
      <w:r w:rsidRPr="00A179CC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A179CC">
        <w:rPr>
          <w:rFonts w:ascii="Times New Roman" w:hAnsi="Times New Roman" w:cs="Times New Roman"/>
          <w:sz w:val="24"/>
          <w:szCs w:val="24"/>
        </w:rPr>
        <w:t xml:space="preserve">, выпускающие новую в мировом масштабе продукцию (рис. 12). Важное преимущество налоговых стимулов состоит в том, что они могут обеспечить широкий круг получателей поддержки и при этом влекут за собой меньшие организационные </w:t>
      </w:r>
      <w:proofErr w:type="gramStart"/>
      <w:r w:rsidRPr="00A179CC">
        <w:rPr>
          <w:rFonts w:ascii="Times New Roman" w:hAnsi="Times New Roman" w:cs="Times New Roman"/>
          <w:sz w:val="24"/>
          <w:szCs w:val="24"/>
        </w:rPr>
        <w:t>издержки</w:t>
      </w:r>
      <w:proofErr w:type="gramEnd"/>
      <w:r w:rsidRPr="00A179CC">
        <w:rPr>
          <w:rFonts w:ascii="Times New Roman" w:hAnsi="Times New Roman" w:cs="Times New Roman"/>
          <w:sz w:val="24"/>
          <w:szCs w:val="24"/>
        </w:rPr>
        <w:t xml:space="preserve"> как для государства, так и для компаний. Также применение налоговых мер существенно реже приводит к «вытеснению» собственных вложений предприятий в инновационную сферу.</w:t>
      </w:r>
    </w:p>
    <w:p w:rsidR="001C4CC4" w:rsidRPr="00A179CC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C4CC4" w:rsidRPr="001C4CC4" w:rsidRDefault="001C4CC4" w:rsidP="001C4CC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C4CC4">
        <w:rPr>
          <w:rFonts w:ascii="Times New Roman" w:hAnsi="Times New Roman" w:cs="Times New Roman"/>
          <w:b/>
        </w:rPr>
        <w:t xml:space="preserve">Рис 11. Частота государственной поддержки </w:t>
      </w:r>
      <w:proofErr w:type="spellStart"/>
      <w:r w:rsidRPr="001C4CC4">
        <w:rPr>
          <w:rFonts w:ascii="Times New Roman" w:hAnsi="Times New Roman" w:cs="Times New Roman"/>
          <w:b/>
        </w:rPr>
        <w:t>инновационно</w:t>
      </w:r>
      <w:proofErr w:type="spellEnd"/>
      <w:r w:rsidRPr="001C4CC4">
        <w:rPr>
          <w:rFonts w:ascii="Times New Roman" w:hAnsi="Times New Roman" w:cs="Times New Roman"/>
          <w:b/>
        </w:rPr>
        <w:t xml:space="preserve"> активных предприятий в зависимости от новизны выпускаемой продукции</w:t>
      </w:r>
    </w:p>
    <w:p w:rsidR="006B4C44" w:rsidRDefault="006B4C44" w:rsidP="006B4C4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133976" cy="35242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4C44" w:rsidRPr="001C4CC4" w:rsidRDefault="006B4C44" w:rsidP="006B4C4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4CC4">
        <w:rPr>
          <w:rFonts w:ascii="Times New Roman" w:hAnsi="Times New Roman" w:cs="Times New Roman"/>
        </w:rPr>
        <w:t>Источник: расчеты авторов на основе опроса НИУ ВШЭ (опрос руководителей 1,7 тыс. предприятий)</w:t>
      </w:r>
    </w:p>
    <w:p w:rsidR="006B4C44" w:rsidRPr="00534500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6B4C44" w:rsidRPr="001C4CC4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C4CC4">
        <w:rPr>
          <w:rFonts w:ascii="Times New Roman" w:hAnsi="Times New Roman" w:cs="Times New Roman"/>
        </w:rPr>
        <w:t xml:space="preserve">В целом, для достижения необходимой динамики роста инновационной активности в российской экономике важно обеспечить как массовое вовлечение в процесс внедрения технологических инноваций новых компаний, так и </w:t>
      </w:r>
      <w:proofErr w:type="gramStart"/>
      <w:r w:rsidRPr="001C4CC4">
        <w:rPr>
          <w:rFonts w:ascii="Times New Roman" w:hAnsi="Times New Roman" w:cs="Times New Roman"/>
        </w:rPr>
        <w:t>укрепление</w:t>
      </w:r>
      <w:proofErr w:type="gramEnd"/>
      <w:r w:rsidRPr="001C4CC4">
        <w:rPr>
          <w:rFonts w:ascii="Times New Roman" w:hAnsi="Times New Roman" w:cs="Times New Roman"/>
        </w:rPr>
        <w:t xml:space="preserve"> и развитие соответствующей деятельности уже ведущих ее компаний. В свою очередь, для этого требуется обеспечить рациональное сочетание основных форм государственного стимулирования инноваций: финансовой и налоговой поддержки. Первая в силу своей селективности, более высоких требований и издержек применения и при этом более значимых потенциальных выгод наилучшим образом подходит для «закрепления» инновационных процессов в экономике и стимулирования ускоренного развития сложившихся компаний-</w:t>
      </w:r>
      <w:proofErr w:type="spellStart"/>
      <w:r w:rsidRPr="001C4CC4">
        <w:rPr>
          <w:rFonts w:ascii="Times New Roman" w:hAnsi="Times New Roman" w:cs="Times New Roman"/>
        </w:rPr>
        <w:t>инноваторов</w:t>
      </w:r>
      <w:proofErr w:type="spellEnd"/>
      <w:r w:rsidRPr="001C4CC4">
        <w:rPr>
          <w:rFonts w:ascii="Times New Roman" w:hAnsi="Times New Roman" w:cs="Times New Roman"/>
        </w:rPr>
        <w:t xml:space="preserve">. Налоговые стимулы способны повысить привлекательность инновационной деятельности для широкого круга предприятий и организаций, в том числе не внедряющих технологические инновации в настоящее время. При </w:t>
      </w:r>
      <w:r w:rsidRPr="001C4CC4">
        <w:rPr>
          <w:rFonts w:ascii="Times New Roman" w:hAnsi="Times New Roman" w:cs="Times New Roman"/>
        </w:rPr>
        <w:lastRenderedPageBreak/>
        <w:t>этом для вовлечения в инновационные процессы небольших и недавно созданных фирм целесообразно сочетать налоговые меры со специальными финансовыми инструментами, ориентированными на массовое применение и небольшой объем поддержки при минимальных организационных издержках компаний-получателей.</w:t>
      </w:r>
    </w:p>
    <w:p w:rsidR="006B4C44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6B4C44" w:rsidRPr="001C4CC4" w:rsidRDefault="006B4C44" w:rsidP="006B4C44">
      <w:pPr>
        <w:spacing w:line="360" w:lineRule="auto"/>
        <w:ind w:firstLine="709"/>
        <w:rPr>
          <w:rFonts w:ascii="Times New Roman" w:hAnsi="Times New Roman" w:cs="Times New Roman"/>
          <w:b/>
          <w:i/>
        </w:rPr>
      </w:pPr>
      <w:r w:rsidRPr="001C4CC4">
        <w:rPr>
          <w:rFonts w:ascii="Times New Roman" w:hAnsi="Times New Roman" w:cs="Times New Roman"/>
          <w:b/>
          <w:i/>
        </w:rPr>
        <w:t>Приватизация</w:t>
      </w:r>
    </w:p>
    <w:p w:rsidR="006B4C44" w:rsidRDefault="006B4C44" w:rsidP="001C4C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414D7">
        <w:rPr>
          <w:rFonts w:ascii="Times New Roman" w:hAnsi="Times New Roman" w:cs="Times New Roman"/>
        </w:rPr>
        <w:t xml:space="preserve">В соответствии с ОНБП </w:t>
      </w:r>
      <w:r>
        <w:rPr>
          <w:rFonts w:ascii="Times New Roman" w:hAnsi="Times New Roman" w:cs="Times New Roman"/>
        </w:rPr>
        <w:t xml:space="preserve">приватизации федерального имущества отводится крайне незначительная роль в формировании </w:t>
      </w:r>
      <w:r w:rsidR="001C4CC4">
        <w:rPr>
          <w:rFonts w:ascii="Times New Roman" w:hAnsi="Times New Roman" w:cs="Times New Roman"/>
        </w:rPr>
        <w:t>ресурсов</w:t>
      </w:r>
      <w:r>
        <w:rPr>
          <w:rFonts w:ascii="Times New Roman" w:hAnsi="Times New Roman" w:cs="Times New Roman"/>
        </w:rPr>
        <w:t xml:space="preserve"> бюджета: соответствующие поступление составят менее 0,03% бюджетных доходов. Это существенно меньше, чем в период 2000-2019 годов, когда приватизационные доходы обеспечивали в среднем 0,6% бюджетных поступлений, в отдельные </w:t>
      </w:r>
      <w:proofErr w:type="gramStart"/>
      <w:r>
        <w:rPr>
          <w:rFonts w:ascii="Times New Roman" w:hAnsi="Times New Roman" w:cs="Times New Roman"/>
        </w:rPr>
        <w:t>годы</w:t>
      </w:r>
      <w:proofErr w:type="gramEnd"/>
      <w:r>
        <w:rPr>
          <w:rFonts w:ascii="Times New Roman" w:hAnsi="Times New Roman" w:cs="Times New Roman"/>
        </w:rPr>
        <w:t xml:space="preserve"> достигая уровня 2% и более (рис. 1</w:t>
      </w:r>
      <w:r w:rsidR="001C4C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p w:rsidR="006B4C44" w:rsidRPr="001C4CC4" w:rsidRDefault="001C4CC4" w:rsidP="006B4C44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1C4CC4">
        <w:rPr>
          <w:rFonts w:ascii="Times New Roman" w:hAnsi="Times New Roman" w:cs="Times New Roman"/>
          <w:b/>
        </w:rPr>
        <w:t xml:space="preserve">Рис 12. </w:t>
      </w:r>
      <w:proofErr w:type="spellStart"/>
      <w:r w:rsidR="00BD6E8C">
        <w:rPr>
          <w:rFonts w:ascii="Times New Roman" w:hAnsi="Times New Roman" w:cs="Times New Roman"/>
          <w:b/>
        </w:rPr>
        <w:t>Поступленния</w:t>
      </w:r>
      <w:proofErr w:type="spellEnd"/>
      <w:r w:rsidRPr="001C4CC4">
        <w:rPr>
          <w:rFonts w:ascii="Times New Roman" w:hAnsi="Times New Roman" w:cs="Times New Roman"/>
          <w:b/>
        </w:rPr>
        <w:t xml:space="preserve"> от приватизации федерального имущества в 2000-2022 годах</w:t>
      </w:r>
    </w:p>
    <w:p w:rsidR="006B4C44" w:rsidRDefault="006B4C44" w:rsidP="006B4C44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87090"/>
            <wp:effectExtent l="0" t="0" r="3175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4C44" w:rsidRPr="006C5368" w:rsidRDefault="006B4C44" w:rsidP="006B4C44">
      <w:pPr>
        <w:spacing w:line="360" w:lineRule="auto"/>
        <w:ind w:firstLine="709"/>
        <w:rPr>
          <w:rFonts w:ascii="Times New Roman" w:hAnsi="Times New Roman" w:cs="Times New Roman"/>
        </w:rPr>
      </w:pPr>
      <w:r w:rsidRPr="006C5368">
        <w:rPr>
          <w:rFonts w:ascii="Times New Roman" w:hAnsi="Times New Roman" w:cs="Times New Roman"/>
        </w:rPr>
        <w:t xml:space="preserve">Источник: рассчитано авторами на основе данных ОНБП, отчетов об исполнении федерального бюджета, данных </w:t>
      </w:r>
      <w:proofErr w:type="spellStart"/>
      <w:r w:rsidRPr="006C5368">
        <w:rPr>
          <w:rFonts w:ascii="Times New Roman" w:hAnsi="Times New Roman" w:cs="Times New Roman"/>
        </w:rPr>
        <w:t>РАНХиГС</w:t>
      </w:r>
      <w:proofErr w:type="spellEnd"/>
      <w:r w:rsidRPr="006C5368">
        <w:rPr>
          <w:rFonts w:ascii="Times New Roman" w:hAnsi="Times New Roman" w:cs="Times New Roman"/>
        </w:rPr>
        <w:t>.</w:t>
      </w:r>
    </w:p>
    <w:p w:rsidR="006B4C44" w:rsidRPr="006D753B" w:rsidRDefault="006B4C44" w:rsidP="006B4C4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D753B">
        <w:rPr>
          <w:rFonts w:ascii="Times New Roman" w:hAnsi="Times New Roman" w:cs="Times New Roman"/>
        </w:rPr>
        <w:t xml:space="preserve">Важно заметить, что приватизация федерального имущества важна не только и не столько с позиций покрытия бюджетного дефицита, но и с точки зрения улучшения предпринимательского климата и условий для конкуренции. Доля государственного сектора в российской экономике оценивается на уровне от 44% до 70%. Избыточный уровень государственного вмешательства в экономику вносит существенные искажения в бизнес-среду, сдерживает развитие конкуренции и </w:t>
      </w:r>
      <w:proofErr w:type="spellStart"/>
      <w:r w:rsidRPr="006D753B">
        <w:rPr>
          <w:rFonts w:ascii="Times New Roman" w:hAnsi="Times New Roman" w:cs="Times New Roman"/>
        </w:rPr>
        <w:t>дестимулирует</w:t>
      </w:r>
      <w:proofErr w:type="spellEnd"/>
      <w:r w:rsidRPr="006D753B">
        <w:rPr>
          <w:rFonts w:ascii="Times New Roman" w:hAnsi="Times New Roman" w:cs="Times New Roman"/>
        </w:rPr>
        <w:t xml:space="preserve"> частное предпринимательство. При этом для обеспечения значимого </w:t>
      </w:r>
      <w:r w:rsidRPr="006D753B">
        <w:rPr>
          <w:rFonts w:ascii="Times New Roman" w:hAnsi="Times New Roman" w:cs="Times New Roman"/>
        </w:rPr>
        <w:lastRenderedPageBreak/>
        <w:t>положительного влияния на условия хозяйствования приватизация должна осуществляться в коммерчески эффективных рыночных секторах при обязательном условии наличия платежеспособного спроса на предлагаемые к продаже активы со стороны частного капитала, оптимально – как российского, так и зарубежного.</w:t>
      </w:r>
    </w:p>
    <w:p w:rsidR="006B4C44" w:rsidRPr="00932AAC" w:rsidRDefault="006B4C44" w:rsidP="00932AAC">
      <w:pPr>
        <w:pStyle w:val="Default"/>
        <w:spacing w:line="360" w:lineRule="auto"/>
        <w:ind w:firstLine="709"/>
        <w:jc w:val="both"/>
        <w:rPr>
          <w:b/>
        </w:rPr>
      </w:pPr>
    </w:p>
    <w:sectPr w:rsidR="006B4C44" w:rsidRPr="00932AAC" w:rsidSect="00256FF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E" w:rsidRDefault="004F3CDE" w:rsidP="001F3F5C">
      <w:pPr>
        <w:spacing w:after="0" w:line="240" w:lineRule="auto"/>
      </w:pPr>
      <w:r>
        <w:separator/>
      </w:r>
    </w:p>
  </w:endnote>
  <w:endnote w:type="continuationSeparator" w:id="0">
    <w:p w:rsidR="004F3CDE" w:rsidRDefault="004F3CDE" w:rsidP="001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F5" w:rsidRDefault="00256FF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827973"/>
      <w:docPartObj>
        <w:docPartGallery w:val="Page Numbers (Bottom of Page)"/>
        <w:docPartUnique/>
      </w:docPartObj>
    </w:sdtPr>
    <w:sdtEndPr/>
    <w:sdtContent>
      <w:p w:rsidR="00256FF5" w:rsidRDefault="00256FF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C4">
          <w:rPr>
            <w:noProof/>
          </w:rPr>
          <w:t>31</w:t>
        </w:r>
        <w:r>
          <w:fldChar w:fldCharType="end"/>
        </w:r>
      </w:p>
    </w:sdtContent>
  </w:sdt>
  <w:p w:rsidR="00256FF5" w:rsidRDefault="00256FF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F5" w:rsidRDefault="00256FF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E" w:rsidRDefault="004F3CDE" w:rsidP="001F3F5C">
      <w:pPr>
        <w:spacing w:after="0" w:line="240" w:lineRule="auto"/>
      </w:pPr>
      <w:r>
        <w:separator/>
      </w:r>
    </w:p>
  </w:footnote>
  <w:footnote w:type="continuationSeparator" w:id="0">
    <w:p w:rsidR="004F3CDE" w:rsidRDefault="004F3CDE" w:rsidP="001F3F5C">
      <w:pPr>
        <w:spacing w:after="0" w:line="240" w:lineRule="auto"/>
      </w:pPr>
      <w:r>
        <w:continuationSeparator/>
      </w:r>
    </w:p>
  </w:footnote>
  <w:footnote w:id="1">
    <w:p w:rsidR="005F72B8" w:rsidRDefault="005F72B8" w:rsidP="001F3F5C">
      <w:pPr>
        <w:pStyle w:val="a6"/>
      </w:pPr>
      <w:r>
        <w:rPr>
          <w:rStyle w:val="a8"/>
        </w:rPr>
        <w:footnoteRef/>
      </w:r>
      <w:r>
        <w:t xml:space="preserve"> Территории, входящие в состав Тюменской и Архангельской областей, рассматриваются как отдельные регионы</w:t>
      </w:r>
    </w:p>
  </w:footnote>
  <w:footnote w:id="2">
    <w:p w:rsidR="005F72B8" w:rsidRDefault="005F72B8">
      <w:pPr>
        <w:pStyle w:val="a6"/>
      </w:pPr>
      <w:r>
        <w:rPr>
          <w:rStyle w:val="a8"/>
        </w:rPr>
        <w:footnoteRef/>
      </w:r>
      <w:r>
        <w:t xml:space="preserve"> Были высказаны, в частности, в рамках </w:t>
      </w:r>
      <w:r w:rsidRPr="006C00E3">
        <w:t>Московского Финансового Форума (МФФ-2019)</w:t>
      </w:r>
    </w:p>
  </w:footnote>
  <w:footnote w:id="3">
    <w:p w:rsidR="005F72B8" w:rsidRPr="00BC1AA6" w:rsidRDefault="005F72B8" w:rsidP="006B4C4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BC1AA6">
        <w:t>Опрос руководителей предприятий проекта «Факторы конкурентоспособности и роста российских промышленных предприятий», выполненного в 2018 году в рамках Программы фундаментальных исследований НИУ ВШЭ.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F5" w:rsidRDefault="00256FF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F5" w:rsidRDefault="00256FF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F5" w:rsidRDefault="00256FF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21"/>
    <w:multiLevelType w:val="hybridMultilevel"/>
    <w:tmpl w:val="CE4A7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849B6"/>
    <w:multiLevelType w:val="hybridMultilevel"/>
    <w:tmpl w:val="DE68BA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38B"/>
    <w:multiLevelType w:val="hybridMultilevel"/>
    <w:tmpl w:val="0D74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081"/>
    <w:multiLevelType w:val="hybridMultilevel"/>
    <w:tmpl w:val="465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0AA5"/>
    <w:multiLevelType w:val="hybridMultilevel"/>
    <w:tmpl w:val="122ED82C"/>
    <w:lvl w:ilvl="0" w:tplc="ACAE3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>
    <w:nsid w:val="2769285F"/>
    <w:multiLevelType w:val="hybridMultilevel"/>
    <w:tmpl w:val="FD9E3FF4"/>
    <w:lvl w:ilvl="0" w:tplc="E708CED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>
    <w:nsid w:val="74F51A4B"/>
    <w:multiLevelType w:val="hybridMultilevel"/>
    <w:tmpl w:val="D29A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6"/>
    <w:rsid w:val="0000779B"/>
    <w:rsid w:val="00011B2A"/>
    <w:rsid w:val="0001224F"/>
    <w:rsid w:val="00015764"/>
    <w:rsid w:val="00016BF8"/>
    <w:rsid w:val="00017A98"/>
    <w:rsid w:val="000206B0"/>
    <w:rsid w:val="0002169A"/>
    <w:rsid w:val="00023B79"/>
    <w:rsid w:val="00025DEE"/>
    <w:rsid w:val="000275A9"/>
    <w:rsid w:val="00031461"/>
    <w:rsid w:val="00032BDC"/>
    <w:rsid w:val="00042346"/>
    <w:rsid w:val="0004667D"/>
    <w:rsid w:val="00050697"/>
    <w:rsid w:val="000507F1"/>
    <w:rsid w:val="000575E6"/>
    <w:rsid w:val="00063DBE"/>
    <w:rsid w:val="00065A45"/>
    <w:rsid w:val="0006734F"/>
    <w:rsid w:val="00070680"/>
    <w:rsid w:val="0007238B"/>
    <w:rsid w:val="00076D3A"/>
    <w:rsid w:val="000773F9"/>
    <w:rsid w:val="000777E6"/>
    <w:rsid w:val="000805C6"/>
    <w:rsid w:val="000807E3"/>
    <w:rsid w:val="00081CEB"/>
    <w:rsid w:val="00082AD1"/>
    <w:rsid w:val="0008618D"/>
    <w:rsid w:val="00090A9F"/>
    <w:rsid w:val="00091613"/>
    <w:rsid w:val="00093BF8"/>
    <w:rsid w:val="000A094E"/>
    <w:rsid w:val="000A0D8F"/>
    <w:rsid w:val="000A218D"/>
    <w:rsid w:val="000A32ED"/>
    <w:rsid w:val="000A574F"/>
    <w:rsid w:val="000A59A9"/>
    <w:rsid w:val="000A7584"/>
    <w:rsid w:val="000A7DC9"/>
    <w:rsid w:val="000B136A"/>
    <w:rsid w:val="000B2753"/>
    <w:rsid w:val="000B49D3"/>
    <w:rsid w:val="000B5C02"/>
    <w:rsid w:val="000B5EB7"/>
    <w:rsid w:val="000B62D3"/>
    <w:rsid w:val="000C02EB"/>
    <w:rsid w:val="000C1BE1"/>
    <w:rsid w:val="000C2806"/>
    <w:rsid w:val="000C28A7"/>
    <w:rsid w:val="000C4D04"/>
    <w:rsid w:val="000C699F"/>
    <w:rsid w:val="000D031B"/>
    <w:rsid w:val="000D07F1"/>
    <w:rsid w:val="000D1057"/>
    <w:rsid w:val="000D287D"/>
    <w:rsid w:val="000D5661"/>
    <w:rsid w:val="000D6C83"/>
    <w:rsid w:val="000E15B9"/>
    <w:rsid w:val="000E1F8C"/>
    <w:rsid w:val="000E34AA"/>
    <w:rsid w:val="000E3AB2"/>
    <w:rsid w:val="000E78AE"/>
    <w:rsid w:val="000F4377"/>
    <w:rsid w:val="000F4E28"/>
    <w:rsid w:val="001106ED"/>
    <w:rsid w:val="00110880"/>
    <w:rsid w:val="00110C76"/>
    <w:rsid w:val="001156AE"/>
    <w:rsid w:val="0011711F"/>
    <w:rsid w:val="00117302"/>
    <w:rsid w:val="00121120"/>
    <w:rsid w:val="0012271C"/>
    <w:rsid w:val="001251B2"/>
    <w:rsid w:val="001251F5"/>
    <w:rsid w:val="00131CB8"/>
    <w:rsid w:val="001329DE"/>
    <w:rsid w:val="00140FD8"/>
    <w:rsid w:val="00144227"/>
    <w:rsid w:val="001464E9"/>
    <w:rsid w:val="00150416"/>
    <w:rsid w:val="001546E3"/>
    <w:rsid w:val="00155692"/>
    <w:rsid w:val="00162826"/>
    <w:rsid w:val="00162973"/>
    <w:rsid w:val="00163B8A"/>
    <w:rsid w:val="00171AB1"/>
    <w:rsid w:val="00173648"/>
    <w:rsid w:val="00176CC5"/>
    <w:rsid w:val="00182A49"/>
    <w:rsid w:val="00182B52"/>
    <w:rsid w:val="00184089"/>
    <w:rsid w:val="00184714"/>
    <w:rsid w:val="0018512A"/>
    <w:rsid w:val="001876D0"/>
    <w:rsid w:val="00190FF3"/>
    <w:rsid w:val="001910E9"/>
    <w:rsid w:val="00196E51"/>
    <w:rsid w:val="00197A8C"/>
    <w:rsid w:val="001A012C"/>
    <w:rsid w:val="001A042A"/>
    <w:rsid w:val="001A0541"/>
    <w:rsid w:val="001A1E8A"/>
    <w:rsid w:val="001A5A3D"/>
    <w:rsid w:val="001A62A1"/>
    <w:rsid w:val="001A76BF"/>
    <w:rsid w:val="001B4A87"/>
    <w:rsid w:val="001C053E"/>
    <w:rsid w:val="001C1AB6"/>
    <w:rsid w:val="001C46FE"/>
    <w:rsid w:val="001C4CC4"/>
    <w:rsid w:val="001C5DCC"/>
    <w:rsid w:val="001D19D4"/>
    <w:rsid w:val="001D2824"/>
    <w:rsid w:val="001D3DCF"/>
    <w:rsid w:val="001D4455"/>
    <w:rsid w:val="001D4B25"/>
    <w:rsid w:val="001D4F72"/>
    <w:rsid w:val="001D61E9"/>
    <w:rsid w:val="001D785B"/>
    <w:rsid w:val="001E2892"/>
    <w:rsid w:val="001E7620"/>
    <w:rsid w:val="001E7EC6"/>
    <w:rsid w:val="001F25AB"/>
    <w:rsid w:val="001F3F5C"/>
    <w:rsid w:val="001F46DB"/>
    <w:rsid w:val="001F4C6A"/>
    <w:rsid w:val="00201B09"/>
    <w:rsid w:val="002027A2"/>
    <w:rsid w:val="00203349"/>
    <w:rsid w:val="002052B1"/>
    <w:rsid w:val="00205640"/>
    <w:rsid w:val="00205A8D"/>
    <w:rsid w:val="0020671F"/>
    <w:rsid w:val="00210D60"/>
    <w:rsid w:val="00211A41"/>
    <w:rsid w:val="002124BF"/>
    <w:rsid w:val="00215359"/>
    <w:rsid w:val="00220118"/>
    <w:rsid w:val="002264F3"/>
    <w:rsid w:val="0023248F"/>
    <w:rsid w:val="00233689"/>
    <w:rsid w:val="0024377B"/>
    <w:rsid w:val="002442E2"/>
    <w:rsid w:val="0024752C"/>
    <w:rsid w:val="002508BB"/>
    <w:rsid w:val="00252936"/>
    <w:rsid w:val="00253238"/>
    <w:rsid w:val="00256FF5"/>
    <w:rsid w:val="00257BFC"/>
    <w:rsid w:val="00262ABF"/>
    <w:rsid w:val="00262B72"/>
    <w:rsid w:val="002646D7"/>
    <w:rsid w:val="00266C38"/>
    <w:rsid w:val="0027042E"/>
    <w:rsid w:val="00272E7A"/>
    <w:rsid w:val="00273679"/>
    <w:rsid w:val="00280225"/>
    <w:rsid w:val="00280844"/>
    <w:rsid w:val="0028224E"/>
    <w:rsid w:val="00285C35"/>
    <w:rsid w:val="00286F47"/>
    <w:rsid w:val="002911DB"/>
    <w:rsid w:val="00291B1C"/>
    <w:rsid w:val="002A265A"/>
    <w:rsid w:val="002A31B7"/>
    <w:rsid w:val="002A551B"/>
    <w:rsid w:val="002A78B8"/>
    <w:rsid w:val="002B47E1"/>
    <w:rsid w:val="002B714F"/>
    <w:rsid w:val="002C08B2"/>
    <w:rsid w:val="002C1922"/>
    <w:rsid w:val="002C1AD2"/>
    <w:rsid w:val="002C24A6"/>
    <w:rsid w:val="002C343B"/>
    <w:rsid w:val="002C3CC7"/>
    <w:rsid w:val="002C6C8A"/>
    <w:rsid w:val="002C7551"/>
    <w:rsid w:val="002C7F8B"/>
    <w:rsid w:val="002E1F20"/>
    <w:rsid w:val="002E2452"/>
    <w:rsid w:val="002E509B"/>
    <w:rsid w:val="002F2F90"/>
    <w:rsid w:val="002F3207"/>
    <w:rsid w:val="002F58CC"/>
    <w:rsid w:val="002F6C0D"/>
    <w:rsid w:val="003008DC"/>
    <w:rsid w:val="00301D6D"/>
    <w:rsid w:val="003167F8"/>
    <w:rsid w:val="00317BC2"/>
    <w:rsid w:val="00325359"/>
    <w:rsid w:val="00325FA5"/>
    <w:rsid w:val="00334104"/>
    <w:rsid w:val="003373E5"/>
    <w:rsid w:val="00337848"/>
    <w:rsid w:val="003502F1"/>
    <w:rsid w:val="003517E8"/>
    <w:rsid w:val="00352455"/>
    <w:rsid w:val="00353590"/>
    <w:rsid w:val="00355578"/>
    <w:rsid w:val="00356F6A"/>
    <w:rsid w:val="0036345F"/>
    <w:rsid w:val="003643BC"/>
    <w:rsid w:val="00364857"/>
    <w:rsid w:val="00366B9C"/>
    <w:rsid w:val="0037005D"/>
    <w:rsid w:val="00370C7B"/>
    <w:rsid w:val="0037223B"/>
    <w:rsid w:val="00372289"/>
    <w:rsid w:val="00373A2D"/>
    <w:rsid w:val="003863BB"/>
    <w:rsid w:val="00391189"/>
    <w:rsid w:val="0039125E"/>
    <w:rsid w:val="00394006"/>
    <w:rsid w:val="003961FD"/>
    <w:rsid w:val="003962B6"/>
    <w:rsid w:val="003A4B70"/>
    <w:rsid w:val="003A6795"/>
    <w:rsid w:val="003B115C"/>
    <w:rsid w:val="003B1420"/>
    <w:rsid w:val="003B1DFC"/>
    <w:rsid w:val="003B42D9"/>
    <w:rsid w:val="003B6305"/>
    <w:rsid w:val="003B7FD7"/>
    <w:rsid w:val="003C1772"/>
    <w:rsid w:val="003C314A"/>
    <w:rsid w:val="003C656C"/>
    <w:rsid w:val="003C702A"/>
    <w:rsid w:val="003D3753"/>
    <w:rsid w:val="003D3B63"/>
    <w:rsid w:val="003D55A0"/>
    <w:rsid w:val="003E087F"/>
    <w:rsid w:val="003E0BF7"/>
    <w:rsid w:val="003E18E5"/>
    <w:rsid w:val="003E1F7D"/>
    <w:rsid w:val="003E3CB4"/>
    <w:rsid w:val="003E4E49"/>
    <w:rsid w:val="003F1032"/>
    <w:rsid w:val="003F202E"/>
    <w:rsid w:val="003F3E93"/>
    <w:rsid w:val="003F40D1"/>
    <w:rsid w:val="003F4A2F"/>
    <w:rsid w:val="003F6958"/>
    <w:rsid w:val="003F723C"/>
    <w:rsid w:val="00400AB5"/>
    <w:rsid w:val="00403F58"/>
    <w:rsid w:val="00406247"/>
    <w:rsid w:val="004063F8"/>
    <w:rsid w:val="004070BE"/>
    <w:rsid w:val="004073FD"/>
    <w:rsid w:val="00410E24"/>
    <w:rsid w:val="00411369"/>
    <w:rsid w:val="004114F2"/>
    <w:rsid w:val="004122C0"/>
    <w:rsid w:val="00412F0C"/>
    <w:rsid w:val="0041473D"/>
    <w:rsid w:val="00415C30"/>
    <w:rsid w:val="00416F95"/>
    <w:rsid w:val="00417708"/>
    <w:rsid w:val="00417C22"/>
    <w:rsid w:val="0042494E"/>
    <w:rsid w:val="00425EF0"/>
    <w:rsid w:val="004356C0"/>
    <w:rsid w:val="00440EE1"/>
    <w:rsid w:val="00441C36"/>
    <w:rsid w:val="0044279A"/>
    <w:rsid w:val="004432CE"/>
    <w:rsid w:val="004502D4"/>
    <w:rsid w:val="00451624"/>
    <w:rsid w:val="00451A7E"/>
    <w:rsid w:val="00452525"/>
    <w:rsid w:val="00452FE9"/>
    <w:rsid w:val="0045620D"/>
    <w:rsid w:val="00456D9A"/>
    <w:rsid w:val="0046026B"/>
    <w:rsid w:val="00465D66"/>
    <w:rsid w:val="004669C7"/>
    <w:rsid w:val="0046768A"/>
    <w:rsid w:val="004712D4"/>
    <w:rsid w:val="00472960"/>
    <w:rsid w:val="0047314D"/>
    <w:rsid w:val="004737C1"/>
    <w:rsid w:val="00473FF3"/>
    <w:rsid w:val="00475554"/>
    <w:rsid w:val="00477143"/>
    <w:rsid w:val="00483A33"/>
    <w:rsid w:val="00485136"/>
    <w:rsid w:val="00485D14"/>
    <w:rsid w:val="004867B4"/>
    <w:rsid w:val="00491D4A"/>
    <w:rsid w:val="00492DF2"/>
    <w:rsid w:val="004952EB"/>
    <w:rsid w:val="00497CEE"/>
    <w:rsid w:val="004B0D5E"/>
    <w:rsid w:val="004B1055"/>
    <w:rsid w:val="004B1388"/>
    <w:rsid w:val="004B33FD"/>
    <w:rsid w:val="004B3E71"/>
    <w:rsid w:val="004B4C37"/>
    <w:rsid w:val="004B50D5"/>
    <w:rsid w:val="004B67DD"/>
    <w:rsid w:val="004C0C5C"/>
    <w:rsid w:val="004C37D6"/>
    <w:rsid w:val="004C4D0E"/>
    <w:rsid w:val="004C5EE0"/>
    <w:rsid w:val="004C6D6B"/>
    <w:rsid w:val="004C7242"/>
    <w:rsid w:val="004D04E8"/>
    <w:rsid w:val="004D1518"/>
    <w:rsid w:val="004E3B5F"/>
    <w:rsid w:val="004E3D31"/>
    <w:rsid w:val="004E634F"/>
    <w:rsid w:val="004E6FFE"/>
    <w:rsid w:val="004F02C2"/>
    <w:rsid w:val="004F151E"/>
    <w:rsid w:val="004F162A"/>
    <w:rsid w:val="004F3CDE"/>
    <w:rsid w:val="004F4792"/>
    <w:rsid w:val="00504B95"/>
    <w:rsid w:val="00504EAB"/>
    <w:rsid w:val="00515896"/>
    <w:rsid w:val="005171FC"/>
    <w:rsid w:val="005207E1"/>
    <w:rsid w:val="00521577"/>
    <w:rsid w:val="005231F9"/>
    <w:rsid w:val="00525F91"/>
    <w:rsid w:val="0054024B"/>
    <w:rsid w:val="00543BAC"/>
    <w:rsid w:val="00543F2F"/>
    <w:rsid w:val="00544305"/>
    <w:rsid w:val="00544804"/>
    <w:rsid w:val="00544874"/>
    <w:rsid w:val="0055318D"/>
    <w:rsid w:val="00553A10"/>
    <w:rsid w:val="005611FA"/>
    <w:rsid w:val="00567549"/>
    <w:rsid w:val="00573571"/>
    <w:rsid w:val="00573DBB"/>
    <w:rsid w:val="00573DD5"/>
    <w:rsid w:val="005753D3"/>
    <w:rsid w:val="005762F4"/>
    <w:rsid w:val="00577AFD"/>
    <w:rsid w:val="005810D5"/>
    <w:rsid w:val="005928FC"/>
    <w:rsid w:val="00592A43"/>
    <w:rsid w:val="005A22A2"/>
    <w:rsid w:val="005A4175"/>
    <w:rsid w:val="005A51D5"/>
    <w:rsid w:val="005A768C"/>
    <w:rsid w:val="005A7724"/>
    <w:rsid w:val="005B2ABE"/>
    <w:rsid w:val="005B3E57"/>
    <w:rsid w:val="005B4ECD"/>
    <w:rsid w:val="005C3CA3"/>
    <w:rsid w:val="005C3F57"/>
    <w:rsid w:val="005C5AAE"/>
    <w:rsid w:val="005C69A1"/>
    <w:rsid w:val="005D5937"/>
    <w:rsid w:val="005D7E7E"/>
    <w:rsid w:val="005E128A"/>
    <w:rsid w:val="005E5E81"/>
    <w:rsid w:val="005E6EA6"/>
    <w:rsid w:val="005F0AC5"/>
    <w:rsid w:val="005F3BCA"/>
    <w:rsid w:val="005F4667"/>
    <w:rsid w:val="005F5604"/>
    <w:rsid w:val="005F5888"/>
    <w:rsid w:val="005F640E"/>
    <w:rsid w:val="005F72B8"/>
    <w:rsid w:val="005F758E"/>
    <w:rsid w:val="00602EB8"/>
    <w:rsid w:val="00603E87"/>
    <w:rsid w:val="00607228"/>
    <w:rsid w:val="00607D64"/>
    <w:rsid w:val="0061622B"/>
    <w:rsid w:val="0061742B"/>
    <w:rsid w:val="0062169B"/>
    <w:rsid w:val="00633341"/>
    <w:rsid w:val="00633699"/>
    <w:rsid w:val="0063429C"/>
    <w:rsid w:val="006343E0"/>
    <w:rsid w:val="00635A73"/>
    <w:rsid w:val="00636E39"/>
    <w:rsid w:val="00655397"/>
    <w:rsid w:val="00657D85"/>
    <w:rsid w:val="006608E3"/>
    <w:rsid w:val="0066182A"/>
    <w:rsid w:val="00663473"/>
    <w:rsid w:val="006656E9"/>
    <w:rsid w:val="00665955"/>
    <w:rsid w:val="0066622A"/>
    <w:rsid w:val="0067129F"/>
    <w:rsid w:val="00672103"/>
    <w:rsid w:val="00676AAE"/>
    <w:rsid w:val="006779A5"/>
    <w:rsid w:val="006820B4"/>
    <w:rsid w:val="00685CBE"/>
    <w:rsid w:val="006A181B"/>
    <w:rsid w:val="006A23B0"/>
    <w:rsid w:val="006A6FE9"/>
    <w:rsid w:val="006B3105"/>
    <w:rsid w:val="006B407E"/>
    <w:rsid w:val="006B4C44"/>
    <w:rsid w:val="006B5F76"/>
    <w:rsid w:val="006B7B39"/>
    <w:rsid w:val="006C00E3"/>
    <w:rsid w:val="006C3320"/>
    <w:rsid w:val="006C5368"/>
    <w:rsid w:val="006C707B"/>
    <w:rsid w:val="006D0893"/>
    <w:rsid w:val="006D19F2"/>
    <w:rsid w:val="006D5694"/>
    <w:rsid w:val="006D5F8D"/>
    <w:rsid w:val="006D60CE"/>
    <w:rsid w:val="006D668D"/>
    <w:rsid w:val="006D6CFE"/>
    <w:rsid w:val="006D753B"/>
    <w:rsid w:val="006D7AD0"/>
    <w:rsid w:val="006E0232"/>
    <w:rsid w:val="006E2CD9"/>
    <w:rsid w:val="006E3017"/>
    <w:rsid w:val="006F2049"/>
    <w:rsid w:val="006F6259"/>
    <w:rsid w:val="006F6AEC"/>
    <w:rsid w:val="006F7EDD"/>
    <w:rsid w:val="00700457"/>
    <w:rsid w:val="00700A31"/>
    <w:rsid w:val="00714C69"/>
    <w:rsid w:val="007217D9"/>
    <w:rsid w:val="007255FF"/>
    <w:rsid w:val="00725F5B"/>
    <w:rsid w:val="00726E4D"/>
    <w:rsid w:val="007304C6"/>
    <w:rsid w:val="00735593"/>
    <w:rsid w:val="00747764"/>
    <w:rsid w:val="0075049C"/>
    <w:rsid w:val="007513CB"/>
    <w:rsid w:val="00754065"/>
    <w:rsid w:val="007558B4"/>
    <w:rsid w:val="00760828"/>
    <w:rsid w:val="00763F16"/>
    <w:rsid w:val="00766ED2"/>
    <w:rsid w:val="0077013A"/>
    <w:rsid w:val="00770402"/>
    <w:rsid w:val="00772B0B"/>
    <w:rsid w:val="007736DC"/>
    <w:rsid w:val="00780F73"/>
    <w:rsid w:val="007831A2"/>
    <w:rsid w:val="00785614"/>
    <w:rsid w:val="007919D8"/>
    <w:rsid w:val="007925CB"/>
    <w:rsid w:val="00792F86"/>
    <w:rsid w:val="0079363B"/>
    <w:rsid w:val="00796E58"/>
    <w:rsid w:val="00796F83"/>
    <w:rsid w:val="007A4481"/>
    <w:rsid w:val="007A46FE"/>
    <w:rsid w:val="007A5054"/>
    <w:rsid w:val="007A5DFA"/>
    <w:rsid w:val="007A5F6F"/>
    <w:rsid w:val="007B3C50"/>
    <w:rsid w:val="007B7BF5"/>
    <w:rsid w:val="007C0469"/>
    <w:rsid w:val="007C16BB"/>
    <w:rsid w:val="007C4D82"/>
    <w:rsid w:val="007C54B6"/>
    <w:rsid w:val="007C68DB"/>
    <w:rsid w:val="007C7A03"/>
    <w:rsid w:val="007D5E9C"/>
    <w:rsid w:val="007E04A0"/>
    <w:rsid w:val="007E0CF9"/>
    <w:rsid w:val="007E68E7"/>
    <w:rsid w:val="007F216B"/>
    <w:rsid w:val="007F4928"/>
    <w:rsid w:val="007F50B2"/>
    <w:rsid w:val="007F64C7"/>
    <w:rsid w:val="00800B94"/>
    <w:rsid w:val="00804BB9"/>
    <w:rsid w:val="008065A8"/>
    <w:rsid w:val="00811549"/>
    <w:rsid w:val="00814E25"/>
    <w:rsid w:val="00815A46"/>
    <w:rsid w:val="00821B41"/>
    <w:rsid w:val="00824FCF"/>
    <w:rsid w:val="00825CC8"/>
    <w:rsid w:val="008312E2"/>
    <w:rsid w:val="00832019"/>
    <w:rsid w:val="00834B9F"/>
    <w:rsid w:val="008379A5"/>
    <w:rsid w:val="00841F75"/>
    <w:rsid w:val="008461C5"/>
    <w:rsid w:val="008470B2"/>
    <w:rsid w:val="008519EC"/>
    <w:rsid w:val="008536C3"/>
    <w:rsid w:val="008562F9"/>
    <w:rsid w:val="0085637D"/>
    <w:rsid w:val="008623A3"/>
    <w:rsid w:val="00862797"/>
    <w:rsid w:val="00862816"/>
    <w:rsid w:val="00863F6B"/>
    <w:rsid w:val="00864D9A"/>
    <w:rsid w:val="00871BD0"/>
    <w:rsid w:val="00871C57"/>
    <w:rsid w:val="00872776"/>
    <w:rsid w:val="008737FC"/>
    <w:rsid w:val="008744F6"/>
    <w:rsid w:val="0088073D"/>
    <w:rsid w:val="008808C4"/>
    <w:rsid w:val="00882F5C"/>
    <w:rsid w:val="0088384E"/>
    <w:rsid w:val="00883D2E"/>
    <w:rsid w:val="00885695"/>
    <w:rsid w:val="0089009B"/>
    <w:rsid w:val="0089181B"/>
    <w:rsid w:val="00891D8F"/>
    <w:rsid w:val="008943A6"/>
    <w:rsid w:val="00896500"/>
    <w:rsid w:val="008A0BB8"/>
    <w:rsid w:val="008A11B7"/>
    <w:rsid w:val="008B1A44"/>
    <w:rsid w:val="008B4C02"/>
    <w:rsid w:val="008C34F5"/>
    <w:rsid w:val="008C40F2"/>
    <w:rsid w:val="008C5675"/>
    <w:rsid w:val="008D73F4"/>
    <w:rsid w:val="008E242B"/>
    <w:rsid w:val="008E44BE"/>
    <w:rsid w:val="008E46F0"/>
    <w:rsid w:val="008E51BF"/>
    <w:rsid w:val="008E6DB6"/>
    <w:rsid w:val="008E781E"/>
    <w:rsid w:val="008E7C42"/>
    <w:rsid w:val="008F2D19"/>
    <w:rsid w:val="008F5938"/>
    <w:rsid w:val="008F60D8"/>
    <w:rsid w:val="008F6D1B"/>
    <w:rsid w:val="00900D0B"/>
    <w:rsid w:val="00905969"/>
    <w:rsid w:val="00906027"/>
    <w:rsid w:val="00907A1C"/>
    <w:rsid w:val="00912DC8"/>
    <w:rsid w:val="00912F92"/>
    <w:rsid w:val="009148DC"/>
    <w:rsid w:val="009178C4"/>
    <w:rsid w:val="00920E40"/>
    <w:rsid w:val="009223BE"/>
    <w:rsid w:val="00924354"/>
    <w:rsid w:val="00924D95"/>
    <w:rsid w:val="00925DB3"/>
    <w:rsid w:val="00925E66"/>
    <w:rsid w:val="00926FBB"/>
    <w:rsid w:val="00930094"/>
    <w:rsid w:val="00931C24"/>
    <w:rsid w:val="00932AAC"/>
    <w:rsid w:val="00932F90"/>
    <w:rsid w:val="00933545"/>
    <w:rsid w:val="009357BF"/>
    <w:rsid w:val="00943496"/>
    <w:rsid w:val="009435AB"/>
    <w:rsid w:val="0094363A"/>
    <w:rsid w:val="00946AAB"/>
    <w:rsid w:val="00954F5D"/>
    <w:rsid w:val="00960DE1"/>
    <w:rsid w:val="00963367"/>
    <w:rsid w:val="009636E3"/>
    <w:rsid w:val="0096410D"/>
    <w:rsid w:val="00964E5E"/>
    <w:rsid w:val="0096509C"/>
    <w:rsid w:val="00966F74"/>
    <w:rsid w:val="00967260"/>
    <w:rsid w:val="009706AF"/>
    <w:rsid w:val="009732FF"/>
    <w:rsid w:val="00973F0A"/>
    <w:rsid w:val="009741E5"/>
    <w:rsid w:val="0098313F"/>
    <w:rsid w:val="009A03B3"/>
    <w:rsid w:val="009A0D37"/>
    <w:rsid w:val="009A262F"/>
    <w:rsid w:val="009A2C25"/>
    <w:rsid w:val="009A400A"/>
    <w:rsid w:val="009B319A"/>
    <w:rsid w:val="009B457C"/>
    <w:rsid w:val="009C0B89"/>
    <w:rsid w:val="009C2351"/>
    <w:rsid w:val="009C26FD"/>
    <w:rsid w:val="009C6E72"/>
    <w:rsid w:val="009D1924"/>
    <w:rsid w:val="009D3CEB"/>
    <w:rsid w:val="009D5F4A"/>
    <w:rsid w:val="009D7CF2"/>
    <w:rsid w:val="009E42A5"/>
    <w:rsid w:val="009F6B34"/>
    <w:rsid w:val="00A00DCB"/>
    <w:rsid w:val="00A013DD"/>
    <w:rsid w:val="00A018F7"/>
    <w:rsid w:val="00A01C3B"/>
    <w:rsid w:val="00A10326"/>
    <w:rsid w:val="00A12A16"/>
    <w:rsid w:val="00A179CC"/>
    <w:rsid w:val="00A24798"/>
    <w:rsid w:val="00A30FE3"/>
    <w:rsid w:val="00A356AC"/>
    <w:rsid w:val="00A35C02"/>
    <w:rsid w:val="00A36650"/>
    <w:rsid w:val="00A4000F"/>
    <w:rsid w:val="00A41BB4"/>
    <w:rsid w:val="00A42D93"/>
    <w:rsid w:val="00A44BE9"/>
    <w:rsid w:val="00A45E06"/>
    <w:rsid w:val="00A460EB"/>
    <w:rsid w:val="00A461CA"/>
    <w:rsid w:val="00A472EF"/>
    <w:rsid w:val="00A5466C"/>
    <w:rsid w:val="00A54912"/>
    <w:rsid w:val="00A54AAA"/>
    <w:rsid w:val="00A56045"/>
    <w:rsid w:val="00A5672D"/>
    <w:rsid w:val="00A57D9C"/>
    <w:rsid w:val="00A61BB8"/>
    <w:rsid w:val="00A61FB6"/>
    <w:rsid w:val="00A633A6"/>
    <w:rsid w:val="00A66C4C"/>
    <w:rsid w:val="00A81EE4"/>
    <w:rsid w:val="00A83340"/>
    <w:rsid w:val="00A85453"/>
    <w:rsid w:val="00A856EF"/>
    <w:rsid w:val="00A93714"/>
    <w:rsid w:val="00A9482A"/>
    <w:rsid w:val="00A94958"/>
    <w:rsid w:val="00A95B09"/>
    <w:rsid w:val="00AA15E6"/>
    <w:rsid w:val="00AA1C06"/>
    <w:rsid w:val="00AA3129"/>
    <w:rsid w:val="00AB1521"/>
    <w:rsid w:val="00AB17FC"/>
    <w:rsid w:val="00AC1767"/>
    <w:rsid w:val="00AC330C"/>
    <w:rsid w:val="00AC64FA"/>
    <w:rsid w:val="00AD411F"/>
    <w:rsid w:val="00AD4A84"/>
    <w:rsid w:val="00AD7173"/>
    <w:rsid w:val="00AE602B"/>
    <w:rsid w:val="00AF06D4"/>
    <w:rsid w:val="00AF45D1"/>
    <w:rsid w:val="00AF4C1F"/>
    <w:rsid w:val="00AF6BB7"/>
    <w:rsid w:val="00B01F28"/>
    <w:rsid w:val="00B061A7"/>
    <w:rsid w:val="00B10B03"/>
    <w:rsid w:val="00B15559"/>
    <w:rsid w:val="00B15786"/>
    <w:rsid w:val="00B15CF1"/>
    <w:rsid w:val="00B15D3C"/>
    <w:rsid w:val="00B1656C"/>
    <w:rsid w:val="00B22A7B"/>
    <w:rsid w:val="00B24B83"/>
    <w:rsid w:val="00B2722B"/>
    <w:rsid w:val="00B27F36"/>
    <w:rsid w:val="00B31018"/>
    <w:rsid w:val="00B32170"/>
    <w:rsid w:val="00B36736"/>
    <w:rsid w:val="00B3718B"/>
    <w:rsid w:val="00B37288"/>
    <w:rsid w:val="00B42410"/>
    <w:rsid w:val="00B454C2"/>
    <w:rsid w:val="00B4623A"/>
    <w:rsid w:val="00B50B49"/>
    <w:rsid w:val="00B51425"/>
    <w:rsid w:val="00B52CD8"/>
    <w:rsid w:val="00B535F9"/>
    <w:rsid w:val="00B6078E"/>
    <w:rsid w:val="00B63609"/>
    <w:rsid w:val="00B64A0F"/>
    <w:rsid w:val="00B655F0"/>
    <w:rsid w:val="00B672A6"/>
    <w:rsid w:val="00B70367"/>
    <w:rsid w:val="00B7087A"/>
    <w:rsid w:val="00B72836"/>
    <w:rsid w:val="00B7423A"/>
    <w:rsid w:val="00B74FE4"/>
    <w:rsid w:val="00B75A6E"/>
    <w:rsid w:val="00B768C5"/>
    <w:rsid w:val="00B76AD6"/>
    <w:rsid w:val="00B813F2"/>
    <w:rsid w:val="00B85BB1"/>
    <w:rsid w:val="00B94E43"/>
    <w:rsid w:val="00B958AC"/>
    <w:rsid w:val="00B96BAF"/>
    <w:rsid w:val="00BA117B"/>
    <w:rsid w:val="00BA7F24"/>
    <w:rsid w:val="00BB26A7"/>
    <w:rsid w:val="00BB3B60"/>
    <w:rsid w:val="00BB4427"/>
    <w:rsid w:val="00BB4AB5"/>
    <w:rsid w:val="00BC39C5"/>
    <w:rsid w:val="00BC53BB"/>
    <w:rsid w:val="00BC5856"/>
    <w:rsid w:val="00BC7710"/>
    <w:rsid w:val="00BD0397"/>
    <w:rsid w:val="00BD491F"/>
    <w:rsid w:val="00BD6E8C"/>
    <w:rsid w:val="00BE0A5E"/>
    <w:rsid w:val="00BE14A5"/>
    <w:rsid w:val="00BE257F"/>
    <w:rsid w:val="00BE270A"/>
    <w:rsid w:val="00BE4E05"/>
    <w:rsid w:val="00BE5C37"/>
    <w:rsid w:val="00BF0936"/>
    <w:rsid w:val="00BF35F0"/>
    <w:rsid w:val="00BF4593"/>
    <w:rsid w:val="00BF5BF3"/>
    <w:rsid w:val="00C01066"/>
    <w:rsid w:val="00C01523"/>
    <w:rsid w:val="00C048C2"/>
    <w:rsid w:val="00C0649F"/>
    <w:rsid w:val="00C11002"/>
    <w:rsid w:val="00C12096"/>
    <w:rsid w:val="00C17449"/>
    <w:rsid w:val="00C17F3F"/>
    <w:rsid w:val="00C21D4B"/>
    <w:rsid w:val="00C24791"/>
    <w:rsid w:val="00C262BD"/>
    <w:rsid w:val="00C26F67"/>
    <w:rsid w:val="00C3225E"/>
    <w:rsid w:val="00C32A9E"/>
    <w:rsid w:val="00C33CFC"/>
    <w:rsid w:val="00C360B5"/>
    <w:rsid w:val="00C410ED"/>
    <w:rsid w:val="00C431CF"/>
    <w:rsid w:val="00C45C37"/>
    <w:rsid w:val="00C47341"/>
    <w:rsid w:val="00C47A41"/>
    <w:rsid w:val="00C5306A"/>
    <w:rsid w:val="00C54BCE"/>
    <w:rsid w:val="00C6038F"/>
    <w:rsid w:val="00C60956"/>
    <w:rsid w:val="00C67B1A"/>
    <w:rsid w:val="00C7046E"/>
    <w:rsid w:val="00C712A2"/>
    <w:rsid w:val="00C73F05"/>
    <w:rsid w:val="00C75694"/>
    <w:rsid w:val="00C76104"/>
    <w:rsid w:val="00C76884"/>
    <w:rsid w:val="00C830A0"/>
    <w:rsid w:val="00C857F5"/>
    <w:rsid w:val="00C872E8"/>
    <w:rsid w:val="00C87C65"/>
    <w:rsid w:val="00C9497F"/>
    <w:rsid w:val="00C94BCB"/>
    <w:rsid w:val="00CA34FB"/>
    <w:rsid w:val="00CA5B73"/>
    <w:rsid w:val="00CB1ADC"/>
    <w:rsid w:val="00CB39D9"/>
    <w:rsid w:val="00CB75FA"/>
    <w:rsid w:val="00CC05D3"/>
    <w:rsid w:val="00CC32F0"/>
    <w:rsid w:val="00CC48C9"/>
    <w:rsid w:val="00CC4B61"/>
    <w:rsid w:val="00CC5D84"/>
    <w:rsid w:val="00CC5DB0"/>
    <w:rsid w:val="00CC7FCF"/>
    <w:rsid w:val="00CD01E4"/>
    <w:rsid w:val="00CD1D40"/>
    <w:rsid w:val="00CD1DFF"/>
    <w:rsid w:val="00CD1F1E"/>
    <w:rsid w:val="00CD4F2F"/>
    <w:rsid w:val="00CD6646"/>
    <w:rsid w:val="00CD71D9"/>
    <w:rsid w:val="00CE0496"/>
    <w:rsid w:val="00CE1FF9"/>
    <w:rsid w:val="00CE2805"/>
    <w:rsid w:val="00CE45C6"/>
    <w:rsid w:val="00CF028E"/>
    <w:rsid w:val="00CF3F36"/>
    <w:rsid w:val="00CF462B"/>
    <w:rsid w:val="00CF6C71"/>
    <w:rsid w:val="00CF6E0E"/>
    <w:rsid w:val="00D00295"/>
    <w:rsid w:val="00D03277"/>
    <w:rsid w:val="00D10A79"/>
    <w:rsid w:val="00D1441F"/>
    <w:rsid w:val="00D15C07"/>
    <w:rsid w:val="00D22586"/>
    <w:rsid w:val="00D24C57"/>
    <w:rsid w:val="00D27DD1"/>
    <w:rsid w:val="00D36B8C"/>
    <w:rsid w:val="00D377C7"/>
    <w:rsid w:val="00D455F9"/>
    <w:rsid w:val="00D47D98"/>
    <w:rsid w:val="00D52485"/>
    <w:rsid w:val="00D5402F"/>
    <w:rsid w:val="00D54F47"/>
    <w:rsid w:val="00D55668"/>
    <w:rsid w:val="00D6029A"/>
    <w:rsid w:val="00D611E9"/>
    <w:rsid w:val="00D6631A"/>
    <w:rsid w:val="00D71342"/>
    <w:rsid w:val="00D73326"/>
    <w:rsid w:val="00D738D4"/>
    <w:rsid w:val="00D74D5A"/>
    <w:rsid w:val="00D8362C"/>
    <w:rsid w:val="00D86E61"/>
    <w:rsid w:val="00D8779D"/>
    <w:rsid w:val="00D94367"/>
    <w:rsid w:val="00D94574"/>
    <w:rsid w:val="00D953A5"/>
    <w:rsid w:val="00D95C81"/>
    <w:rsid w:val="00D965DE"/>
    <w:rsid w:val="00D9759B"/>
    <w:rsid w:val="00DA3FDE"/>
    <w:rsid w:val="00DA46C4"/>
    <w:rsid w:val="00DA5539"/>
    <w:rsid w:val="00DB07E9"/>
    <w:rsid w:val="00DB1865"/>
    <w:rsid w:val="00DB18F6"/>
    <w:rsid w:val="00DB35EA"/>
    <w:rsid w:val="00DB3973"/>
    <w:rsid w:val="00DB516D"/>
    <w:rsid w:val="00DB67C0"/>
    <w:rsid w:val="00DC30B4"/>
    <w:rsid w:val="00DC3D85"/>
    <w:rsid w:val="00DC7495"/>
    <w:rsid w:val="00DD0BBA"/>
    <w:rsid w:val="00DD0F6D"/>
    <w:rsid w:val="00DE336F"/>
    <w:rsid w:val="00DE75E8"/>
    <w:rsid w:val="00DE75F7"/>
    <w:rsid w:val="00DE7924"/>
    <w:rsid w:val="00DE7E19"/>
    <w:rsid w:val="00DF244A"/>
    <w:rsid w:val="00DF52A1"/>
    <w:rsid w:val="00DF6DFF"/>
    <w:rsid w:val="00DF7BE6"/>
    <w:rsid w:val="00E004EA"/>
    <w:rsid w:val="00E05CBD"/>
    <w:rsid w:val="00E07222"/>
    <w:rsid w:val="00E16446"/>
    <w:rsid w:val="00E16707"/>
    <w:rsid w:val="00E23EF9"/>
    <w:rsid w:val="00E258C4"/>
    <w:rsid w:val="00E35363"/>
    <w:rsid w:val="00E355CA"/>
    <w:rsid w:val="00E37E07"/>
    <w:rsid w:val="00E40E07"/>
    <w:rsid w:val="00E45DF1"/>
    <w:rsid w:val="00E47C7F"/>
    <w:rsid w:val="00E543A7"/>
    <w:rsid w:val="00E550FE"/>
    <w:rsid w:val="00E56F23"/>
    <w:rsid w:val="00E57378"/>
    <w:rsid w:val="00E606E8"/>
    <w:rsid w:val="00E716FC"/>
    <w:rsid w:val="00E722FB"/>
    <w:rsid w:val="00E7243A"/>
    <w:rsid w:val="00E75F17"/>
    <w:rsid w:val="00E804B4"/>
    <w:rsid w:val="00E80E86"/>
    <w:rsid w:val="00E81688"/>
    <w:rsid w:val="00E8185A"/>
    <w:rsid w:val="00E828EB"/>
    <w:rsid w:val="00E85BBF"/>
    <w:rsid w:val="00E868E3"/>
    <w:rsid w:val="00E91188"/>
    <w:rsid w:val="00E94943"/>
    <w:rsid w:val="00E960CA"/>
    <w:rsid w:val="00E966B3"/>
    <w:rsid w:val="00EA1042"/>
    <w:rsid w:val="00EA1736"/>
    <w:rsid w:val="00EA4FAF"/>
    <w:rsid w:val="00EA6FC4"/>
    <w:rsid w:val="00EA7720"/>
    <w:rsid w:val="00EB141C"/>
    <w:rsid w:val="00EB1725"/>
    <w:rsid w:val="00EB18C8"/>
    <w:rsid w:val="00EC1CE8"/>
    <w:rsid w:val="00ED0232"/>
    <w:rsid w:val="00ED0DA7"/>
    <w:rsid w:val="00ED1542"/>
    <w:rsid w:val="00ED17EA"/>
    <w:rsid w:val="00ED4338"/>
    <w:rsid w:val="00ED5A3B"/>
    <w:rsid w:val="00EE1BB9"/>
    <w:rsid w:val="00EE1E1C"/>
    <w:rsid w:val="00EE2294"/>
    <w:rsid w:val="00EE2A86"/>
    <w:rsid w:val="00EE7495"/>
    <w:rsid w:val="00F00462"/>
    <w:rsid w:val="00F056A0"/>
    <w:rsid w:val="00F11156"/>
    <w:rsid w:val="00F1148A"/>
    <w:rsid w:val="00F128E8"/>
    <w:rsid w:val="00F20CED"/>
    <w:rsid w:val="00F2588E"/>
    <w:rsid w:val="00F25C60"/>
    <w:rsid w:val="00F30D51"/>
    <w:rsid w:val="00F356B0"/>
    <w:rsid w:val="00F36AAF"/>
    <w:rsid w:val="00F41DBC"/>
    <w:rsid w:val="00F44E34"/>
    <w:rsid w:val="00F4692B"/>
    <w:rsid w:val="00F529EB"/>
    <w:rsid w:val="00F52BD5"/>
    <w:rsid w:val="00F54A88"/>
    <w:rsid w:val="00F629BD"/>
    <w:rsid w:val="00F632C9"/>
    <w:rsid w:val="00F644DD"/>
    <w:rsid w:val="00F64A2F"/>
    <w:rsid w:val="00F66734"/>
    <w:rsid w:val="00F66947"/>
    <w:rsid w:val="00F670CF"/>
    <w:rsid w:val="00F71F57"/>
    <w:rsid w:val="00F770FD"/>
    <w:rsid w:val="00F80312"/>
    <w:rsid w:val="00F81516"/>
    <w:rsid w:val="00F83C99"/>
    <w:rsid w:val="00F85EDB"/>
    <w:rsid w:val="00F91AFC"/>
    <w:rsid w:val="00F92C99"/>
    <w:rsid w:val="00F94CEF"/>
    <w:rsid w:val="00F96F91"/>
    <w:rsid w:val="00F97D03"/>
    <w:rsid w:val="00FA09E5"/>
    <w:rsid w:val="00FA295D"/>
    <w:rsid w:val="00FB1563"/>
    <w:rsid w:val="00FB1DB1"/>
    <w:rsid w:val="00FB64E2"/>
    <w:rsid w:val="00FB6790"/>
    <w:rsid w:val="00FC01F1"/>
    <w:rsid w:val="00FC65E0"/>
    <w:rsid w:val="00FC783E"/>
    <w:rsid w:val="00FD1FC9"/>
    <w:rsid w:val="00FD3334"/>
    <w:rsid w:val="00FD4ADF"/>
    <w:rsid w:val="00FD5935"/>
    <w:rsid w:val="00FD6B82"/>
    <w:rsid w:val="00FD7FE9"/>
    <w:rsid w:val="00FE104F"/>
    <w:rsid w:val="00FE581F"/>
    <w:rsid w:val="00FF0E86"/>
    <w:rsid w:val="00FF1410"/>
    <w:rsid w:val="00FF46CD"/>
    <w:rsid w:val="00FF518A"/>
    <w:rsid w:val="00FF6147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F3F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3F5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aliases w:val="Знак сноски-FN,16 Point,Superscript 6 Point,Footnote Reference Number,Footnote Reference_LVL6,Footnote Reference_LVL61,Footnote Reference_LVL62,Footnote Reference_LVL63,Footnote Reference_LVL64,Referencia nota al pie,Ciae niinee-FN,fr"/>
    <w:basedOn w:val="a0"/>
    <w:uiPriority w:val="99"/>
    <w:unhideWhenUsed/>
    <w:rsid w:val="001F3F5C"/>
    <w:rPr>
      <w:vertAlign w:val="superscript"/>
    </w:rPr>
  </w:style>
  <w:style w:type="paragraph" w:customStyle="1" w:styleId="2">
    <w:name w:val="Основной текст2"/>
    <w:basedOn w:val="a"/>
    <w:rsid w:val="00492DF2"/>
    <w:pPr>
      <w:tabs>
        <w:tab w:val="left" w:pos="3686"/>
        <w:tab w:val="left" w:pos="3828"/>
        <w:tab w:val="left" w:pos="7371"/>
        <w:tab w:val="left" w:pos="8222"/>
      </w:tabs>
      <w:spacing w:after="120" w:line="240" w:lineRule="auto"/>
      <w:jc w:val="both"/>
    </w:pPr>
    <w:rPr>
      <w:rFonts w:eastAsia="Times New Roman" w:cs="Times New Roman"/>
      <w:spacing w:val="-2"/>
      <w:sz w:val="24"/>
      <w:szCs w:val="20"/>
    </w:rPr>
  </w:style>
  <w:style w:type="character" w:customStyle="1" w:styleId="a9">
    <w:name w:val="Основной текст_"/>
    <w:basedOn w:val="a0"/>
    <w:link w:val="1"/>
    <w:rsid w:val="005753D3"/>
    <w:rPr>
      <w:rFonts w:ascii="Times New Roman" w:eastAsia="Times New Roman" w:hAnsi="Times New Roman" w:cs="Times New Roman"/>
      <w:spacing w:val="6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9"/>
    <w:rsid w:val="005753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2"/>
      <w:szCs w:val="12"/>
    </w:rPr>
  </w:style>
  <w:style w:type="character" w:customStyle="1" w:styleId="20">
    <w:name w:val="Основной текст (2)_"/>
    <w:basedOn w:val="a0"/>
    <w:link w:val="21"/>
    <w:uiPriority w:val="99"/>
    <w:rsid w:val="005753D3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53D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22">
    <w:name w:val="Основной текст (2)"/>
    <w:basedOn w:val="20"/>
    <w:uiPriority w:val="99"/>
    <w:rsid w:val="005753D3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rsid w:val="005753D3"/>
    <w:rPr>
      <w:rFonts w:ascii="Arial" w:hAnsi="Arial" w:cs="Arial"/>
      <w:spacing w:val="2"/>
      <w:sz w:val="20"/>
      <w:szCs w:val="20"/>
      <w:shd w:val="clear" w:color="auto" w:fill="FFFFFF"/>
    </w:rPr>
  </w:style>
  <w:style w:type="paragraph" w:styleId="aa">
    <w:name w:val="Body Text"/>
    <w:basedOn w:val="a"/>
    <w:link w:val="10"/>
    <w:uiPriority w:val="99"/>
    <w:rsid w:val="005753D3"/>
    <w:pPr>
      <w:shd w:val="clear" w:color="auto" w:fill="FFFFFF"/>
      <w:spacing w:after="0" w:line="240" w:lineRule="atLeast"/>
    </w:pPr>
    <w:rPr>
      <w:rFonts w:ascii="Arial" w:hAnsi="Arial" w:cs="Arial"/>
      <w:spacing w:val="2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753D3"/>
  </w:style>
  <w:style w:type="character" w:customStyle="1" w:styleId="23">
    <w:name w:val="Подпись к таблице (2)_"/>
    <w:basedOn w:val="a0"/>
    <w:link w:val="24"/>
    <w:rsid w:val="005753D3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753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53D3"/>
    <w:rPr>
      <w:rFonts w:ascii="Tahoma" w:eastAsia="Tahoma" w:hAnsi="Tahoma" w:cs="Tahoma"/>
      <w:color w:val="000000"/>
      <w:sz w:val="20"/>
      <w:szCs w:val="20"/>
      <w:lang w:val="ru"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5753D3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ru"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53D3"/>
    <w:rPr>
      <w:rFonts w:ascii="Tahoma" w:eastAsia="Tahoma" w:hAnsi="Tahoma" w:cs="Tahoma"/>
      <w:b/>
      <w:bCs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53D3"/>
    <w:rPr>
      <w:b/>
      <w:bCs/>
    </w:rPr>
  </w:style>
  <w:style w:type="table" w:styleId="af0">
    <w:name w:val="Table Grid"/>
    <w:basedOn w:val="a1"/>
    <w:uiPriority w:val="59"/>
    <w:rsid w:val="0057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B4C44"/>
    <w:rPr>
      <w:rFonts w:asciiTheme="majorHAnsi" w:hAnsiTheme="majorHAnsi"/>
      <w:b w:val="0"/>
      <w:bCs/>
      <w:color w:val="auto"/>
      <w:sz w:val="24"/>
      <w:bdr w:val="none" w:sz="0" w:space="0" w:color="auto"/>
    </w:rPr>
  </w:style>
  <w:style w:type="character" w:customStyle="1" w:styleId="af2">
    <w:name w:val="ТЕКСТ с отступом Знак"/>
    <w:link w:val="af3"/>
    <w:locked/>
    <w:rsid w:val="006B4C44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af3">
    <w:name w:val="ТЕКСТ с отступом"/>
    <w:basedOn w:val="a"/>
    <w:link w:val="af2"/>
    <w:rsid w:val="006B4C44"/>
    <w:pPr>
      <w:spacing w:after="0"/>
      <w:ind w:firstLine="709"/>
      <w:jc w:val="both"/>
    </w:pPr>
    <w:rPr>
      <w:rFonts w:ascii="Times New Roman" w:eastAsia="Times New Roman" w:hAnsi="Times New Roman" w:cs="Times New Roman"/>
      <w:spacing w:val="-2"/>
      <w:lang w:eastAsia="ru-RU"/>
    </w:rPr>
  </w:style>
  <w:style w:type="paragraph" w:styleId="af4">
    <w:name w:val="header"/>
    <w:basedOn w:val="a"/>
    <w:link w:val="af5"/>
    <w:uiPriority w:val="99"/>
    <w:unhideWhenUsed/>
    <w:rsid w:val="0025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56FF5"/>
  </w:style>
  <w:style w:type="paragraph" w:styleId="af6">
    <w:name w:val="footer"/>
    <w:basedOn w:val="a"/>
    <w:link w:val="af7"/>
    <w:uiPriority w:val="99"/>
    <w:unhideWhenUsed/>
    <w:rsid w:val="0025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5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F3F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3F5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aliases w:val="Знак сноски-FN,16 Point,Superscript 6 Point,Footnote Reference Number,Footnote Reference_LVL6,Footnote Reference_LVL61,Footnote Reference_LVL62,Footnote Reference_LVL63,Footnote Reference_LVL64,Referencia nota al pie,Ciae niinee-FN,fr"/>
    <w:basedOn w:val="a0"/>
    <w:uiPriority w:val="99"/>
    <w:unhideWhenUsed/>
    <w:rsid w:val="001F3F5C"/>
    <w:rPr>
      <w:vertAlign w:val="superscript"/>
    </w:rPr>
  </w:style>
  <w:style w:type="paragraph" w:customStyle="1" w:styleId="2">
    <w:name w:val="Основной текст2"/>
    <w:basedOn w:val="a"/>
    <w:rsid w:val="00492DF2"/>
    <w:pPr>
      <w:tabs>
        <w:tab w:val="left" w:pos="3686"/>
        <w:tab w:val="left" w:pos="3828"/>
        <w:tab w:val="left" w:pos="7371"/>
        <w:tab w:val="left" w:pos="8222"/>
      </w:tabs>
      <w:spacing w:after="120" w:line="240" w:lineRule="auto"/>
      <w:jc w:val="both"/>
    </w:pPr>
    <w:rPr>
      <w:rFonts w:eastAsia="Times New Roman" w:cs="Times New Roman"/>
      <w:spacing w:val="-2"/>
      <w:sz w:val="24"/>
      <w:szCs w:val="20"/>
    </w:rPr>
  </w:style>
  <w:style w:type="character" w:customStyle="1" w:styleId="a9">
    <w:name w:val="Основной текст_"/>
    <w:basedOn w:val="a0"/>
    <w:link w:val="1"/>
    <w:rsid w:val="005753D3"/>
    <w:rPr>
      <w:rFonts w:ascii="Times New Roman" w:eastAsia="Times New Roman" w:hAnsi="Times New Roman" w:cs="Times New Roman"/>
      <w:spacing w:val="6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9"/>
    <w:rsid w:val="005753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2"/>
      <w:szCs w:val="12"/>
    </w:rPr>
  </w:style>
  <w:style w:type="character" w:customStyle="1" w:styleId="20">
    <w:name w:val="Основной текст (2)_"/>
    <w:basedOn w:val="a0"/>
    <w:link w:val="21"/>
    <w:uiPriority w:val="99"/>
    <w:rsid w:val="005753D3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753D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22">
    <w:name w:val="Основной текст (2)"/>
    <w:basedOn w:val="20"/>
    <w:uiPriority w:val="99"/>
    <w:rsid w:val="005753D3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rsid w:val="005753D3"/>
    <w:rPr>
      <w:rFonts w:ascii="Arial" w:hAnsi="Arial" w:cs="Arial"/>
      <w:spacing w:val="2"/>
      <w:sz w:val="20"/>
      <w:szCs w:val="20"/>
      <w:shd w:val="clear" w:color="auto" w:fill="FFFFFF"/>
    </w:rPr>
  </w:style>
  <w:style w:type="paragraph" w:styleId="aa">
    <w:name w:val="Body Text"/>
    <w:basedOn w:val="a"/>
    <w:link w:val="10"/>
    <w:uiPriority w:val="99"/>
    <w:rsid w:val="005753D3"/>
    <w:pPr>
      <w:shd w:val="clear" w:color="auto" w:fill="FFFFFF"/>
      <w:spacing w:after="0" w:line="240" w:lineRule="atLeast"/>
    </w:pPr>
    <w:rPr>
      <w:rFonts w:ascii="Arial" w:hAnsi="Arial" w:cs="Arial"/>
      <w:spacing w:val="2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753D3"/>
  </w:style>
  <w:style w:type="character" w:customStyle="1" w:styleId="23">
    <w:name w:val="Подпись к таблице (2)_"/>
    <w:basedOn w:val="a0"/>
    <w:link w:val="24"/>
    <w:rsid w:val="005753D3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753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5753D3"/>
    <w:rPr>
      <w:rFonts w:ascii="Tahoma" w:eastAsia="Tahoma" w:hAnsi="Tahoma" w:cs="Tahoma"/>
      <w:color w:val="000000"/>
      <w:sz w:val="20"/>
      <w:szCs w:val="20"/>
      <w:lang w:val="ru"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5753D3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val="ru"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5753D3"/>
    <w:rPr>
      <w:rFonts w:ascii="Tahoma" w:eastAsia="Tahoma" w:hAnsi="Tahoma" w:cs="Tahoma"/>
      <w:b/>
      <w:bCs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5753D3"/>
    <w:rPr>
      <w:b/>
      <w:bCs/>
    </w:rPr>
  </w:style>
  <w:style w:type="table" w:styleId="af0">
    <w:name w:val="Table Grid"/>
    <w:basedOn w:val="a1"/>
    <w:uiPriority w:val="59"/>
    <w:rsid w:val="0057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B4C44"/>
    <w:rPr>
      <w:rFonts w:asciiTheme="majorHAnsi" w:hAnsiTheme="majorHAnsi"/>
      <w:b w:val="0"/>
      <w:bCs/>
      <w:color w:val="auto"/>
      <w:sz w:val="24"/>
      <w:bdr w:val="none" w:sz="0" w:space="0" w:color="auto"/>
    </w:rPr>
  </w:style>
  <w:style w:type="character" w:customStyle="1" w:styleId="af2">
    <w:name w:val="ТЕКСТ с отступом Знак"/>
    <w:link w:val="af3"/>
    <w:locked/>
    <w:rsid w:val="006B4C44"/>
    <w:rPr>
      <w:rFonts w:ascii="Times New Roman" w:eastAsia="Times New Roman" w:hAnsi="Times New Roman" w:cs="Times New Roman"/>
      <w:spacing w:val="-2"/>
      <w:lang w:eastAsia="ru-RU"/>
    </w:rPr>
  </w:style>
  <w:style w:type="paragraph" w:customStyle="1" w:styleId="af3">
    <w:name w:val="ТЕКСТ с отступом"/>
    <w:basedOn w:val="a"/>
    <w:link w:val="af2"/>
    <w:rsid w:val="006B4C44"/>
    <w:pPr>
      <w:spacing w:after="0"/>
      <w:ind w:firstLine="709"/>
      <w:jc w:val="both"/>
    </w:pPr>
    <w:rPr>
      <w:rFonts w:ascii="Times New Roman" w:eastAsia="Times New Roman" w:hAnsi="Times New Roman" w:cs="Times New Roman"/>
      <w:spacing w:val="-2"/>
      <w:lang w:eastAsia="ru-RU"/>
    </w:rPr>
  </w:style>
  <w:style w:type="paragraph" w:styleId="af4">
    <w:name w:val="header"/>
    <w:basedOn w:val="a"/>
    <w:link w:val="af5"/>
    <w:uiPriority w:val="99"/>
    <w:unhideWhenUsed/>
    <w:rsid w:val="0025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56FF5"/>
  </w:style>
  <w:style w:type="paragraph" w:styleId="af6">
    <w:name w:val="footer"/>
    <w:basedOn w:val="a"/>
    <w:link w:val="af7"/>
    <w:uiPriority w:val="99"/>
    <w:unhideWhenUsed/>
    <w:rsid w:val="0025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user\Downloads\WEB_UTSA_O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user\Downloads\WEB_UTSA_O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edyunina\Documents\MEGA\&#1057;&#1080;&#1084;&#1072;&#1095;&#1077;&#1074;\&#1076;&#1086;&#1082;&#1083;&#1072;&#1076;%202019\&#1057;&#1090;&#1072;&#1090;&#1100;&#1103;%20&#1060;&#1086;&#1088;&#1089;&#1072;&#1081;&#1090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fedyunina\Documents\MEGA\&#1057;&#1080;&#1084;&#1072;&#1095;&#1077;&#1074;\&#1076;&#1086;&#1082;&#1083;&#1072;&#1076;%202019\&#1057;&#1090;&#1072;&#1090;&#1100;&#1103;%20&#1060;&#1086;&#1088;&#1089;&#1072;&#1081;&#1090;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fedyunina\Downloads\demb-dem-pok-ved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89076897302728E-2"/>
          <c:y val="5.3398058252427182E-2"/>
          <c:w val="0.47060110571284974"/>
          <c:h val="0.8407201284305481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итог!$H$25</c:f>
              <c:strCache>
                <c:ptCount val="1"/>
                <c:pt idx="0">
                  <c:v>Продовольственные товары и сельскохозяйственное сырье (кроме текстильного)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итог!$I$25:$M$25</c:f>
              <c:numCache>
                <c:formatCode>0.0%</c:formatCode>
                <c:ptCount val="5"/>
                <c:pt idx="0">
                  <c:v>7.9821533938248382E-2</c:v>
                </c:pt>
                <c:pt idx="1">
                  <c:v>9.4432186415614253E-2</c:v>
                </c:pt>
                <c:pt idx="2">
                  <c:v>0.11165233479792451</c:v>
                </c:pt>
                <c:pt idx="3">
                  <c:v>0.10081887094035483</c:v>
                </c:pt>
                <c:pt idx="4">
                  <c:v>9.1523169939915841E-2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1F-0A46-B227-B3FEB9758F52}"/>
            </c:ext>
          </c:extLst>
        </c:ser>
        <c:ser>
          <c:idx val="1"/>
          <c:order val="1"/>
          <c:tx>
            <c:strRef>
              <c:f>итог!$H$26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итог!$I$26:$M$26</c:f>
              <c:numCache>
                <c:formatCode>0.0%</c:formatCode>
                <c:ptCount val="5"/>
                <c:pt idx="0">
                  <c:v>0.45515909800078386</c:v>
                </c:pt>
                <c:pt idx="1">
                  <c:v>0.41060041662034585</c:v>
                </c:pt>
                <c:pt idx="2">
                  <c:v>0.34351662133727828</c:v>
                </c:pt>
                <c:pt idx="3">
                  <c:v>0.35094376770607588</c:v>
                </c:pt>
                <c:pt idx="4">
                  <c:v>0.37960287065405313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1F-0A46-B227-B3FEB9758F52}"/>
            </c:ext>
          </c:extLst>
        </c:ser>
        <c:ser>
          <c:idx val="2"/>
          <c:order val="2"/>
          <c:tx>
            <c:strRef>
              <c:f>итог!$H$27</c:f>
              <c:strCache>
                <c:ptCount val="1"/>
                <c:pt idx="0">
                  <c:v>Топливно-энергетические товары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итог!$I$27:$M$27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1F-0A46-B227-B3FEB9758F52}"/>
            </c:ext>
          </c:extLst>
        </c:ser>
        <c:ser>
          <c:idx val="3"/>
          <c:order val="3"/>
          <c:tx>
            <c:strRef>
              <c:f>итог!$H$28</c:f>
              <c:strCache>
                <c:ptCount val="1"/>
                <c:pt idx="0">
                  <c:v>Продукция химической промышленности,каучук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итог!$I$28:$M$28</c:f>
              <c:numCache>
                <c:formatCode>0.0%</c:formatCode>
                <c:ptCount val="5"/>
                <c:pt idx="0">
                  <c:v>0.11090155544787579</c:v>
                </c:pt>
                <c:pt idx="1">
                  <c:v>0.13395290080163644</c:v>
                </c:pt>
                <c:pt idx="2">
                  <c:v>0.15526031926885253</c:v>
                </c:pt>
                <c:pt idx="3">
                  <c:v>0.14926470563455246</c:v>
                </c:pt>
                <c:pt idx="4">
                  <c:v>0.12667460846266487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1F-0A46-B227-B3FEB9758F52}"/>
            </c:ext>
          </c:extLst>
        </c:ser>
        <c:ser>
          <c:idx val="4"/>
          <c:order val="4"/>
          <c:tx>
            <c:strRef>
              <c:f>итог!$H$29</c:f>
              <c:strCache>
                <c:ptCount val="1"/>
                <c:pt idx="0">
                  <c:v>Кожевенное сырье,пушнина и изделия из них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итог!$I$29:$M$29</c:f>
              <c:numCache>
                <c:formatCode>0.0%</c:formatCode>
                <c:ptCount val="5"/>
                <c:pt idx="0">
                  <c:v>1.0299941010309564E-3</c:v>
                </c:pt>
                <c:pt idx="1">
                  <c:v>1.0875913463640047E-3</c:v>
                </c:pt>
                <c:pt idx="2">
                  <c:v>1.5247006228135049E-3</c:v>
                </c:pt>
                <c:pt idx="3">
                  <c:v>1.3055024279097316E-3</c:v>
                </c:pt>
                <c:pt idx="4">
                  <c:v>1.1951141532021111E-3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1F-0A46-B227-B3FEB9758F52}"/>
            </c:ext>
          </c:extLst>
        </c:ser>
        <c:ser>
          <c:idx val="5"/>
          <c:order val="5"/>
          <c:tx>
            <c:strRef>
              <c:f>итог!$H$30</c:f>
              <c:strCache>
                <c:ptCount val="1"/>
                <c:pt idx="0">
                  <c:v>Древесина и целлюлозно-бумажные изделия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итог!$I$30:$M$30</c:f>
              <c:numCache>
                <c:formatCode>0.0%</c:formatCode>
                <c:ptCount val="5"/>
                <c:pt idx="0">
                  <c:v>4.1430212426083302E-2</c:v>
                </c:pt>
                <c:pt idx="1">
                  <c:v>3.8256068662413885E-2</c:v>
                </c:pt>
                <c:pt idx="2">
                  <c:v>4.4306641523821244E-2</c:v>
                </c:pt>
                <c:pt idx="3">
                  <c:v>4.3057776007042699E-2</c:v>
                </c:pt>
                <c:pt idx="4">
                  <c:v>4.4205131731598048E-2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1F-0A46-B227-B3FEB9758F52}"/>
            </c:ext>
          </c:extLst>
        </c:ser>
        <c:ser>
          <c:idx val="6"/>
          <c:order val="6"/>
          <c:tx>
            <c:strRef>
              <c:f>итог!$H$31</c:f>
              <c:strCache>
                <c:ptCount val="1"/>
                <c:pt idx="0">
                  <c:v>Текстиль,текстильные изделия и обувь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итог!$I$31:$M$31</c:f>
              <c:numCache>
                <c:formatCode>0.0%</c:formatCode>
                <c:ptCount val="5"/>
                <c:pt idx="0">
                  <c:v>1.2227923331779791E-2</c:v>
                </c:pt>
                <c:pt idx="1">
                  <c:v>1.3582047089102158E-2</c:v>
                </c:pt>
                <c:pt idx="2">
                  <c:v>1.7470754717506396E-2</c:v>
                </c:pt>
                <c:pt idx="3">
                  <c:v>1.6584490735984961E-2</c:v>
                </c:pt>
                <c:pt idx="4">
                  <c:v>1.6321408720600245E-2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21F-0A46-B227-B3FEB9758F52}"/>
            </c:ext>
          </c:extLst>
        </c:ser>
        <c:ser>
          <c:idx val="7"/>
          <c:order val="7"/>
          <c:tx>
            <c:strRef>
              <c:f>итог!$H$32</c:f>
              <c:strCache>
                <c:ptCount val="1"/>
                <c:pt idx="0">
                  <c:v>Драгоценные камни,драгоценные металлы и изделия из них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итог!$I$32:$M$32</c:f>
              <c:numCache>
                <c:formatCode>0.0%</c:formatCode>
                <c:ptCount val="5"/>
                <c:pt idx="0">
                  <c:v>4.3433783516477415E-3</c:v>
                </c:pt>
                <c:pt idx="1">
                  <c:v>4.6116672325678919E-3</c:v>
                </c:pt>
                <c:pt idx="2">
                  <c:v>5.8297112223225237E-3</c:v>
                </c:pt>
                <c:pt idx="3">
                  <c:v>3.7906816510033595E-3</c:v>
                </c:pt>
                <c:pt idx="4">
                  <c:v>2.9135596710406966E-3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21F-0A46-B227-B3FEB9758F52}"/>
            </c:ext>
          </c:extLst>
        </c:ser>
        <c:ser>
          <c:idx val="8"/>
          <c:order val="8"/>
          <c:tx>
            <c:strRef>
              <c:f>итог!$H$33</c:f>
              <c:strCache>
                <c:ptCount val="1"/>
                <c:pt idx="0">
                  <c:v>Металлы и изделия из них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итог!$I$33:$M$33</c:f>
              <c:numCache>
                <c:formatCode>0.0%</c:formatCode>
                <c:ptCount val="5"/>
                <c:pt idx="0">
                  <c:v>0.10255725559838737</c:v>
                </c:pt>
                <c:pt idx="1">
                  <c:v>0.10742093180511635</c:v>
                </c:pt>
                <c:pt idx="2">
                  <c:v>0.1174040599565124</c:v>
                </c:pt>
                <c:pt idx="3">
                  <c:v>0.12205769392555119</c:v>
                </c:pt>
                <c:pt idx="4">
                  <c:v>0.12759188059103821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1F-0A46-B227-B3FEB9758F52}"/>
            </c:ext>
          </c:extLst>
        </c:ser>
        <c:ser>
          <c:idx val="9"/>
          <c:order val="9"/>
          <c:tx>
            <c:strRef>
              <c:f>итог!$H$34</c:f>
              <c:strCache>
                <c:ptCount val="1"/>
                <c:pt idx="0">
                  <c:v>Машины,оборудование и транспортные средства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итог!$I$34:$M$34</c:f>
              <c:numCache>
                <c:formatCode>0.0%</c:formatCode>
                <c:ptCount val="5"/>
                <c:pt idx="0">
                  <c:v>0.16253372251100259</c:v>
                </c:pt>
                <c:pt idx="1">
                  <c:v>0.16415578962519781</c:v>
                </c:pt>
                <c:pt idx="2">
                  <c:v>0.16724653688769192</c:v>
                </c:pt>
                <c:pt idx="3">
                  <c:v>0.17296781958630086</c:v>
                </c:pt>
                <c:pt idx="4">
                  <c:v>0.17824237900748494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21F-0A46-B227-B3FEB9758F52}"/>
            </c:ext>
          </c:extLst>
        </c:ser>
        <c:ser>
          <c:idx val="10"/>
          <c:order val="10"/>
          <c:tx>
            <c:strRef>
              <c:f>итог!$H$35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итог!$I$24:$M$24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итог!$I$35:$M$35</c:f>
              <c:numCache>
                <c:formatCode>0.0%</c:formatCode>
                <c:ptCount val="5"/>
                <c:pt idx="0">
                  <c:v>2.9995327866025684E-2</c:v>
                </c:pt>
                <c:pt idx="1">
                  <c:v>3.1900400401641334E-2</c:v>
                </c:pt>
                <c:pt idx="2">
                  <c:v>3.578831966527677E-2</c:v>
                </c:pt>
                <c:pt idx="3">
                  <c:v>3.9208691385223961E-2</c:v>
                </c:pt>
                <c:pt idx="4">
                  <c:v>3.1729878899236827E-2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21F-0A46-B227-B3FEB9758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220397056"/>
        <c:axId val="200014592"/>
      </c:barChart>
      <c:catAx>
        <c:axId val="2203970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014592"/>
        <c:crosses val="autoZero"/>
        <c:auto val="1"/>
        <c:lblAlgn val="ctr"/>
        <c:lblOffset val="100"/>
        <c:noMultiLvlLbl val="0"/>
      </c:catAx>
      <c:valAx>
        <c:axId val="2000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3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517741665270561"/>
          <c:y val="0"/>
          <c:w val="0.41205662590048586"/>
          <c:h val="0.967592592592592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756177029595445E-2"/>
          <c:y val="4.6610169491525424E-2"/>
          <c:w val="0.48125780613630192"/>
          <c:h val="0.8609675697317495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итог!$H$12</c:f>
              <c:strCache>
                <c:ptCount val="1"/>
                <c:pt idx="0">
                  <c:v>Продовольственные товары и сельскохозяйственное сырье (кроме текстильного)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итог!$I$12:$M$12</c:f>
              <c:numCache>
                <c:formatCode>0.0%</c:formatCode>
                <c:ptCount val="5"/>
                <c:pt idx="0">
                  <c:v>3.1915986754154933E-2</c:v>
                </c:pt>
                <c:pt idx="1">
                  <c:v>4.0022493878997839E-2</c:v>
                </c:pt>
                <c:pt idx="2">
                  <c:v>5.18810193167175E-2</c:v>
                </c:pt>
                <c:pt idx="3">
                  <c:v>5.1369661596458664E-2</c:v>
                </c:pt>
                <c:pt idx="4">
                  <c:v>5.030031640252778E-2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C5-3142-9D87-A9B096D10ADC}"/>
            </c:ext>
          </c:extLst>
        </c:ser>
        <c:ser>
          <c:idx val="1"/>
          <c:order val="1"/>
          <c:tx>
            <c:strRef>
              <c:f>итог!$H$13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итог!$I$13:$M$13</c:f>
              <c:numCache>
                <c:formatCode>0.0%</c:formatCode>
                <c:ptCount val="5"/>
                <c:pt idx="0">
                  <c:v>0.7411238579086854</c:v>
                </c:pt>
                <c:pt idx="1">
                  <c:v>0.67227573797956586</c:v>
                </c:pt>
                <c:pt idx="2">
                  <c:v>0.62915458511120637</c:v>
                </c:pt>
                <c:pt idx="3">
                  <c:v>0.64269921041678513</c:v>
                </c:pt>
                <c:pt idx="4">
                  <c:v>0.68497637810729506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C5-3142-9D87-A9B096D10ADC}"/>
            </c:ext>
          </c:extLst>
        </c:ser>
        <c:ser>
          <c:idx val="2"/>
          <c:order val="2"/>
          <c:tx>
            <c:strRef>
              <c:f>итог!$H$14</c:f>
              <c:strCache>
                <c:ptCount val="1"/>
                <c:pt idx="0">
                  <c:v>Топливно-энергетические товары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итог!$I$14:$M$14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C5-3142-9D87-A9B096D10ADC}"/>
            </c:ext>
          </c:extLst>
        </c:ser>
        <c:ser>
          <c:idx val="3"/>
          <c:order val="3"/>
          <c:tx>
            <c:strRef>
              <c:f>итог!$H$15</c:f>
              <c:strCache>
                <c:ptCount val="1"/>
                <c:pt idx="0">
                  <c:v>Продукция химической промышленности,каучук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итог!$I$15:$M$15</c:f>
              <c:numCache>
                <c:formatCode>0.0%</c:formatCode>
                <c:ptCount val="5"/>
                <c:pt idx="0">
                  <c:v>5.0924160543938266E-2</c:v>
                </c:pt>
                <c:pt idx="1">
                  <c:v>6.4759387253528186E-2</c:v>
                </c:pt>
                <c:pt idx="2">
                  <c:v>6.0364632512900133E-2</c:v>
                </c:pt>
                <c:pt idx="3">
                  <c:v>5.4323448581641121E-2</c:v>
                </c:pt>
                <c:pt idx="4">
                  <c:v>5.1760925596832805E-2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C5-3142-9D87-A9B096D10ADC}"/>
            </c:ext>
          </c:extLst>
        </c:ser>
        <c:ser>
          <c:idx val="4"/>
          <c:order val="4"/>
          <c:tx>
            <c:strRef>
              <c:f>итог!$H$16</c:f>
              <c:strCache>
                <c:ptCount val="1"/>
                <c:pt idx="0">
                  <c:v>Кожевенное сырье,пушнина и изделия из них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итог!$I$16:$M$16</c:f>
              <c:numCache>
                <c:formatCode>0.0%</c:formatCode>
                <c:ptCount val="5"/>
                <c:pt idx="0">
                  <c:v>8.0366851931100317E-4</c:v>
                </c:pt>
                <c:pt idx="1">
                  <c:v>8.7106255341230408E-4</c:v>
                </c:pt>
                <c:pt idx="2">
                  <c:v>8.2491333901875798E-4</c:v>
                </c:pt>
                <c:pt idx="3">
                  <c:v>7.2224204249288963E-4</c:v>
                </c:pt>
                <c:pt idx="4">
                  <c:v>4.7957624844789719E-4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C5-3142-9D87-A9B096D10ADC}"/>
            </c:ext>
          </c:extLst>
        </c:ser>
        <c:ser>
          <c:idx val="5"/>
          <c:order val="5"/>
          <c:tx>
            <c:strRef>
              <c:f>итог!$H$17</c:f>
              <c:strCache>
                <c:ptCount val="1"/>
                <c:pt idx="0">
                  <c:v>Древесина и целлюлозно-бумажные изделия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итог!$I$17:$M$17</c:f>
              <c:numCache>
                <c:formatCode>0.0%</c:formatCode>
                <c:ptCount val="5"/>
                <c:pt idx="0">
                  <c:v>2.0768531287132384E-2</c:v>
                </c:pt>
                <c:pt idx="1">
                  <c:v>2.7185715458213893E-2</c:v>
                </c:pt>
                <c:pt idx="2">
                  <c:v>3.2793305128123555E-2</c:v>
                </c:pt>
                <c:pt idx="3">
                  <c:v>3.1564839047186634E-2</c:v>
                </c:pt>
                <c:pt idx="4">
                  <c:v>2.9163759199431438E-2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C5-3142-9D87-A9B096D10ADC}"/>
            </c:ext>
          </c:extLst>
        </c:ser>
        <c:ser>
          <c:idx val="6"/>
          <c:order val="6"/>
          <c:tx>
            <c:strRef>
              <c:f>итог!$H$18</c:f>
              <c:strCache>
                <c:ptCount val="1"/>
                <c:pt idx="0">
                  <c:v>Текстиль,текстильные изделия и обувь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итог!$I$18:$M$18</c:f>
              <c:numCache>
                <c:formatCode>0.0%</c:formatCode>
                <c:ptCount val="5"/>
                <c:pt idx="0">
                  <c:v>6.7191090772439951E-4</c:v>
                </c:pt>
                <c:pt idx="1">
                  <c:v>8.0490682351387675E-4</c:v>
                </c:pt>
                <c:pt idx="2">
                  <c:v>9.9378682194981418E-4</c:v>
                </c:pt>
                <c:pt idx="3">
                  <c:v>9.5882517341128073E-4</c:v>
                </c:pt>
                <c:pt idx="4">
                  <c:v>7.8431126072066066E-4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DC5-3142-9D87-A9B096D10ADC}"/>
            </c:ext>
          </c:extLst>
        </c:ser>
        <c:ser>
          <c:idx val="7"/>
          <c:order val="7"/>
          <c:tx>
            <c:strRef>
              <c:f>итог!$H$19</c:f>
              <c:strCache>
                <c:ptCount val="1"/>
                <c:pt idx="0">
                  <c:v>Драгоценные камни,драгоценные металлы и изделия из них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итог!$I$19:$M$19</c:f>
              <c:numCache>
                <c:formatCode>0.0%</c:formatCode>
                <c:ptCount val="5"/>
                <c:pt idx="0">
                  <c:v>2.6690424124401875E-2</c:v>
                </c:pt>
                <c:pt idx="1">
                  <c:v>2.5677811214269895E-2</c:v>
                </c:pt>
                <c:pt idx="2">
                  <c:v>3.5013146055743537E-2</c:v>
                </c:pt>
                <c:pt idx="3">
                  <c:v>3.5133539140122273E-2</c:v>
                </c:pt>
                <c:pt idx="4">
                  <c:v>2.5138613819096843E-2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C5-3142-9D87-A9B096D10ADC}"/>
            </c:ext>
          </c:extLst>
        </c:ser>
        <c:ser>
          <c:idx val="8"/>
          <c:order val="8"/>
          <c:tx>
            <c:strRef>
              <c:f>итог!$H$20</c:f>
              <c:strCache>
                <c:ptCount val="1"/>
                <c:pt idx="0">
                  <c:v>Металлы и изделия из них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итог!$I$20:$M$20</c:f>
              <c:numCache>
                <c:formatCode>0.0%</c:formatCode>
                <c:ptCount val="5"/>
                <c:pt idx="0">
                  <c:v>7.8559408393410496E-2</c:v>
                </c:pt>
                <c:pt idx="1">
                  <c:v>9.4438126944293072E-2</c:v>
                </c:pt>
                <c:pt idx="2">
                  <c:v>9.9503942390472361E-2</c:v>
                </c:pt>
                <c:pt idx="3">
                  <c:v>0.10158205754336901</c:v>
                </c:pt>
                <c:pt idx="4">
                  <c:v>9.4846584158232106E-2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DC5-3142-9D87-A9B096D10ADC}"/>
            </c:ext>
          </c:extLst>
        </c:ser>
        <c:ser>
          <c:idx val="9"/>
          <c:order val="9"/>
          <c:tx>
            <c:strRef>
              <c:f>итог!$H$21</c:f>
              <c:strCache>
                <c:ptCount val="1"/>
                <c:pt idx="0">
                  <c:v>Машины,оборудование и транспортные средства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итог!$I$21:$M$21</c:f>
              <c:numCache>
                <c:formatCode>0.0%</c:formatCode>
                <c:ptCount val="5"/>
                <c:pt idx="0">
                  <c:v>3.6909234561051156E-2</c:v>
                </c:pt>
                <c:pt idx="1">
                  <c:v>6.0391673321523801E-2</c:v>
                </c:pt>
                <c:pt idx="2">
                  <c:v>7.2724630274440177E-2</c:v>
                </c:pt>
                <c:pt idx="3">
                  <c:v>6.4032440073292493E-2</c:v>
                </c:pt>
                <c:pt idx="4">
                  <c:v>4.8879562644693647E-2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DC5-3142-9D87-A9B096D10ADC}"/>
            </c:ext>
          </c:extLst>
        </c:ser>
        <c:ser>
          <c:idx val="10"/>
          <c:order val="10"/>
          <c:tx>
            <c:strRef>
              <c:f>итог!$H$22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итог!$I$11:$M$11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итог!$I$22:$M$22</c:f>
              <c:numCache>
                <c:formatCode>0.0%</c:formatCode>
                <c:ptCount val="5"/>
                <c:pt idx="0">
                  <c:v>1.1632817461693592E-2</c:v>
                </c:pt>
                <c:pt idx="1">
                  <c:v>1.3573084572681306E-2</c:v>
                </c:pt>
                <c:pt idx="2">
                  <c:v>1.6746039452437394E-2</c:v>
                </c:pt>
                <c:pt idx="3">
                  <c:v>1.7613736385240539E-2</c:v>
                </c:pt>
                <c:pt idx="4">
                  <c:v>1.3669972562721872E-2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DC5-3142-9D87-A9B096D10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223425536"/>
        <c:axId val="218563712"/>
      </c:barChart>
      <c:catAx>
        <c:axId val="22342553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563712"/>
        <c:crosses val="autoZero"/>
        <c:auto val="1"/>
        <c:lblAlgn val="ctr"/>
        <c:lblOffset val="100"/>
        <c:noMultiLvlLbl val="0"/>
      </c:catAx>
      <c:valAx>
        <c:axId val="2185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342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42553624762422"/>
          <c:y val="2.3268717469638333E-2"/>
          <c:w val="0.41281360304099929"/>
          <c:h val="0.953462231415988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189877440801185E-2"/>
          <c:y val="2.1235521235521235E-2"/>
          <c:w val="0.9484171667405813"/>
          <c:h val="0.733622108425258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Лист1!$S$4</c:f>
              <c:strCache>
                <c:ptCount val="1"/>
                <c:pt idx="0">
                  <c:v>Внутренняя добавленная стоимость в % от совокупного зарубежного потребления - мера вертикального обновления в ГЦДС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Лист1!$S$6:$S$23</c:f>
              <c:numCache>
                <c:formatCode>General</c:formatCode>
                <c:ptCount val="18"/>
                <c:pt idx="0">
                  <c:v>-3.25</c:v>
                </c:pt>
                <c:pt idx="1">
                  <c:v>-0.57000000000000028</c:v>
                </c:pt>
                <c:pt idx="2">
                  <c:v>-1.7199999999999989</c:v>
                </c:pt>
                <c:pt idx="3">
                  <c:v>-12.759999999999998</c:v>
                </c:pt>
                <c:pt idx="4">
                  <c:v>-7.759999999999998</c:v>
                </c:pt>
                <c:pt idx="5">
                  <c:v>2.41</c:v>
                </c:pt>
                <c:pt idx="6">
                  <c:v>-3.0199999999999996</c:v>
                </c:pt>
                <c:pt idx="7">
                  <c:v>-7.1400000000000006</c:v>
                </c:pt>
                <c:pt idx="8">
                  <c:v>-1.0399999999999991</c:v>
                </c:pt>
                <c:pt idx="9">
                  <c:v>-12.11</c:v>
                </c:pt>
                <c:pt idx="10">
                  <c:v>-2.2300000000000004</c:v>
                </c:pt>
                <c:pt idx="11">
                  <c:v>-2.8099999999999987</c:v>
                </c:pt>
                <c:pt idx="12">
                  <c:v>-17.329999999999998</c:v>
                </c:pt>
                <c:pt idx="13">
                  <c:v>5.0000000000000711E-2</c:v>
                </c:pt>
                <c:pt idx="14">
                  <c:v>-1.5599999999999987</c:v>
                </c:pt>
                <c:pt idx="15">
                  <c:v>-7.3099999999999987</c:v>
                </c:pt>
                <c:pt idx="16">
                  <c:v>-2.4299999999999997</c:v>
                </c:pt>
                <c:pt idx="17">
                  <c:v>-8.57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B2-564A-BF23-7350C49C01A5}"/>
            </c:ext>
          </c:extLst>
        </c:ser>
        <c:ser>
          <c:idx val="1"/>
          <c:order val="1"/>
          <c:tx>
            <c:strRef>
              <c:f>Лист1!$R$4</c:f>
              <c:strCache>
                <c:ptCount val="1"/>
                <c:pt idx="0">
                  <c:v>Внутренняя добавленная стоимость в экспорте конечных товаров в % от валового экспорта - мера структурных измерений в экспорте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Лист1!$R$6:$R$23</c:f>
              <c:numCache>
                <c:formatCode>General</c:formatCode>
                <c:ptCount val="18"/>
                <c:pt idx="0">
                  <c:v>4.009999999999998</c:v>
                </c:pt>
                <c:pt idx="1">
                  <c:v>17.860000000000003</c:v>
                </c:pt>
                <c:pt idx="2">
                  <c:v>6.9999999999999396E-2</c:v>
                </c:pt>
                <c:pt idx="3">
                  <c:v>0.34999999999999987</c:v>
                </c:pt>
                <c:pt idx="4">
                  <c:v>6.6400000000000006</c:v>
                </c:pt>
                <c:pt idx="5">
                  <c:v>0.5</c:v>
                </c:pt>
                <c:pt idx="6">
                  <c:v>1.3200000000000003</c:v>
                </c:pt>
                <c:pt idx="7">
                  <c:v>-4.870000000000001</c:v>
                </c:pt>
                <c:pt idx="8">
                  <c:v>2.379999999999999</c:v>
                </c:pt>
                <c:pt idx="9">
                  <c:v>2.6999999999999993</c:v>
                </c:pt>
                <c:pt idx="10">
                  <c:v>5.18</c:v>
                </c:pt>
                <c:pt idx="11">
                  <c:v>1.83</c:v>
                </c:pt>
                <c:pt idx="12">
                  <c:v>2.5099999999999998</c:v>
                </c:pt>
                <c:pt idx="13">
                  <c:v>6.6999999999999957</c:v>
                </c:pt>
                <c:pt idx="14">
                  <c:v>17.740000000000002</c:v>
                </c:pt>
                <c:pt idx="15">
                  <c:v>5.8499999999999943</c:v>
                </c:pt>
                <c:pt idx="16">
                  <c:v>9.68</c:v>
                </c:pt>
                <c:pt idx="17">
                  <c:v>2.3599999999999994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2-564A-BF23-7350C49C01A5}"/>
            </c:ext>
          </c:extLst>
        </c:ser>
        <c:ser>
          <c:idx val="0"/>
          <c:order val="2"/>
          <c:tx>
            <c:strRef>
              <c:f>Лист1!$Q$4</c:f>
              <c:strCache>
                <c:ptCount val="1"/>
                <c:pt idx="0">
                  <c:v>Занятость (прямая и непрямая) в производстве конечных товаров, направленных на экспорт, в % от занятости отрасли - мера структурных изменений в экономике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Лист1!$Q$6:$Q$23</c:f>
              <c:numCache>
                <c:formatCode>#,##0.00</c:formatCode>
                <c:ptCount val="18"/>
                <c:pt idx="0">
                  <c:v>0.58000000000000007</c:v>
                </c:pt>
                <c:pt idx="1">
                  <c:v>1.7899999999999996</c:v>
                </c:pt>
                <c:pt idx="2">
                  <c:v>2.09</c:v>
                </c:pt>
                <c:pt idx="3">
                  <c:v>0.2200000000000002</c:v>
                </c:pt>
                <c:pt idx="4">
                  <c:v>3.2199999999999989</c:v>
                </c:pt>
                <c:pt idx="5">
                  <c:v>4.410000000000001</c:v>
                </c:pt>
                <c:pt idx="6">
                  <c:v>-1.8399999999999999</c:v>
                </c:pt>
                <c:pt idx="7">
                  <c:v>-2.5600000000000005</c:v>
                </c:pt>
                <c:pt idx="8">
                  <c:v>41.370000000000005</c:v>
                </c:pt>
                <c:pt idx="9">
                  <c:v>1.7799999999999976</c:v>
                </c:pt>
                <c:pt idx="10">
                  <c:v>2.4799999999999995</c:v>
                </c:pt>
                <c:pt idx="11">
                  <c:v>0.35999999999999988</c:v>
                </c:pt>
                <c:pt idx="12">
                  <c:v>1.4300000000000002</c:v>
                </c:pt>
                <c:pt idx="13">
                  <c:v>2.16</c:v>
                </c:pt>
                <c:pt idx="14">
                  <c:v>4.71</c:v>
                </c:pt>
                <c:pt idx="15">
                  <c:v>-1.9699999999999989</c:v>
                </c:pt>
                <c:pt idx="16">
                  <c:v>-1.5300000000000011</c:v>
                </c:pt>
                <c:pt idx="17">
                  <c:v>-6.5299999999999994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2-564A-BF23-7350C49C0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393472"/>
        <c:axId val="218565440"/>
      </c:barChart>
      <c:catAx>
        <c:axId val="220393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565440"/>
        <c:crosses val="autoZero"/>
        <c:auto val="1"/>
        <c:lblAlgn val="ctr"/>
        <c:lblOffset val="100"/>
        <c:noMultiLvlLbl val="0"/>
      </c:catAx>
      <c:valAx>
        <c:axId val="218565440"/>
        <c:scaling>
          <c:orientation val="minMax"/>
          <c:max val="45"/>
          <c:min val="-2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39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509745735729931E-2"/>
          <c:y val="0.79796474442911947"/>
          <c:w val="0.96756827424769165"/>
          <c:h val="0.19045201389737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91215155759886E-2"/>
          <c:y val="2.1174205967276226E-2"/>
          <c:w val="0.96828660795748434"/>
          <c:h val="0.707175840308097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Лист1!$X$4</c:f>
              <c:strCache>
                <c:ptCount val="1"/>
                <c:pt idx="0">
                  <c:v>Внутренняя добавленная стоимость, используемая в зарубежном экспорте, в % от валового экспорта - мера горизонтального обновления в ГЦДС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Лист1!$X$6:$X$23</c:f>
              <c:numCache>
                <c:formatCode>General</c:formatCode>
                <c:ptCount val="18"/>
                <c:pt idx="0">
                  <c:v>-3.0200000000000031</c:v>
                </c:pt>
                <c:pt idx="1">
                  <c:v>8.0000000000000016E-2</c:v>
                </c:pt>
                <c:pt idx="2">
                  <c:v>-1.29</c:v>
                </c:pt>
                <c:pt idx="3">
                  <c:v>-2.0000000000000018E-2</c:v>
                </c:pt>
                <c:pt idx="4">
                  <c:v>-2.16</c:v>
                </c:pt>
                <c:pt idx="5">
                  <c:v>0.16999999999999993</c:v>
                </c:pt>
                <c:pt idx="6">
                  <c:v>-0.13</c:v>
                </c:pt>
                <c:pt idx="7">
                  <c:v>-0.26</c:v>
                </c:pt>
                <c:pt idx="8">
                  <c:v>-0.36000000000000032</c:v>
                </c:pt>
                <c:pt idx="9">
                  <c:v>0.39999999999999991</c:v>
                </c:pt>
                <c:pt idx="10">
                  <c:v>0.10999999999999999</c:v>
                </c:pt>
                <c:pt idx="11">
                  <c:v>1.9999999999999962E-2</c:v>
                </c:pt>
                <c:pt idx="12">
                  <c:v>-0.91999999999999993</c:v>
                </c:pt>
                <c:pt idx="13">
                  <c:v>-0.30000000000000004</c:v>
                </c:pt>
                <c:pt idx="14">
                  <c:v>-3.0000000000000027E-2</c:v>
                </c:pt>
                <c:pt idx="15">
                  <c:v>-0.34999999999999987</c:v>
                </c:pt>
                <c:pt idx="16">
                  <c:v>-0.33999999999999986</c:v>
                </c:pt>
                <c:pt idx="17">
                  <c:v>5.9999999999999942E-2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D9-8547-99BA-2D7D7361DD4C}"/>
            </c:ext>
          </c:extLst>
        </c:ser>
        <c:ser>
          <c:idx val="1"/>
          <c:order val="1"/>
          <c:tx>
            <c:strRef>
              <c:f>Лист1!$W$4</c:f>
              <c:strCache>
                <c:ptCount val="1"/>
                <c:pt idx="0">
                  <c:v>Внутренняя добавленная стоимость в экспорте промежуточных товаров в % от валового экспорта - мера структурных измерений в экспорте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Лист1!$W$6:$W$23</c:f>
              <c:numCache>
                <c:formatCode>General</c:formatCode>
                <c:ptCount val="18"/>
                <c:pt idx="0">
                  <c:v>-4.8699999999999903</c:v>
                </c:pt>
                <c:pt idx="1">
                  <c:v>-18.04</c:v>
                </c:pt>
                <c:pt idx="2">
                  <c:v>-1.7600000000000051</c:v>
                </c:pt>
                <c:pt idx="3">
                  <c:v>-0.90000000000000568</c:v>
                </c:pt>
                <c:pt idx="4">
                  <c:v>-6.6500000000000057</c:v>
                </c:pt>
                <c:pt idx="5">
                  <c:v>-0.12999999999999545</c:v>
                </c:pt>
                <c:pt idx="6">
                  <c:v>-1.7100000000000009</c:v>
                </c:pt>
                <c:pt idx="7">
                  <c:v>3.4000000000000057</c:v>
                </c:pt>
                <c:pt idx="8">
                  <c:v>-5.1900000000000048</c:v>
                </c:pt>
                <c:pt idx="9">
                  <c:v>-3.5499999999999972</c:v>
                </c:pt>
                <c:pt idx="10">
                  <c:v>-5.2399999999999949</c:v>
                </c:pt>
                <c:pt idx="11">
                  <c:v>-4.5699999999999932</c:v>
                </c:pt>
                <c:pt idx="12">
                  <c:v>-0.78999999999999204</c:v>
                </c:pt>
                <c:pt idx="13">
                  <c:v>-5.2900000000000063</c:v>
                </c:pt>
                <c:pt idx="14">
                  <c:v>-17.589999999999996</c:v>
                </c:pt>
                <c:pt idx="15">
                  <c:v>-7.16</c:v>
                </c:pt>
                <c:pt idx="16">
                  <c:v>-11.11</c:v>
                </c:pt>
                <c:pt idx="17">
                  <c:v>-0.68999999999999773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D9-8547-99BA-2D7D7361DD4C}"/>
            </c:ext>
          </c:extLst>
        </c:ser>
        <c:ser>
          <c:idx val="0"/>
          <c:order val="2"/>
          <c:tx>
            <c:strRef>
              <c:f>Лист1!$V$4</c:f>
              <c:strCache>
                <c:ptCount val="1"/>
                <c:pt idx="0">
                  <c:v>Занятость (прямая и непрямая) в производстве промежуточных товаров, направленных на экспорт, в % от занятости отрасли - мера структурных изменений в экономике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Лист1!$O$6:$O$23</c:f>
              <c:strCache>
                <c:ptCount val="18"/>
                <c:pt idx="0">
                  <c:v>Всего по экономике</c:v>
                </c:pt>
                <c:pt idx="1">
                  <c:v>Сельское хозяйство, лесоводство и рыбоводство</c:v>
                </c:pt>
                <c:pt idx="2">
                  <c:v>Добыча энергетических ПИ</c:v>
                </c:pt>
                <c:pt idx="3">
                  <c:v>Добыча неэнергетических ПИ</c:v>
                </c:pt>
                <c:pt idx="4">
                  <c:v>Обрабатывающие производства (все)</c:v>
                </c:pt>
                <c:pt idx="5">
                  <c:v>Продукты питания, напитки, табак</c:v>
                </c:pt>
                <c:pt idx="6">
                  <c:v>Текстиль и одежда</c:v>
                </c:pt>
                <c:pt idx="7">
                  <c:v>Изделия из дерева и бумаги</c:v>
                </c:pt>
                <c:pt idx="8">
                  <c:v>Нефтеперерабатывающая промышленность</c:v>
                </c:pt>
                <c:pt idx="9">
                  <c:v>Химическая промышленность и фармацевтика</c:v>
                </c:pt>
                <c:pt idx="10">
                  <c:v>Изделия из резины и пластика</c:v>
                </c:pt>
                <c:pt idx="11">
                  <c:v>Стройматериалы и неметаллические продукты</c:v>
                </c:pt>
                <c:pt idx="12">
                  <c:v>Металлы и изделия из них</c:v>
                </c:pt>
                <c:pt idx="13">
                  <c:v>Компьютерная, электронная и оптическая техника</c:v>
                </c:pt>
                <c:pt idx="14">
                  <c:v>Электрооборудование</c:v>
                </c:pt>
                <c:pt idx="15">
                  <c:v>Машиностроение</c:v>
                </c:pt>
                <c:pt idx="16">
                  <c:v>Автомобилестроение</c:v>
                </c:pt>
                <c:pt idx="17">
                  <c:v>Прочие виды транспорта</c:v>
                </c:pt>
              </c:strCache>
            </c:strRef>
          </c:cat>
          <c:val>
            <c:numRef>
              <c:f>Лист1!$V$6:$V$23</c:f>
              <c:numCache>
                <c:formatCode>#,##0.00</c:formatCode>
                <c:ptCount val="18"/>
                <c:pt idx="0">
                  <c:v>-1.75</c:v>
                </c:pt>
                <c:pt idx="1">
                  <c:v>-3.21</c:v>
                </c:pt>
                <c:pt idx="2">
                  <c:v>20.120000000000033</c:v>
                </c:pt>
                <c:pt idx="3">
                  <c:v>-0.74000000000000199</c:v>
                </c:pt>
                <c:pt idx="4">
                  <c:v>-1.9300000000000068</c:v>
                </c:pt>
                <c:pt idx="5">
                  <c:v>3.41</c:v>
                </c:pt>
                <c:pt idx="6">
                  <c:v>-2.5</c:v>
                </c:pt>
                <c:pt idx="7">
                  <c:v>23.570000000000007</c:v>
                </c:pt>
                <c:pt idx="8">
                  <c:v>47.79000000000002</c:v>
                </c:pt>
                <c:pt idx="9">
                  <c:v>-9.5900000000000034</c:v>
                </c:pt>
                <c:pt idx="10">
                  <c:v>2.5300000000000011</c:v>
                </c:pt>
                <c:pt idx="11">
                  <c:v>0.26999999999999957</c:v>
                </c:pt>
                <c:pt idx="12">
                  <c:v>-31.910000000000011</c:v>
                </c:pt>
                <c:pt idx="13">
                  <c:v>-0.96000000000000085</c:v>
                </c:pt>
                <c:pt idx="14">
                  <c:v>-5.4200000000000017</c:v>
                </c:pt>
                <c:pt idx="15">
                  <c:v>-5</c:v>
                </c:pt>
                <c:pt idx="16">
                  <c:v>-6.6300000000000008</c:v>
                </c:pt>
                <c:pt idx="17">
                  <c:v>-3.6799999999999988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D9-8547-99BA-2D7D7361D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0393984"/>
        <c:axId val="218567168"/>
      </c:barChart>
      <c:catAx>
        <c:axId val="2203939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567168"/>
        <c:crosses val="autoZero"/>
        <c:auto val="1"/>
        <c:lblAlgn val="ctr"/>
        <c:lblOffset val="100"/>
        <c:noMultiLvlLbl val="0"/>
      </c:catAx>
      <c:valAx>
        <c:axId val="218567168"/>
        <c:scaling>
          <c:orientation val="minMax"/>
          <c:max val="50"/>
          <c:min val="-3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39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622844191276201E-2"/>
          <c:y val="0.79654255082521463"/>
          <c:w val="0.97505638592561561"/>
          <c:h val="0.191908130127801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'[demb-dem-pok-ved-2018.xlsx]Лист1 (2)'!$V$5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'[demb-dem-pok-ved-2018.xlsx]Лист1 (2)'!$A$6:$A$24</c:f>
              <c:strCache>
                <c:ptCount val="19"/>
                <c:pt idx="0">
                  <c:v>ВСЕГО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Обеспечение эл. энергией, газом и паром; кондиционирование воздуха</c:v>
                </c:pt>
                <c:pt idx="5">
                  <c:v>Водоснабжение; водоотведение, сбор и утилизация отходов</c:v>
                </c:pt>
                <c:pt idx="6">
                  <c:v>Строительство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услуги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'[demb-dem-pok-ved-2018.xlsx]Лист1 (2)'!$V$6:$V$24</c:f>
              <c:numCache>
                <c:formatCode>#,##0</c:formatCode>
                <c:ptCount val="19"/>
                <c:pt idx="0">
                  <c:v>290288</c:v>
                </c:pt>
                <c:pt idx="1">
                  <c:v>3150</c:v>
                </c:pt>
                <c:pt idx="2">
                  <c:v>1304</c:v>
                </c:pt>
                <c:pt idx="3">
                  <c:v>19996</c:v>
                </c:pt>
                <c:pt idx="4">
                  <c:v>788</c:v>
                </c:pt>
                <c:pt idx="5">
                  <c:v>1560</c:v>
                </c:pt>
                <c:pt idx="6">
                  <c:v>52905</c:v>
                </c:pt>
                <c:pt idx="7">
                  <c:v>110652</c:v>
                </c:pt>
                <c:pt idx="8">
                  <c:v>21631</c:v>
                </c:pt>
                <c:pt idx="9">
                  <c:v>7628</c:v>
                </c:pt>
                <c:pt idx="10">
                  <c:v>8339</c:v>
                </c:pt>
                <c:pt idx="11">
                  <c:v>2902</c:v>
                </c:pt>
                <c:pt idx="12">
                  <c:v>8549</c:v>
                </c:pt>
                <c:pt idx="13">
                  <c:v>25369</c:v>
                </c:pt>
                <c:pt idx="14">
                  <c:v>14115</c:v>
                </c:pt>
                <c:pt idx="15">
                  <c:v>1096</c:v>
                </c:pt>
                <c:pt idx="16">
                  <c:v>3743</c:v>
                </c:pt>
                <c:pt idx="17">
                  <c:v>2709</c:v>
                </c:pt>
                <c:pt idx="18">
                  <c:v>3852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AF-9946-8EC9-D3C750446948}"/>
            </c:ext>
          </c:extLst>
        </c:ser>
        <c:ser>
          <c:idx val="1"/>
          <c:order val="1"/>
          <c:tx>
            <c:strRef>
              <c:f>'[demb-dem-pok-ved-2018.xlsx]Лист1 (2)'!$W$5</c:f>
              <c:strCache>
                <c:ptCount val="1"/>
                <c:pt idx="0">
                  <c:v>Не старше 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'[demb-dem-pok-ved-2018.xlsx]Лист1 (2)'!$A$6:$A$24</c:f>
              <c:strCache>
                <c:ptCount val="19"/>
                <c:pt idx="0">
                  <c:v>ВСЕГО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Обеспечение эл. энергией, газом и паром; кондиционирование воздуха</c:v>
                </c:pt>
                <c:pt idx="5">
                  <c:v>Водоснабжение; водоотведение, сбор и утилизация отходов</c:v>
                </c:pt>
                <c:pt idx="6">
                  <c:v>Строительство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услуги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'[demb-dem-pok-ved-2018.xlsx]Лист1 (2)'!$W$6:$W$24</c:f>
              <c:numCache>
                <c:formatCode>#,##0</c:formatCode>
                <c:ptCount val="19"/>
                <c:pt idx="0">
                  <c:v>1560111</c:v>
                </c:pt>
                <c:pt idx="1">
                  <c:v>21548</c:v>
                </c:pt>
                <c:pt idx="2">
                  <c:v>6438</c:v>
                </c:pt>
                <c:pt idx="3">
                  <c:v>120842</c:v>
                </c:pt>
                <c:pt idx="4">
                  <c:v>5994</c:v>
                </c:pt>
                <c:pt idx="5">
                  <c:v>10011</c:v>
                </c:pt>
                <c:pt idx="6">
                  <c:v>219762</c:v>
                </c:pt>
                <c:pt idx="7">
                  <c:v>626968</c:v>
                </c:pt>
                <c:pt idx="8">
                  <c:v>102304</c:v>
                </c:pt>
                <c:pt idx="9">
                  <c:v>41820</c:v>
                </c:pt>
                <c:pt idx="10">
                  <c:v>46994</c:v>
                </c:pt>
                <c:pt idx="11">
                  <c:v>22029</c:v>
                </c:pt>
                <c:pt idx="12">
                  <c:v>72150</c:v>
                </c:pt>
                <c:pt idx="13">
                  <c:v>131515</c:v>
                </c:pt>
                <c:pt idx="14">
                  <c:v>67983</c:v>
                </c:pt>
                <c:pt idx="15">
                  <c:v>5884</c:v>
                </c:pt>
                <c:pt idx="16">
                  <c:v>20001</c:v>
                </c:pt>
                <c:pt idx="17">
                  <c:v>15466</c:v>
                </c:pt>
                <c:pt idx="18">
                  <c:v>22402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AF-9946-8EC9-D3C750446948}"/>
            </c:ext>
          </c:extLst>
        </c:ser>
        <c:ser>
          <c:idx val="2"/>
          <c:order val="2"/>
          <c:tx>
            <c:strRef>
              <c:f>'[demb-dem-pok-ved-2018.xlsx]Лист1 (2)'!$X$5</c:f>
              <c:strCache>
                <c:ptCount val="1"/>
                <c:pt idx="0">
                  <c:v>Старше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'[demb-dem-pok-ved-2018.xlsx]Лист1 (2)'!$A$6:$A$24</c:f>
              <c:strCache>
                <c:ptCount val="19"/>
                <c:pt idx="0">
                  <c:v>ВСЕГО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Обеспечение эл. энергией, газом и паром; кондиционирование воздуха</c:v>
                </c:pt>
                <c:pt idx="5">
                  <c:v>Водоснабжение; водоотведение, сбор и утилизация отходов</c:v>
                </c:pt>
                <c:pt idx="6">
                  <c:v>Строительство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услуги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'[demb-dem-pok-ved-2018.xlsx]Лист1 (2)'!$X$6:$X$24</c:f>
              <c:numCache>
                <c:formatCode>#,##0</c:formatCode>
                <c:ptCount val="19"/>
                <c:pt idx="0">
                  <c:v>1583134</c:v>
                </c:pt>
                <c:pt idx="1">
                  <c:v>58856</c:v>
                </c:pt>
                <c:pt idx="2">
                  <c:v>7505</c:v>
                </c:pt>
                <c:pt idx="3">
                  <c:v>148663</c:v>
                </c:pt>
                <c:pt idx="4">
                  <c:v>9597</c:v>
                </c:pt>
                <c:pt idx="5">
                  <c:v>10997</c:v>
                </c:pt>
                <c:pt idx="6">
                  <c:v>178799</c:v>
                </c:pt>
                <c:pt idx="7">
                  <c:v>513296</c:v>
                </c:pt>
                <c:pt idx="8">
                  <c:v>71615</c:v>
                </c:pt>
                <c:pt idx="9">
                  <c:v>45182</c:v>
                </c:pt>
                <c:pt idx="10">
                  <c:v>57886</c:v>
                </c:pt>
                <c:pt idx="11">
                  <c:v>26617</c:v>
                </c:pt>
                <c:pt idx="12">
                  <c:v>146150</c:v>
                </c:pt>
                <c:pt idx="13">
                  <c:v>150209</c:v>
                </c:pt>
                <c:pt idx="14">
                  <c:v>80230</c:v>
                </c:pt>
                <c:pt idx="15">
                  <c:v>5312</c:v>
                </c:pt>
                <c:pt idx="16">
                  <c:v>28918</c:v>
                </c:pt>
                <c:pt idx="17">
                  <c:v>13250</c:v>
                </c:pt>
                <c:pt idx="18">
                  <c:v>30052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AF-9946-8EC9-D3C750446948}"/>
            </c:ext>
          </c:extLst>
        </c:ser>
        <c:ser>
          <c:idx val="3"/>
          <c:order val="3"/>
          <c:tx>
            <c:strRef>
              <c:f>'[demb-dem-pok-ved-2018.xlsx]Лист1 (2)'!$Y$5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'[demb-dem-pok-ved-2018.xlsx]Лист1 (2)'!$A$6:$A$24</c:f>
              <c:strCache>
                <c:ptCount val="19"/>
                <c:pt idx="0">
                  <c:v>ВСЕГО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Обеспечение эл. энергией, газом и паром; кондиционирование воздуха</c:v>
                </c:pt>
                <c:pt idx="5">
                  <c:v>Водоснабжение; водоотведение, сбор и утилизация отходов</c:v>
                </c:pt>
                <c:pt idx="6">
                  <c:v>Строительство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услуги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'[demb-dem-pok-ved-2018.xlsx]Лист1 (2)'!$Y$6:$Y$24</c:f>
              <c:numCache>
                <c:formatCode>#,##0</c:formatCode>
                <c:ptCount val="19"/>
                <c:pt idx="0">
                  <c:v>622111</c:v>
                </c:pt>
                <c:pt idx="1">
                  <c:v>18137</c:v>
                </c:pt>
                <c:pt idx="2">
                  <c:v>1795</c:v>
                </c:pt>
                <c:pt idx="3">
                  <c:v>41085</c:v>
                </c:pt>
                <c:pt idx="4">
                  <c:v>1794</c:v>
                </c:pt>
                <c:pt idx="5">
                  <c:v>2958</c:v>
                </c:pt>
                <c:pt idx="6">
                  <c:v>73180</c:v>
                </c:pt>
                <c:pt idx="7">
                  <c:v>301642</c:v>
                </c:pt>
                <c:pt idx="8">
                  <c:v>31810</c:v>
                </c:pt>
                <c:pt idx="9">
                  <c:v>14300</c:v>
                </c:pt>
                <c:pt idx="10">
                  <c:v>16554</c:v>
                </c:pt>
                <c:pt idx="11">
                  <c:v>10881</c:v>
                </c:pt>
                <c:pt idx="12">
                  <c:v>20620</c:v>
                </c:pt>
                <c:pt idx="13">
                  <c:v>45371</c:v>
                </c:pt>
                <c:pt idx="14">
                  <c:v>23990</c:v>
                </c:pt>
                <c:pt idx="15">
                  <c:v>1601</c:v>
                </c:pt>
                <c:pt idx="16">
                  <c:v>3200</c:v>
                </c:pt>
                <c:pt idx="17">
                  <c:v>5257</c:v>
                </c:pt>
                <c:pt idx="18">
                  <c:v>7936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AF-9946-8EC9-D3C750446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223426048"/>
        <c:axId val="218568896"/>
      </c:barChart>
      <c:catAx>
        <c:axId val="2234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568896"/>
        <c:crosses val="autoZero"/>
        <c:auto val="1"/>
        <c:lblAlgn val="ctr"/>
        <c:lblOffset val="100"/>
        <c:noMultiLvlLbl val="0"/>
      </c:catAx>
      <c:valAx>
        <c:axId val="2185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34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30256078758499"/>
          <c:y val="1.7253990792134587E-2"/>
          <c:w val="0.48549937347201888"/>
          <c:h val="0.909698091017311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'Проблемы применения ЦТ'!$B$15</c:f>
              <c:strCache>
                <c:ptCount val="1"/>
                <c:pt idx="0">
                  <c:v>Все предприятия, применяющие цифровые 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'Проблемы применения ЦТ'!$A$18:$A$27</c:f>
              <c:strCache>
                <c:ptCount val="10"/>
                <c:pt idx="0">
                  <c:v>Высокая стоимость</c:v>
                </c:pt>
                <c:pt idx="1">
                  <c:v>Дефицит на рынке специалистов и рабочих, обладающих необходимыми компетенциями</c:v>
                </c:pt>
                <c:pt idx="2">
                  <c:v>Отсутствие на рынке необходимых нам технологий и решений</c:v>
                </c:pt>
                <c:pt idx="3">
                  <c:v>Дефицит на рынке управленческих кадров, обладающих необходимыми компетенциями</c:v>
                </c:pt>
                <c:pt idx="4">
                  <c:v>Слабое использование цифровых технологий контрагентами </c:v>
                </c:pt>
                <c:pt idx="5">
                  <c:v>Угрозы безопасности бизнеса</c:v>
                </c:pt>
                <c:pt idx="6">
                  <c:v>Недостаточность государственной поддержки внедрения цифровых технологий</c:v>
                </c:pt>
                <c:pt idx="7">
                  <c:v>Отсутствие необходимых стандартов </c:v>
                </c:pt>
                <c:pt idx="8">
                  <c:v>Усиление зависимости от поставщиков технологий и/или услуг</c:v>
                </c:pt>
                <c:pt idx="9">
                  <c:v>Другое </c:v>
                </c:pt>
              </c:strCache>
            </c:strRef>
          </c:cat>
          <c:val>
            <c:numRef>
              <c:f>'Проблемы применения ЦТ'!$B$18:$B$27</c:f>
              <c:numCache>
                <c:formatCode>0.00%</c:formatCode>
                <c:ptCount val="10"/>
                <c:pt idx="0">
                  <c:v>0.36399999999999999</c:v>
                </c:pt>
                <c:pt idx="1">
                  <c:v>8.4000000000000005E-2</c:v>
                </c:pt>
                <c:pt idx="2">
                  <c:v>7.0999999999999994E-2</c:v>
                </c:pt>
                <c:pt idx="3">
                  <c:v>6.7000000000000004E-2</c:v>
                </c:pt>
                <c:pt idx="4">
                  <c:v>6.2E-2</c:v>
                </c:pt>
                <c:pt idx="5">
                  <c:v>4.7E-2</c:v>
                </c:pt>
                <c:pt idx="6">
                  <c:v>4.7E-2</c:v>
                </c:pt>
                <c:pt idx="7">
                  <c:v>3.9E-2</c:v>
                </c:pt>
                <c:pt idx="8">
                  <c:v>3.5000000000000003E-2</c:v>
                </c:pt>
                <c:pt idx="9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0-5440-B144-49BFC958B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3427072"/>
        <c:axId val="267862016"/>
      </c:barChart>
      <c:catAx>
        <c:axId val="2234270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862016"/>
        <c:crosses val="autoZero"/>
        <c:auto val="1"/>
        <c:lblAlgn val="ctr"/>
        <c:lblOffset val="100"/>
        <c:noMultiLvlLbl val="0"/>
      </c:catAx>
      <c:valAx>
        <c:axId val="26786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27072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964194481034609"/>
          <c:y val="5.0925925925925923E-2"/>
          <c:w val="0.44602886157135224"/>
          <c:h val="0.772808398950131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Лист1!$B$23</c:f>
              <c:strCache>
                <c:ptCount val="1"/>
                <c:pt idx="0">
                  <c:v>сокращение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Лист1!$C$22:$P$22</c:f>
              <c:strCache>
                <c:ptCount val="14"/>
                <c:pt idx="0">
                  <c:v>ВЫРУЧКА</c:v>
                </c:pt>
                <c:pt idx="1">
                  <c:v>нет господдержки</c:v>
                </c:pt>
                <c:pt idx="2">
                  <c:v>финансирование из федерального бюджета</c:v>
                </c:pt>
                <c:pt idx="3">
                  <c:v>льготы по налогам и/или иным обязательным платежам</c:v>
                </c:pt>
                <c:pt idx="5">
                  <c:v>ПРИБЫЛЬ</c:v>
                </c:pt>
                <c:pt idx="6">
                  <c:v>нет господдержки</c:v>
                </c:pt>
                <c:pt idx="7">
                  <c:v>финансирование из федерального бюджета</c:v>
                </c:pt>
                <c:pt idx="8">
                  <c:v>льготы по налогам и/или иным обязательным платежам</c:v>
                </c:pt>
                <c:pt idx="10">
                  <c:v>ЭКСПОРТ</c:v>
                </c:pt>
                <c:pt idx="11">
                  <c:v>нет господдержки</c:v>
                </c:pt>
                <c:pt idx="12">
                  <c:v>финансирование из федерального бюджета</c:v>
                </c:pt>
                <c:pt idx="13">
                  <c:v>льготы по налогам и/или иным обязательным платежам</c:v>
                </c:pt>
              </c:strCache>
            </c:strRef>
          </c:cat>
          <c:val>
            <c:numRef>
              <c:f>Лист1!$C$23:$P$23</c:f>
              <c:numCache>
                <c:formatCode>0.00%</c:formatCode>
                <c:ptCount val="14"/>
                <c:pt idx="1">
                  <c:v>0.46800000000000003</c:v>
                </c:pt>
                <c:pt idx="2">
                  <c:v>0.38</c:v>
                </c:pt>
                <c:pt idx="3">
                  <c:v>0.42199999999999999</c:v>
                </c:pt>
                <c:pt idx="6">
                  <c:v>0.48499999999999999</c:v>
                </c:pt>
                <c:pt idx="7">
                  <c:v>0.442</c:v>
                </c:pt>
                <c:pt idx="8">
                  <c:v>0.52100000000000002</c:v>
                </c:pt>
                <c:pt idx="11">
                  <c:v>4.8000000000000001E-2</c:v>
                </c:pt>
                <c:pt idx="12">
                  <c:v>0.13400000000000001</c:v>
                </c:pt>
                <c:pt idx="13">
                  <c:v>7.2999999999999995E-2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F4-B142-909B-81BDD9C3371F}"/>
            </c:ext>
          </c:extLst>
        </c:ser>
        <c:ser>
          <c:idx val="1"/>
          <c:order val="1"/>
          <c:tx>
            <c:strRef>
              <c:f>Лист1!$B$24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Лист1!$C$22:$P$22</c:f>
              <c:strCache>
                <c:ptCount val="14"/>
                <c:pt idx="0">
                  <c:v>ВЫРУЧКА</c:v>
                </c:pt>
                <c:pt idx="1">
                  <c:v>нет господдержки</c:v>
                </c:pt>
                <c:pt idx="2">
                  <c:v>финансирование из федерального бюджета</c:v>
                </c:pt>
                <c:pt idx="3">
                  <c:v>льготы по налогам и/или иным обязательным платежам</c:v>
                </c:pt>
                <c:pt idx="5">
                  <c:v>ПРИБЫЛЬ</c:v>
                </c:pt>
                <c:pt idx="6">
                  <c:v>нет господдержки</c:v>
                </c:pt>
                <c:pt idx="7">
                  <c:v>финансирование из федерального бюджета</c:v>
                </c:pt>
                <c:pt idx="8">
                  <c:v>льготы по налогам и/или иным обязательным платежам</c:v>
                </c:pt>
                <c:pt idx="10">
                  <c:v>ЭКСПОРТ</c:v>
                </c:pt>
                <c:pt idx="11">
                  <c:v>нет господдержки</c:v>
                </c:pt>
                <c:pt idx="12">
                  <c:v>финансирование из федерального бюджета</c:v>
                </c:pt>
                <c:pt idx="13">
                  <c:v>льготы по налогам и/или иным обязательным платежам</c:v>
                </c:pt>
              </c:strCache>
            </c:strRef>
          </c:cat>
          <c:val>
            <c:numRef>
              <c:f>Лист1!$C$24:$P$24</c:f>
              <c:numCache>
                <c:formatCode>General</c:formatCode>
                <c:ptCount val="14"/>
                <c:pt idx="11" formatCode="0.00%">
                  <c:v>0.90400000000000003</c:v>
                </c:pt>
                <c:pt idx="12" formatCode="0.00%">
                  <c:v>0.625</c:v>
                </c:pt>
                <c:pt idx="13" formatCode="0.00%">
                  <c:v>0.73899999999999999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F4-B142-909B-81BDD9C3371F}"/>
            </c:ext>
          </c:extLst>
        </c:ser>
        <c:ser>
          <c:idx val="2"/>
          <c:order val="2"/>
          <c:tx>
            <c:strRef>
              <c:f>Лист1!$B$25</c:f>
              <c:strCache>
                <c:ptCount val="1"/>
                <c:pt idx="0">
                  <c:v>рост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Лист1!$C$22:$P$22</c:f>
              <c:strCache>
                <c:ptCount val="14"/>
                <c:pt idx="0">
                  <c:v>ВЫРУЧКА</c:v>
                </c:pt>
                <c:pt idx="1">
                  <c:v>нет господдержки</c:v>
                </c:pt>
                <c:pt idx="2">
                  <c:v>финансирование из федерального бюджета</c:v>
                </c:pt>
                <c:pt idx="3">
                  <c:v>льготы по налогам и/или иным обязательным платежам</c:v>
                </c:pt>
                <c:pt idx="5">
                  <c:v>ПРИБЫЛЬ</c:v>
                </c:pt>
                <c:pt idx="6">
                  <c:v>нет господдержки</c:v>
                </c:pt>
                <c:pt idx="7">
                  <c:v>финансирование из федерального бюджета</c:v>
                </c:pt>
                <c:pt idx="8">
                  <c:v>льготы по налогам и/или иным обязательным платежам</c:v>
                </c:pt>
                <c:pt idx="10">
                  <c:v>ЭКСПОРТ</c:v>
                </c:pt>
                <c:pt idx="11">
                  <c:v>нет господдержки</c:v>
                </c:pt>
                <c:pt idx="12">
                  <c:v>финансирование из федерального бюджета</c:v>
                </c:pt>
                <c:pt idx="13">
                  <c:v>льготы по налогам и/или иным обязательным платежам</c:v>
                </c:pt>
              </c:strCache>
            </c:strRef>
          </c:cat>
          <c:val>
            <c:numRef>
              <c:f>Лист1!$C$25:$P$25</c:f>
              <c:numCache>
                <c:formatCode>0.00%</c:formatCode>
                <c:ptCount val="14"/>
                <c:pt idx="1">
                  <c:v>0.53200000000000003</c:v>
                </c:pt>
                <c:pt idx="2">
                  <c:v>0.62</c:v>
                </c:pt>
                <c:pt idx="3">
                  <c:v>0.57799999999999996</c:v>
                </c:pt>
                <c:pt idx="6">
                  <c:v>0.51500000000000001</c:v>
                </c:pt>
                <c:pt idx="7">
                  <c:v>0.55800000000000005</c:v>
                </c:pt>
                <c:pt idx="8">
                  <c:v>0.47899999999999998</c:v>
                </c:pt>
                <c:pt idx="11">
                  <c:v>4.8000000000000001E-2</c:v>
                </c:pt>
                <c:pt idx="12">
                  <c:v>0.24099999999999999</c:v>
                </c:pt>
                <c:pt idx="13">
                  <c:v>0.188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F4-B142-909B-81BDD9C33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570816"/>
        <c:axId val="267864320"/>
      </c:barChart>
      <c:catAx>
        <c:axId val="225570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864320"/>
        <c:crosses val="autoZero"/>
        <c:auto val="1"/>
        <c:lblAlgn val="ctr"/>
        <c:lblOffset val="100"/>
        <c:noMultiLvlLbl val="0"/>
      </c:catAx>
      <c:valAx>
        <c:axId val="267864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7081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929588032727345"/>
          <c:y val="0.91724482356372106"/>
          <c:w val="0.4836056555969048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16725248646101E-2"/>
          <c:y val="5.7981981981981984E-2"/>
          <c:w val="0.92235505463746603"/>
          <c:h val="0.58904873377314315"/>
        </c:manualLayout>
      </c:layout>
      <c:areaChart>
        <c:grouping val="standard"/>
        <c:varyColors val="0"/>
        <c:ser>
          <c:idx val="0"/>
          <c:order val="0"/>
          <c:tx>
            <c:strRef>
              <c:f>'Рис. 4'!$B$1</c:f>
              <c:strCache>
                <c:ptCount val="1"/>
                <c:pt idx="0">
                  <c:v>Господдержка в любой форме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4'!$B$2:$B$5</c:f>
              <c:numCache>
                <c:formatCode>0.0%</c:formatCode>
                <c:ptCount val="4"/>
                <c:pt idx="0">
                  <c:v>0.307</c:v>
                </c:pt>
                <c:pt idx="1">
                  <c:v>0.31900000000000001</c:v>
                </c:pt>
                <c:pt idx="2">
                  <c:v>0.48199999999999998</c:v>
                </c:pt>
                <c:pt idx="3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3B-A440-B42E-B1D395E0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572352"/>
        <c:axId val="267866048"/>
      </c:areaChart>
      <c:lineChart>
        <c:grouping val="standard"/>
        <c:varyColors val="0"/>
        <c:ser>
          <c:idx val="1"/>
          <c:order val="1"/>
          <c:tx>
            <c:strRef>
              <c:f>'Рис. 4'!$C$1</c:f>
              <c:strCache>
                <c:ptCount val="1"/>
                <c:pt idx="0">
                  <c:v>Финансовая поддержка из федерального бюджета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4'!$C$2:$C$5</c:f>
              <c:numCache>
                <c:formatCode>0.0%</c:formatCode>
                <c:ptCount val="4"/>
                <c:pt idx="0">
                  <c:v>7.8E-2</c:v>
                </c:pt>
                <c:pt idx="1">
                  <c:v>7.8E-2</c:v>
                </c:pt>
                <c:pt idx="2">
                  <c:v>0.151</c:v>
                </c:pt>
                <c:pt idx="3">
                  <c:v>0.24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D3B-A440-B42E-B1D395E089F1}"/>
            </c:ext>
          </c:extLst>
        </c:ser>
        <c:ser>
          <c:idx val="2"/>
          <c:order val="2"/>
          <c:tx>
            <c:strRef>
              <c:f>'Рис. 4'!$D$1</c:f>
              <c:strCache>
                <c:ptCount val="1"/>
                <c:pt idx="0">
                  <c:v>Финансовая поддержка из регионального и/или местного бюджета</c:v>
                </c:pt>
              </c:strCache>
            </c:strRef>
          </c:tx>
          <c:spPr>
            <a:ln w="44450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5">
                  <a:lumMod val="60000"/>
                  <a:lumOff val="40000"/>
                </a:schemeClr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4'!$D$2:$D$5</c:f>
              <c:numCache>
                <c:formatCode>0.0%</c:formatCode>
                <c:ptCount val="4"/>
                <c:pt idx="0">
                  <c:v>0.17</c:v>
                </c:pt>
                <c:pt idx="1">
                  <c:v>0.17</c:v>
                </c:pt>
                <c:pt idx="2">
                  <c:v>0.21199999999999999</c:v>
                </c:pt>
                <c:pt idx="3">
                  <c:v>0.18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D3B-A440-B42E-B1D395E089F1}"/>
            </c:ext>
          </c:extLst>
        </c:ser>
        <c:ser>
          <c:idx val="3"/>
          <c:order val="3"/>
          <c:tx>
            <c:strRef>
              <c:f>'Рис. 4'!$E$1</c:f>
              <c:strCache>
                <c:ptCount val="1"/>
                <c:pt idx="0">
                  <c:v>Льготы по налогам и/или иным обязательным платежам</c:v>
                </c:pt>
              </c:strCache>
            </c:strRef>
          </c:tx>
          <c:spPr>
            <a:ln w="34925" cap="rnd" cmpd="dbl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4'!$E$2:$E$5</c:f>
              <c:numCache>
                <c:formatCode>0.0%</c:formatCode>
                <c:ptCount val="4"/>
                <c:pt idx="0">
                  <c:v>7.8E-2</c:v>
                </c:pt>
                <c:pt idx="1">
                  <c:v>0.13500000000000001</c:v>
                </c:pt>
                <c:pt idx="2">
                  <c:v>0.189</c:v>
                </c:pt>
                <c:pt idx="3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D3B-A440-B42E-B1D395E089F1}"/>
            </c:ext>
          </c:extLst>
        </c:ser>
        <c:ser>
          <c:idx val="4"/>
          <c:order val="4"/>
          <c:tx>
            <c:strRef>
              <c:f>'Рис. 4'!$F$1</c:f>
              <c:strCache>
                <c:ptCount val="1"/>
                <c:pt idx="0">
                  <c:v>Поддержка со стороны государственных институтов развития</c:v>
                </c:pt>
              </c:strCache>
            </c:strRef>
          </c:tx>
          <c:spPr>
            <a:ln w="2222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chemeClr val="accent3">
                    <a:lumMod val="50000"/>
                  </a:schemeClr>
                </a:solidFill>
              </a:ln>
              <a:effectLst/>
            </c:spPr>
          </c:marke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4'!$F$2:$F$5</c:f>
              <c:numCache>
                <c:formatCode>0.0%</c:formatCode>
                <c:ptCount val="4"/>
                <c:pt idx="0">
                  <c:v>1.4E-2</c:v>
                </c:pt>
                <c:pt idx="1">
                  <c:v>2.8000000000000001E-2</c:v>
                </c:pt>
                <c:pt idx="2">
                  <c:v>7.3999999999999996E-2</c:v>
                </c:pt>
                <c:pt idx="3">
                  <c:v>0.08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D3B-A440-B42E-B1D395E089F1}"/>
            </c:ext>
          </c:extLst>
        </c:ser>
        <c:ser>
          <c:idx val="5"/>
          <c:order val="5"/>
          <c:tx>
            <c:strRef>
              <c:f>'Рис. 4'!$G$1</c:f>
              <c:strCache>
                <c:ptCount val="1"/>
                <c:pt idx="0">
                  <c:v>Нет господдержки</c:v>
                </c:pt>
              </c:strCache>
            </c:strRef>
          </c:tx>
          <c:spPr>
            <a:ln w="25400" cap="rnd" cmpd="dbl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'Рис. 4'!$A$2:$A$5</c:f>
              <c:strCache>
                <c:ptCount val="4"/>
                <c:pt idx="0">
                  <c:v>новая для предприятия</c:v>
                </c:pt>
                <c:pt idx="1">
                  <c:v>новая для региона</c:v>
                </c:pt>
                <c:pt idx="2">
                  <c:v>новая для России</c:v>
                </c:pt>
                <c:pt idx="3">
                  <c:v>новая для мира</c:v>
                </c:pt>
              </c:strCache>
            </c:strRef>
          </c:cat>
          <c:val>
            <c:numRef>
              <c:f>'Рис. 4'!$G$2:$G$5</c:f>
              <c:numCache>
                <c:formatCode>0.0%</c:formatCode>
                <c:ptCount val="4"/>
                <c:pt idx="0">
                  <c:v>0.67</c:v>
                </c:pt>
                <c:pt idx="1">
                  <c:v>0.63100000000000001</c:v>
                </c:pt>
                <c:pt idx="2">
                  <c:v>0.48</c:v>
                </c:pt>
                <c:pt idx="3">
                  <c:v>0.44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D3B-A440-B42E-B1D395E0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572352"/>
        <c:axId val="267866048"/>
      </c:lineChart>
      <c:catAx>
        <c:axId val="225572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Новизна</a:t>
                </a:r>
                <a:r>
                  <a:rPr lang="ru-RU" baseline="0"/>
                  <a:t> выпускаемой продукции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7979815254298035"/>
              <c:y val="0.709006455274171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866048"/>
        <c:crosses val="autoZero"/>
        <c:auto val="1"/>
        <c:lblAlgn val="ctr"/>
        <c:lblOffset val="100"/>
        <c:noMultiLvlLbl val="0"/>
      </c:catAx>
      <c:valAx>
        <c:axId val="267866048"/>
        <c:scaling>
          <c:orientation val="minMax"/>
          <c:max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7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4406790272576"/>
          <c:y val="0.76666411293182946"/>
          <c:w val="0.79161732333413459"/>
          <c:h val="0.22973228346456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481582043623856E-2"/>
          <c:y val="2.3931623931623933E-2"/>
          <c:w val="0.63311227732022546"/>
          <c:h val="0.88032895888013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Лист5!$D$2</c:f>
              <c:strCache>
                <c:ptCount val="1"/>
                <c:pt idx="0">
                  <c:v>Доля поступлений от приватизации федерального имущества в доходах федерального бюджета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numRef>
              <c:f>Лист5!$A$3:$A$25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Лист5!$D$3:$D$25</c:f>
              <c:numCache>
                <c:formatCode>General</c:formatCode>
                <c:ptCount val="2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84-8240-8FC9-C624097025A4}"/>
            </c:ext>
          </c:extLst>
        </c:ser>
        <c:ser>
          <c:idx val="1"/>
          <c:order val="1"/>
          <c:tx>
            <c:strRef>
              <c:f>Лист5!$E$2</c:f>
              <c:strCache>
                <c:ptCount val="1"/>
                <c:pt idx="0">
                  <c:v>в соответствующем году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Лист5!$A$3:$A$25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Лист5!$E$3:$E$25</c:f>
              <c:numCache>
                <c:formatCode>0.000%</c:formatCode>
                <c:ptCount val="23"/>
                <c:pt idx="0">
                  <c:v>2.4E-2</c:v>
                </c:pt>
                <c:pt idx="1">
                  <c:v>6.4700000000000001E-3</c:v>
                </c:pt>
                <c:pt idx="2">
                  <c:v>4.7400000000000003E-3</c:v>
                </c:pt>
                <c:pt idx="3">
                  <c:v>3.6380000000000003E-2</c:v>
                </c:pt>
                <c:pt idx="4">
                  <c:v>2.0570000000000001E-2</c:v>
                </c:pt>
                <c:pt idx="5">
                  <c:v>8.0999999999999996E-3</c:v>
                </c:pt>
                <c:pt idx="6">
                  <c:v>3.9399999999999999E-3</c:v>
                </c:pt>
                <c:pt idx="7">
                  <c:v>3.2699999999999999E-3</c:v>
                </c:pt>
                <c:pt idx="8">
                  <c:v>1.34E-3</c:v>
                </c:pt>
                <c:pt idx="9">
                  <c:v>6.2E-4</c:v>
                </c:pt>
                <c:pt idx="10">
                  <c:v>2.2499999999999998E-3</c:v>
                </c:pt>
                <c:pt idx="11">
                  <c:v>1.2019999999999999E-2</c:v>
                </c:pt>
                <c:pt idx="12">
                  <c:v>6.3E-3</c:v>
                </c:pt>
                <c:pt idx="13">
                  <c:v>4.2500000000000003E-3</c:v>
                </c:pt>
                <c:pt idx="14">
                  <c:v>2.8400000000000001E-3</c:v>
                </c:pt>
                <c:pt idx="15">
                  <c:v>1.3600000000000001E-3</c:v>
                </c:pt>
                <c:pt idx="16">
                  <c:v>3.0939999999999999E-2</c:v>
                </c:pt>
                <c:pt idx="17">
                  <c:v>1.4499999999999999E-3</c:v>
                </c:pt>
                <c:pt idx="18">
                  <c:v>1.49E-3</c:v>
                </c:pt>
                <c:pt idx="19">
                  <c:v>6.4999999999999997E-4</c:v>
                </c:pt>
                <c:pt idx="20">
                  <c:v>5.5000000000000003E-4</c:v>
                </c:pt>
                <c:pt idx="21">
                  <c:v>1.7000000000000001E-4</c:v>
                </c:pt>
                <c:pt idx="22">
                  <c:v>1.6000000000000001E-4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84-8240-8FC9-C62409702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3428096"/>
        <c:axId val="175704320"/>
      </c:barChart>
      <c:lineChart>
        <c:grouping val="standard"/>
        <c:varyColors val="0"/>
        <c:ser>
          <c:idx val="2"/>
          <c:order val="2"/>
          <c:tx>
            <c:strRef>
              <c:f>Лист5!$F$2</c:f>
              <c:strCache>
                <c:ptCount val="1"/>
                <c:pt idx="0">
                  <c:v>в среднем за 2000-2019 годы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Лист5!$A$3:$A$25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Лист5!$F$3:$F$25</c:f>
              <c:numCache>
                <c:formatCode>0.000%</c:formatCode>
                <c:ptCount val="23"/>
                <c:pt idx="0">
                  <c:v>6.13E-3</c:v>
                </c:pt>
                <c:pt idx="1">
                  <c:v>6.13E-3</c:v>
                </c:pt>
                <c:pt idx="2">
                  <c:v>6.13E-3</c:v>
                </c:pt>
                <c:pt idx="3">
                  <c:v>6.13E-3</c:v>
                </c:pt>
                <c:pt idx="4">
                  <c:v>6.13E-3</c:v>
                </c:pt>
                <c:pt idx="5">
                  <c:v>6.13E-3</c:v>
                </c:pt>
                <c:pt idx="6">
                  <c:v>6.13E-3</c:v>
                </c:pt>
                <c:pt idx="7">
                  <c:v>6.13E-3</c:v>
                </c:pt>
                <c:pt idx="8">
                  <c:v>6.13E-3</c:v>
                </c:pt>
                <c:pt idx="9">
                  <c:v>6.13E-3</c:v>
                </c:pt>
                <c:pt idx="10">
                  <c:v>6.13E-3</c:v>
                </c:pt>
                <c:pt idx="11">
                  <c:v>6.13E-3</c:v>
                </c:pt>
                <c:pt idx="12">
                  <c:v>6.13E-3</c:v>
                </c:pt>
                <c:pt idx="13">
                  <c:v>6.13E-3</c:v>
                </c:pt>
                <c:pt idx="14">
                  <c:v>6.13E-3</c:v>
                </c:pt>
                <c:pt idx="15">
                  <c:v>6.13E-3</c:v>
                </c:pt>
                <c:pt idx="16">
                  <c:v>6.13E-3</c:v>
                </c:pt>
                <c:pt idx="17">
                  <c:v>6.13E-3</c:v>
                </c:pt>
                <c:pt idx="18">
                  <c:v>6.13E-3</c:v>
                </c:pt>
                <c:pt idx="19" formatCode="0.00%">
                  <c:v>6.13E-3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584-8240-8FC9-C624097025A4}"/>
            </c:ext>
          </c:extLst>
        </c:ser>
        <c:ser>
          <c:idx val="3"/>
          <c:order val="3"/>
          <c:tx>
            <c:strRef>
              <c:f>Лист5!$G$2</c:f>
              <c:strCache>
                <c:ptCount val="1"/>
                <c:pt idx="0">
                  <c:v>в среднем за 2020-2022 годы</c:v>
                </c:pt>
              </c:strCache>
            </c:strRef>
          </c:tx>
          <c:spPr>
            <a:ln w="22225" cap="rnd">
              <a:solidFill>
                <a:schemeClr val="accent5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Лист5!$A$3:$A$25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Лист5!$G$3:$G$25</c:f>
              <c:numCache>
                <c:formatCode>General</c:formatCode>
                <c:ptCount val="23"/>
                <c:pt idx="20" formatCode="0.000%">
                  <c:v>2.9E-4</c:v>
                </c:pt>
                <c:pt idx="21" formatCode="0.000%">
                  <c:v>2.9E-4</c:v>
                </c:pt>
                <c:pt idx="22" formatCode="0.000%">
                  <c:v>2.9E-4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584-8240-8FC9-C62409702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428096"/>
        <c:axId val="175704320"/>
      </c:lineChart>
      <c:catAx>
        <c:axId val="22342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704320"/>
        <c:crosses val="autoZero"/>
        <c:auto val="1"/>
        <c:lblAlgn val="ctr"/>
        <c:lblOffset val="100"/>
        <c:noMultiLvlLbl val="0"/>
      </c:catAx>
      <c:valAx>
        <c:axId val="17570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42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28189481392313"/>
          <c:y val="3.7787894623408293E-2"/>
          <c:w val="0.27750842742733051"/>
          <c:h val="0.95195580867352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0.07704</cdr:x>
      <cdr:y>0.47619</cdr:y>
    </cdr:from>
    <cdr:to>
      <cdr:x>0.11792</cdr:x>
      <cdr:y>0.92133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66725" y="2190750"/>
          <a:ext cx="247650" cy="2047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0.21751</cdr:x>
      <cdr:y>0.47688</cdr:y>
    </cdr:from>
    <cdr:to>
      <cdr:x>0.25839</cdr:x>
      <cdr:y>0.92202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317625" y="2193925"/>
          <a:ext cx="247650" cy="2047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SIST02" SelectedStyle="\SIST02.XSL"/>
</file>

<file path=customXml/itemProps1.xml><?xml version="1.0" encoding="utf-8"?>
<ds:datastoreItem xmlns:ds="http://schemas.openxmlformats.org/officeDocument/2006/customXml" ds:itemID="{458DD193-658C-43E9-8F21-E5FF877EC3E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7322</Words>
  <Characters>41737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</dc:creator>
  <cp:lastModifiedBy>MakarovAM</cp:lastModifiedBy>
  <cp:revision>2</cp:revision>
  <dcterms:created xsi:type="dcterms:W3CDTF">2019-10-21T16:40:00Z</dcterms:created>
  <dcterms:modified xsi:type="dcterms:W3CDTF">2019-10-21T16:40:00Z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Я.И. Кузьминов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по вопросам экспертно-аналитической деятельности (исходящая)</vt:lpwstr>
  </property>
  <property fmtid="{D5CDD505-2E9C-101B-9397-08002B2CF9AE}" pid="5" name="recipientPost">
    <vt:lpwstr>Председатель Комитета</vt:lpwstr>
  </property>
  <property fmtid="{D5CDD505-2E9C-101B-9397-08002B2CF9AE}" pid="6" name="stateValue">
    <vt:lpwstr>На доработке</vt:lpwstr>
  </property>
  <property fmtid="{D5CDD505-2E9C-101B-9397-08002B2CF9AE}" pid="7" name="docTitle">
    <vt:lpwstr>Исходящий документ</vt:lpwstr>
  </property>
  <property fmtid="{D5CDD505-2E9C-101B-9397-08002B2CF9AE}" pid="8" name="signerLabel">
    <vt:lpwstr> Ректор Кузьминов Я.И.</vt:lpwstr>
  </property>
  <property fmtid="{D5CDD505-2E9C-101B-9397-08002B2CF9AE}" pid="9" name="sendingKind">
    <vt:lpwstr>Курьерская доставка</vt:lpwstr>
  </property>
  <property fmtid="{D5CDD505-2E9C-101B-9397-08002B2CF9AE}" pid="10" name="creatorPost">
    <vt:lpwstr>Вице-президент</vt:lpwstr>
  </property>
  <property fmtid="{D5CDD505-2E9C-101B-9397-08002B2CF9AE}" pid="11" name="recipientOrganization">
    <vt:lpwstr>Государственная дума Федерального собрания Российской Федерации седьмого созыва Комитет по бюджету и налогам</vt:lpwstr>
  </property>
  <property fmtid="{D5CDD505-2E9C-101B-9397-08002B2CF9AE}" pid="12" name="signerName">
    <vt:lpwstr>Кузьминов Я.И.</vt:lpwstr>
  </property>
  <property fmtid="{D5CDD505-2E9C-101B-9397-08002B2CF9AE}" pid="13" name="signerNameAndPostName">
    <vt:lpwstr>Кузьминов Я.И., Ректор</vt:lpwstr>
  </property>
  <property fmtid="{D5CDD505-2E9C-101B-9397-08002B2CF9AE}" pid="14" name="stampFormType">
    <vt:lpwstr>Гербовый</vt:lpwstr>
  </property>
  <property fmtid="{D5CDD505-2E9C-101B-9397-08002B2CF9AE}" pid="15" name="stampFormKind">
    <vt:lpwstr>Продольный</vt:lpwstr>
  </property>
  <property fmtid="{D5CDD505-2E9C-101B-9397-08002B2CF9AE}" pid="16" name="signerExtraDelegates">
    <vt:lpwstr> Ректор</vt:lpwstr>
  </property>
  <property fmtid="{D5CDD505-2E9C-101B-9397-08002B2CF9AE}" pid="17" name="sendingMode">
    <vt:lpwstr>Отправка через УД</vt:lpwstr>
  </property>
  <property fmtid="{D5CDD505-2E9C-101B-9397-08002B2CF9AE}" pid="18" name="signer1Post">
    <vt:lpwstr>Ректор</vt:lpwstr>
  </property>
  <property fmtid="{D5CDD505-2E9C-101B-9397-08002B2CF9AE}" pid="19" name="signerDelegates">
    <vt:lpwstr>Кузьминов Я.И.</vt:lpwstr>
  </property>
  <property fmtid="{D5CDD505-2E9C-101B-9397-08002B2CF9AE}" pid="20" name="creator">
    <vt:lpwstr>Л.И. Якобсон</vt:lpwstr>
  </property>
  <property fmtid="{D5CDD505-2E9C-101B-9397-08002B2CF9AE}" pid="21" name="stampFormNumber">
    <vt:lpwstr>1015645</vt:lpwstr>
  </property>
  <property fmtid="{D5CDD505-2E9C-101B-9397-08002B2CF9AE}" pid="22" name="regnumProj">
    <vt:lpwstr>М 2019/10/9-524</vt:lpwstr>
  </property>
  <property fmtid="{D5CDD505-2E9C-101B-9397-08002B2CF9AE}" pid="23" name="documentContent">
    <vt:lpwstr>О заключении на проект федерального закона № 802503-7 «О федеральном бюджете на 2020 год и на плановый период 2021 и 2022 годов» _x000d_
</vt:lpwstr>
  </property>
  <property fmtid="{D5CDD505-2E9C-101B-9397-08002B2CF9AE}" pid="24" name="signerPost">
    <vt:lpwstr>Ректор</vt:lpwstr>
  </property>
  <property fmtid="{D5CDD505-2E9C-101B-9397-08002B2CF9AE}" pid="25" name="documentSubtype">
    <vt:lpwstr>Письма за подписью руководителей НИУ ВШЭ</vt:lpwstr>
  </property>
  <property fmtid="{D5CDD505-2E9C-101B-9397-08002B2CF9AE}" pid="26" name="recipientOrganizationCode">
    <vt:lpwstr>350997</vt:lpwstr>
  </property>
  <property fmtid="{D5CDD505-2E9C-101B-9397-08002B2CF9AE}" pid="27" name="signer1Iof">
    <vt:lpwstr>Я.И. Кузьминов</vt:lpwstr>
  </property>
  <property fmtid="{D5CDD505-2E9C-101B-9397-08002B2CF9AE}" pid="28" name="mainDocSheetsCount">
    <vt:lpwstr>1</vt:lpwstr>
  </property>
  <property fmtid="{D5CDD505-2E9C-101B-9397-08002B2CF9AE}" pid="29" name="recipient">
    <vt:lpwstr>Макаров А.М.</vt:lpwstr>
  </property>
  <property fmtid="{D5CDD505-2E9C-101B-9397-08002B2CF9AE}" pid="30" name="signer1">
    <vt:lpwstr>Кузьминов Я.И.</vt:lpwstr>
  </property>
</Properties>
</file>